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621FA" w14:textId="77777777" w:rsidR="009437E5" w:rsidRDefault="009437E5" w:rsidP="009437E5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Supplementary Information</w:t>
      </w:r>
    </w:p>
    <w:p w14:paraId="4C8239E1" w14:textId="77777777" w:rsidR="009437E5" w:rsidRDefault="009437E5" w:rsidP="009437E5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noProof/>
          <w14:ligatures w14:val="none"/>
        </w:rPr>
        <w:drawing>
          <wp:anchor distT="0" distB="0" distL="114300" distR="114300" simplePos="0" relativeHeight="251659264" behindDoc="1" locked="0" layoutInCell="1" allowOverlap="1" wp14:anchorId="44EDCC5A" wp14:editId="71C56BA3">
            <wp:simplePos x="0" y="0"/>
            <wp:positionH relativeFrom="margin">
              <wp:posOffset>0</wp:posOffset>
            </wp:positionH>
            <wp:positionV relativeFrom="paragraph">
              <wp:posOffset>456565</wp:posOffset>
            </wp:positionV>
            <wp:extent cx="5400040" cy="3046823"/>
            <wp:effectExtent l="0" t="0" r="0" b="1270"/>
            <wp:wrapTight wrapText="bothSides">
              <wp:wrapPolygon edited="0">
                <wp:start x="0" y="0"/>
                <wp:lineTo x="0" y="21474"/>
                <wp:lineTo x="21488" y="21474"/>
                <wp:lineTo x="21488" y="0"/>
                <wp:lineTo x="0" y="0"/>
              </wp:wrapPolygon>
            </wp:wrapTight>
            <wp:docPr id="145850780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507809" name="図 1458507809"/>
                    <pic:cNvPicPr/>
                  </pic:nvPicPr>
                  <pic:blipFill>
                    <a:blip r:embed="rId4"/>
                    <a:srcRect t="5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46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F34036" w14:textId="77777777" w:rsidR="009437E5" w:rsidRPr="003C65C0" w:rsidRDefault="009437E5" w:rsidP="009437E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Additional file 1.PNG: </w:t>
      </w:r>
      <w:r w:rsidRPr="003C65C0">
        <w:rPr>
          <w:rFonts w:ascii="Times New Roman" w:hAnsi="Times New Roman" w:cs="Times New Roman"/>
          <w:b/>
          <w:bCs/>
          <w:sz w:val="24"/>
        </w:rPr>
        <w:t>Swimmer plot of patients with persistent SARS-CoV-2 NAAT positivity (Table 2 cases).</w:t>
      </w:r>
    </w:p>
    <w:p w14:paraId="20F3186F" w14:textId="77777777" w:rsidR="009437E5" w:rsidRPr="002F2AB4" w:rsidRDefault="009437E5" w:rsidP="009437E5">
      <w:pPr>
        <w:spacing w:line="480" w:lineRule="auto"/>
        <w:rPr>
          <w:rFonts w:ascii="Times New Roman" w:hAnsi="Times New Roman" w:cs="Times New Roman"/>
          <w:sz w:val="24"/>
        </w:rPr>
      </w:pPr>
      <w:r w:rsidRPr="002F2AB4">
        <w:rPr>
          <w:rFonts w:ascii="Times New Roman" w:hAnsi="Times New Roman" w:cs="Times New Roman"/>
          <w:sz w:val="24"/>
        </w:rPr>
        <w:t>Each bar represents the duration of NAAT positivity, starting from the day of COVID-19 onset (day 0).</w:t>
      </w:r>
      <w:r>
        <w:rPr>
          <w:rFonts w:ascii="Times New Roman" w:hAnsi="Times New Roman" w:cs="Times New Roman"/>
          <w:sz w:val="24"/>
        </w:rPr>
        <w:t xml:space="preserve"> </w:t>
      </w:r>
      <w:r w:rsidRPr="002F2AB4">
        <w:rPr>
          <w:rFonts w:ascii="Times New Roman" w:hAnsi="Times New Roman" w:cs="Times New Roman"/>
          <w:sz w:val="24"/>
        </w:rPr>
        <w:t>Red stars indicate obinutuzumab (OBI) administration</w:t>
      </w:r>
      <w:r>
        <w:rPr>
          <w:rFonts w:ascii="Times New Roman" w:hAnsi="Times New Roman" w:cs="Times New Roman"/>
          <w:sz w:val="24"/>
        </w:rPr>
        <w:t>,</w:t>
      </w:r>
      <w:r w:rsidRPr="002F2AB4">
        <w:rPr>
          <w:rFonts w:ascii="Times New Roman" w:hAnsi="Times New Roman" w:cs="Times New Roman"/>
          <w:sz w:val="24"/>
        </w:rPr>
        <w:t xml:space="preserve"> and blue stars indicate rituximab (RTX) administration prior to infection. Black crosses mark the date of death.</w:t>
      </w:r>
    </w:p>
    <w:p w14:paraId="28FD125F" w14:textId="77777777" w:rsidR="009437E5" w:rsidRDefault="009437E5" w:rsidP="009437E5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FB69B42" w14:textId="77777777" w:rsidR="009437E5" w:rsidRDefault="009437E5" w:rsidP="009437E5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B6EF729" w14:textId="77777777" w:rsidR="009437E5" w:rsidRDefault="009437E5" w:rsidP="009437E5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B0CC4FA" w14:textId="77777777" w:rsidR="009437E5" w:rsidRPr="003C65C0" w:rsidRDefault="009437E5" w:rsidP="009437E5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lang w:val="en-CA" w:eastAsia="en-CA"/>
        </w:rPr>
        <w:lastRenderedPageBreak/>
        <w:drawing>
          <wp:anchor distT="0" distB="0" distL="114300" distR="114300" simplePos="0" relativeHeight="251660288" behindDoc="1" locked="0" layoutInCell="1" allowOverlap="1" wp14:anchorId="3DBF4F57" wp14:editId="6F5391A6">
            <wp:simplePos x="0" y="0"/>
            <wp:positionH relativeFrom="margin">
              <wp:align>right</wp:align>
            </wp:positionH>
            <wp:positionV relativeFrom="paragraph">
              <wp:posOffset>212</wp:posOffset>
            </wp:positionV>
            <wp:extent cx="5400040" cy="3146425"/>
            <wp:effectExtent l="0" t="0" r="0" b="0"/>
            <wp:wrapTight wrapText="bothSides">
              <wp:wrapPolygon edited="0">
                <wp:start x="0" y="0"/>
                <wp:lineTo x="0" y="21447"/>
                <wp:lineTo x="21488" y="21447"/>
                <wp:lineTo x="21488" y="0"/>
                <wp:lineTo x="0" y="0"/>
              </wp:wrapPolygon>
            </wp:wrapTight>
            <wp:docPr id="101678998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789983" name="図 7564085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color w:val="000000" w:themeColor="text1"/>
          <w:sz w:val="24"/>
        </w:rPr>
        <w:t>Additional file 2.PNG:</w:t>
      </w:r>
      <w:r w:rsidRPr="003C65C0">
        <w:rPr>
          <w:rFonts w:ascii="Times New Roman" w:eastAsia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Pr="003C65C0">
        <w:rPr>
          <w:rFonts w:ascii="Times New Roman" w:hAnsi="Times New Roman" w:cs="Times New Roman"/>
          <w:b/>
          <w:bCs/>
          <w:color w:val="000000" w:themeColor="text1"/>
          <w:sz w:val="24"/>
        </w:rPr>
        <w:t>A case of SARS-CoV-2 PCR cycle threshold (Ct) value changes during treatment.</w:t>
      </w:r>
    </w:p>
    <w:p w14:paraId="53ED5FA5" w14:textId="77777777" w:rsidR="009437E5" w:rsidRPr="003229B8" w:rsidRDefault="009437E5" w:rsidP="009437E5">
      <w:pPr>
        <w:spacing w:line="480" w:lineRule="auto"/>
        <w:rPr>
          <w:rFonts w:ascii="Times New Roman" w:eastAsia="Meiryo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Changes in Ct values over time and in response to antiviral treatment are shown for Patient No. 5, who remained NAAT-positive </w:t>
      </w:r>
      <w:r>
        <w:rPr>
          <w:rFonts w:ascii="Times New Roman" w:eastAsia="Meiryo" w:hAnsi="Times New Roman" w:cs="Times New Roman"/>
          <w:color w:val="000000" w:themeColor="text1"/>
          <w:kern w:val="0"/>
          <w:sz w:val="24"/>
          <w14:ligatures w14:val="none"/>
        </w:rPr>
        <w:t>for 91 days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(Table 2). </w:t>
      </w:r>
      <w:r w:rsidRPr="003229B8">
        <w:rPr>
          <w:rFonts w:ascii="Times New Roman" w:eastAsia="Meiryo" w:hAnsi="Times New Roman" w:cs="Times New Roman"/>
          <w:b/>
          <w:bCs/>
          <w:color w:val="000000" w:themeColor="text1"/>
          <w:kern w:val="0"/>
          <w:sz w:val="24"/>
          <w14:ligatures w14:val="none"/>
        </w:rPr>
        <w:t>Abbreviations</w:t>
      </w:r>
      <w:r>
        <w:rPr>
          <w:rFonts w:ascii="Times New Roman" w:eastAsia="Meiryo" w:hAnsi="Times New Roman" w:cs="Times New Roman"/>
          <w:color w:val="000000" w:themeColor="text1"/>
          <w:kern w:val="0"/>
          <w:sz w:val="24"/>
          <w14:ligatures w14:val="none"/>
        </w:rPr>
        <w:t xml:space="preserve">: PCR, 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>polymerase chain reaction</w:t>
      </w:r>
      <w:r>
        <w:rPr>
          <w:rFonts w:ascii="Times New Roman" w:eastAsia="Meiryo" w:hAnsi="Times New Roman" w:cs="Times New Roman"/>
          <w:color w:val="000000" w:themeColor="text1"/>
          <w:kern w:val="0"/>
          <w:sz w:val="24"/>
          <w14:ligatures w14:val="none"/>
        </w:rPr>
        <w:t xml:space="preserve">; NAAT, nucleic acid amplification test; </w:t>
      </w:r>
      <w:r>
        <w:rPr>
          <w:rFonts w:ascii="Times New Roman" w:eastAsia="Meiryo" w:hAnsi="Times New Roman" w:cs="Times New Roman"/>
          <w:color w:val="000000" w:themeColor="text1"/>
          <w:sz w:val="24"/>
        </w:rPr>
        <w:t xml:space="preserve">REM, Remdesivir; SOT, Sotrovimab; MOL, Molnupiravir; NMV/r, Nirmatrelvir/Ritonavir; Tix-Cil, 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>tixagevimab-cilgavimab.</w:t>
      </w:r>
    </w:p>
    <w:p w14:paraId="547B18F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7E5"/>
    <w:rsid w:val="002978F5"/>
    <w:rsid w:val="003852CF"/>
    <w:rsid w:val="00396143"/>
    <w:rsid w:val="004E780C"/>
    <w:rsid w:val="009437E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14E6F"/>
  <w15:chartTrackingRefBased/>
  <w15:docId w15:val="{FF4664AA-A180-4900-8005-525D45639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37E5"/>
    <w:pPr>
      <w:widowControl w:val="0"/>
      <w:spacing w:after="0" w:line="240" w:lineRule="auto"/>
      <w:jc w:val="both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37E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7E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37E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37E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37E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7E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7E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7E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7E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37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7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37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37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37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7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7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7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7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37E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437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37E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437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37E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437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37E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437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7E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7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37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2025-08-11T15:43:00Z</dcterms:created>
  <dcterms:modified xsi:type="dcterms:W3CDTF">2025-08-11T15:43:00Z</dcterms:modified>
</cp:coreProperties>
</file>