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5CA0" w14:textId="2208F486" w:rsidR="00675A9D" w:rsidRDefault="00675A9D" w:rsidP="00675A9D">
      <w:pPr>
        <w:spacing w:line="360" w:lineRule="auto"/>
        <w:jc w:val="left"/>
        <w:rPr>
          <w:rFonts w:ascii="Times New Roman" w:hAnsi="Times New Roman" w:cs="Times New Roman"/>
          <w:b/>
          <w:bCs/>
          <w:sz w:val="28"/>
          <w:szCs w:val="28"/>
        </w:rPr>
      </w:pPr>
      <w:r w:rsidRPr="00675A9D">
        <w:rPr>
          <w:rFonts w:ascii="Times New Roman" w:hAnsi="Times New Roman" w:cs="Times New Roman"/>
          <w:b/>
          <w:bCs/>
          <w:sz w:val="28"/>
          <w:szCs w:val="28"/>
        </w:rPr>
        <w:t>Supplementary Appendix 1</w:t>
      </w:r>
    </w:p>
    <w:p w14:paraId="4D256C31" w14:textId="2FB4811F" w:rsidR="00675A9D" w:rsidRDefault="00675A9D" w:rsidP="00675A9D">
      <w:pPr>
        <w:spacing w:line="360" w:lineRule="auto"/>
        <w:jc w:val="center"/>
        <w:rPr>
          <w:rFonts w:ascii="Times New Roman" w:hAnsi="Times New Roman" w:cs="Times New Roman"/>
          <w:b/>
          <w:bCs/>
          <w:sz w:val="28"/>
          <w:szCs w:val="28"/>
        </w:rPr>
      </w:pPr>
      <w:r w:rsidRPr="00675A9D">
        <w:rPr>
          <w:rFonts w:ascii="Times New Roman" w:hAnsi="Times New Roman" w:cs="Times New Roman"/>
          <w:b/>
          <w:bCs/>
          <w:sz w:val="28"/>
          <w:szCs w:val="28"/>
        </w:rPr>
        <w:t>Standardized Anesthesia Management Protocol</w:t>
      </w:r>
    </w:p>
    <w:p w14:paraId="716A26CB" w14:textId="77777777" w:rsid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szCs w:val="21"/>
        </w:rPr>
        <w:t>This appendix outlines the standardized anesthesia protocol applied to all patients undergoing cardiovascular surgery in this study. The protocol aimed to ensure hemodynamic stability, optimal organ perfusion, and uniform perioperative care.</w:t>
      </w:r>
    </w:p>
    <w:p w14:paraId="71DFACFF" w14:textId="77777777"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1. Preoperative Preparation</w:t>
      </w:r>
    </w:p>
    <w:p w14:paraId="2CFCAF3E"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Monitoring setup:</w:t>
      </w:r>
      <w:r w:rsidRPr="00675A9D">
        <w:rPr>
          <w:rFonts w:ascii="Times New Roman" w:hAnsi="Times New Roman" w:cs="Times New Roman"/>
          <w:szCs w:val="21"/>
        </w:rPr>
        <w:t xml:space="preserve"> After entering the operating room, patients received continuous electrocardiography (ECG), pulse oximetry (SpO₂), non-invasive blood pressure (NIBP), and bispectral index (BIS) monitoring.</w:t>
      </w:r>
    </w:p>
    <w:p w14:paraId="74DBBA0F"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Peripheral venous access:</w:t>
      </w:r>
      <w:r w:rsidRPr="00675A9D">
        <w:rPr>
          <w:rFonts w:ascii="Times New Roman" w:hAnsi="Times New Roman" w:cs="Times New Roman"/>
          <w:szCs w:val="21"/>
        </w:rPr>
        <w:t xml:space="preserve"> A 16-gauge catheter was inserted into the antecubital vein following local infiltration with 1% lidocaine.</w:t>
      </w:r>
    </w:p>
    <w:p w14:paraId="2C7DB7CE" w14:textId="77777777" w:rsid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Arterial line placement:</w:t>
      </w:r>
      <w:r w:rsidRPr="00675A9D">
        <w:rPr>
          <w:rFonts w:ascii="Times New Roman" w:hAnsi="Times New Roman" w:cs="Times New Roman"/>
          <w:szCs w:val="21"/>
        </w:rPr>
        <w:t xml:space="preserve"> The left radial artery was cannulated under local anesthesia for continuous invasive blood pressure monitoring, following confirmation with Allen’s test.</w:t>
      </w:r>
    </w:p>
    <w:p w14:paraId="5F52C4B9" w14:textId="77777777"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2. Anesthesia Induction</w:t>
      </w:r>
    </w:p>
    <w:p w14:paraId="0551C39A" w14:textId="54462308"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Induction agents:</w:t>
      </w:r>
      <w:r w:rsidRPr="00675A9D">
        <w:rPr>
          <w:rFonts w:ascii="Times New Roman" w:hAnsi="Times New Roman" w:cs="Times New Roman"/>
          <w:szCs w:val="21"/>
        </w:rPr>
        <w:t xml:space="preserve"> Midazolam (0.03</w:t>
      </w:r>
      <w:r>
        <w:rPr>
          <w:rFonts w:ascii="Times New Roman" w:hAnsi="Times New Roman" w:cs="Times New Roman" w:hint="eastAsia"/>
          <w:szCs w:val="21"/>
        </w:rPr>
        <w:t>-</w:t>
      </w:r>
      <w:r w:rsidRPr="00675A9D">
        <w:rPr>
          <w:rFonts w:ascii="Times New Roman" w:hAnsi="Times New Roman" w:cs="Times New Roman"/>
          <w:szCs w:val="21"/>
        </w:rPr>
        <w:t>0.05 mg/kg), etomidate (0.2</w:t>
      </w:r>
      <w:r>
        <w:rPr>
          <w:rFonts w:ascii="Times New Roman" w:hAnsi="Times New Roman" w:cs="Times New Roman" w:hint="eastAsia"/>
          <w:szCs w:val="21"/>
        </w:rPr>
        <w:t>-</w:t>
      </w:r>
      <w:r w:rsidRPr="00675A9D">
        <w:rPr>
          <w:rFonts w:ascii="Times New Roman" w:hAnsi="Times New Roman" w:cs="Times New Roman"/>
          <w:szCs w:val="21"/>
        </w:rPr>
        <w:t>0.3 mg/kg), sufentanil (0.3</w:t>
      </w:r>
      <w:r>
        <w:rPr>
          <w:rFonts w:ascii="Times New Roman" w:hAnsi="Times New Roman" w:cs="Times New Roman" w:hint="eastAsia"/>
          <w:szCs w:val="21"/>
        </w:rPr>
        <w:t>-</w:t>
      </w:r>
      <w:r w:rsidRPr="00675A9D">
        <w:rPr>
          <w:rFonts w:ascii="Times New Roman" w:hAnsi="Times New Roman" w:cs="Times New Roman"/>
          <w:szCs w:val="21"/>
        </w:rPr>
        <w:t>0.5 μg/kg), and rocuronium (0.6</w:t>
      </w:r>
      <w:r>
        <w:rPr>
          <w:rFonts w:ascii="Times New Roman" w:hAnsi="Times New Roman" w:cs="Times New Roman" w:hint="eastAsia"/>
          <w:szCs w:val="21"/>
        </w:rPr>
        <w:t>-</w:t>
      </w:r>
      <w:r w:rsidRPr="00675A9D">
        <w:rPr>
          <w:rFonts w:ascii="Times New Roman" w:hAnsi="Times New Roman" w:cs="Times New Roman"/>
          <w:szCs w:val="21"/>
        </w:rPr>
        <w:t>1.0 mg/kg) were administered intravenously.</w:t>
      </w:r>
    </w:p>
    <w:p w14:paraId="2CC9AEFB"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Airway management:</w:t>
      </w:r>
      <w:r w:rsidRPr="00675A9D">
        <w:rPr>
          <w:rFonts w:ascii="Times New Roman" w:hAnsi="Times New Roman" w:cs="Times New Roman"/>
          <w:szCs w:val="21"/>
        </w:rPr>
        <w:t xml:space="preserve"> Endotracheal intubation was performed following adequate neuromuscular blockade.</w:t>
      </w:r>
    </w:p>
    <w:p w14:paraId="504AAA53"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Central venous access:</w:t>
      </w:r>
      <w:r w:rsidRPr="00675A9D">
        <w:rPr>
          <w:rFonts w:ascii="Times New Roman" w:hAnsi="Times New Roman" w:cs="Times New Roman"/>
          <w:szCs w:val="21"/>
        </w:rPr>
        <w:t xml:space="preserve"> A triple-lumen central venous catheter was placed via the right internal jugular vein under ultrasound guidance.</w:t>
      </w:r>
    </w:p>
    <w:p w14:paraId="72E4EA7D" w14:textId="77777777"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3. Maintenance of Anesthesia</w:t>
      </w:r>
    </w:p>
    <w:p w14:paraId="5304B6A5" w14:textId="1A1B525B"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Intravenous agents:</w:t>
      </w:r>
      <w:r w:rsidRPr="00675A9D">
        <w:rPr>
          <w:rFonts w:ascii="Times New Roman" w:hAnsi="Times New Roman" w:cs="Times New Roman"/>
          <w:szCs w:val="21"/>
        </w:rPr>
        <w:t xml:space="preserve"> Propofol (50</w:t>
      </w:r>
      <w:r>
        <w:rPr>
          <w:rFonts w:ascii="Times New Roman" w:hAnsi="Times New Roman" w:cs="Times New Roman" w:hint="eastAsia"/>
          <w:szCs w:val="21"/>
        </w:rPr>
        <w:t>-</w:t>
      </w:r>
      <w:r w:rsidRPr="00675A9D">
        <w:rPr>
          <w:rFonts w:ascii="Times New Roman" w:hAnsi="Times New Roman" w:cs="Times New Roman"/>
          <w:szCs w:val="21"/>
        </w:rPr>
        <w:t>100 μg/kg/min), remifentanil (0.1</w:t>
      </w:r>
      <w:r>
        <w:rPr>
          <w:rFonts w:ascii="Times New Roman" w:hAnsi="Times New Roman" w:cs="Times New Roman" w:hint="eastAsia"/>
          <w:szCs w:val="21"/>
        </w:rPr>
        <w:t>-</w:t>
      </w:r>
      <w:r w:rsidRPr="00675A9D">
        <w:rPr>
          <w:rFonts w:ascii="Times New Roman" w:hAnsi="Times New Roman" w:cs="Times New Roman"/>
          <w:szCs w:val="21"/>
        </w:rPr>
        <w:t>0.2 μg/kg/min), and dexmedetomidine (0.2</w:t>
      </w:r>
      <w:r>
        <w:rPr>
          <w:rFonts w:ascii="Times New Roman" w:hAnsi="Times New Roman" w:cs="Times New Roman" w:hint="eastAsia"/>
          <w:szCs w:val="21"/>
        </w:rPr>
        <w:t>-</w:t>
      </w:r>
      <w:r w:rsidRPr="00675A9D">
        <w:rPr>
          <w:rFonts w:ascii="Times New Roman" w:hAnsi="Times New Roman" w:cs="Times New Roman"/>
          <w:szCs w:val="21"/>
        </w:rPr>
        <w:t>0.7 μg/kg/h) were continuously infused.</w:t>
      </w:r>
    </w:p>
    <w:p w14:paraId="76DFADE2" w14:textId="37FABC58"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Inhalational anesthetic:</w:t>
      </w:r>
      <w:r w:rsidRPr="00675A9D">
        <w:rPr>
          <w:rFonts w:ascii="Times New Roman" w:hAnsi="Times New Roman" w:cs="Times New Roman"/>
          <w:szCs w:val="21"/>
        </w:rPr>
        <w:t xml:space="preserve"> Sevoflurane (1.0</w:t>
      </w:r>
      <w:r>
        <w:rPr>
          <w:rFonts w:ascii="Times New Roman" w:hAnsi="Times New Roman" w:cs="Times New Roman" w:hint="eastAsia"/>
          <w:szCs w:val="21"/>
        </w:rPr>
        <w:t>-</w:t>
      </w:r>
      <w:r w:rsidRPr="00675A9D">
        <w:rPr>
          <w:rFonts w:ascii="Times New Roman" w:hAnsi="Times New Roman" w:cs="Times New Roman"/>
          <w:szCs w:val="21"/>
        </w:rPr>
        <w:t>2.0 vol%) was used for maintenance of anesthesia depth.</w:t>
      </w:r>
    </w:p>
    <w:p w14:paraId="7E1E9E0D"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Neuromuscular blockade:</w:t>
      </w:r>
      <w:r w:rsidRPr="00675A9D">
        <w:rPr>
          <w:rFonts w:ascii="Times New Roman" w:hAnsi="Times New Roman" w:cs="Times New Roman"/>
          <w:szCs w:val="21"/>
        </w:rPr>
        <w:t xml:space="preserve"> Rocuronium was intermittently administered as needed.</w:t>
      </w:r>
    </w:p>
    <w:p w14:paraId="77A248BD"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Intraoperative monitoring:</w:t>
      </w:r>
      <w:r w:rsidRPr="00675A9D">
        <w:rPr>
          <w:rFonts w:ascii="Times New Roman" w:hAnsi="Times New Roman" w:cs="Times New Roman"/>
          <w:szCs w:val="21"/>
        </w:rPr>
        <w:t xml:space="preserve"> Transesophageal echocardiography (TEE) was routinely utilized to evaluate myocardial function, valvular status, and volume responsiveness.</w:t>
      </w:r>
    </w:p>
    <w:p w14:paraId="27CD69C8"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b/>
          <w:bCs/>
          <w:szCs w:val="21"/>
        </w:rPr>
        <w:t>Cardiac output monitoring:</w:t>
      </w:r>
      <w:r w:rsidRPr="00675A9D">
        <w:rPr>
          <w:rFonts w:ascii="Times New Roman" w:hAnsi="Times New Roman" w:cs="Times New Roman"/>
          <w:szCs w:val="21"/>
        </w:rPr>
        <w:t xml:space="preserve"> For patients undergoing complex aortic procedures, cardiac </w:t>
      </w:r>
      <w:r w:rsidRPr="00675A9D">
        <w:rPr>
          <w:rFonts w:ascii="Times New Roman" w:hAnsi="Times New Roman" w:cs="Times New Roman"/>
          <w:szCs w:val="21"/>
        </w:rPr>
        <w:lastRenderedPageBreak/>
        <w:t>output (CO), stroke volume variation (SVV), and systemic vascular resistance (SVR) were continuously monitored using a Vigileo/Flotrac system connected to a femoral arterial line.</w:t>
      </w:r>
    </w:p>
    <w:p w14:paraId="0E5FDF86" w14:textId="77777777"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4. Hemodynamic Management</w:t>
      </w:r>
    </w:p>
    <w:p w14:paraId="1A06F9E0" w14:textId="27DC393E"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szCs w:val="21"/>
        </w:rPr>
        <w:t>Vasoactive drugs (e.g., norepinephrine, dopamine) were administered through central venous access and titrated to maintain target blood pressure and perfusion indices.</w:t>
      </w:r>
    </w:p>
    <w:p w14:paraId="18ACD414" w14:textId="2F0FA821"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szCs w:val="21"/>
        </w:rPr>
        <w:t>Fluid therapy (crystalloids, autologous or stored blood) was guided by hemodynamic targets, blood loss, and urine output.</w:t>
      </w:r>
    </w:p>
    <w:p w14:paraId="70E66E2C" w14:textId="77777777"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5. Brain Protection Strategy (For Circulatory Arrest)</w:t>
      </w:r>
    </w:p>
    <w:p w14:paraId="531D741C"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szCs w:val="21"/>
        </w:rPr>
        <w:t>For procedures involving hypothermic circulatory arrest (e.g., DeBakey type I aortic dissection), the following protective strategies were used:</w:t>
      </w:r>
    </w:p>
    <w:p w14:paraId="2BFC4631" w14:textId="77777777" w:rsidR="00675A9D" w:rsidRPr="00675A9D" w:rsidRDefault="00675A9D" w:rsidP="00675A9D">
      <w:pPr>
        <w:pStyle w:val="a9"/>
        <w:numPr>
          <w:ilvl w:val="0"/>
          <w:numId w:val="5"/>
        </w:numPr>
        <w:spacing w:line="360" w:lineRule="auto"/>
        <w:jc w:val="left"/>
        <w:rPr>
          <w:rFonts w:ascii="Times New Roman" w:hAnsi="Times New Roman" w:cs="Times New Roman"/>
          <w:szCs w:val="21"/>
        </w:rPr>
      </w:pPr>
      <w:r w:rsidRPr="00675A9D">
        <w:rPr>
          <w:rFonts w:ascii="Times New Roman" w:hAnsi="Times New Roman" w:cs="Times New Roman"/>
          <w:szCs w:val="21"/>
        </w:rPr>
        <w:t>Systemic cooling to ≤28°C</w:t>
      </w:r>
    </w:p>
    <w:p w14:paraId="081D8E7C" w14:textId="77777777" w:rsidR="00675A9D" w:rsidRPr="00675A9D" w:rsidRDefault="00675A9D" w:rsidP="00675A9D">
      <w:pPr>
        <w:pStyle w:val="a9"/>
        <w:numPr>
          <w:ilvl w:val="0"/>
          <w:numId w:val="5"/>
        </w:numPr>
        <w:spacing w:line="360" w:lineRule="auto"/>
        <w:jc w:val="left"/>
        <w:rPr>
          <w:rFonts w:ascii="Times New Roman" w:hAnsi="Times New Roman" w:cs="Times New Roman"/>
          <w:szCs w:val="21"/>
        </w:rPr>
      </w:pPr>
      <w:r w:rsidRPr="00675A9D">
        <w:rPr>
          <w:rFonts w:ascii="Times New Roman" w:hAnsi="Times New Roman" w:cs="Times New Roman"/>
          <w:szCs w:val="21"/>
        </w:rPr>
        <w:t>Administration of deep anesthesia before arrest</w:t>
      </w:r>
    </w:p>
    <w:p w14:paraId="70EFE5DD" w14:textId="77777777" w:rsidR="00675A9D" w:rsidRPr="00675A9D" w:rsidRDefault="00675A9D" w:rsidP="00675A9D">
      <w:pPr>
        <w:pStyle w:val="a9"/>
        <w:numPr>
          <w:ilvl w:val="0"/>
          <w:numId w:val="5"/>
        </w:numPr>
        <w:spacing w:line="360" w:lineRule="auto"/>
        <w:jc w:val="left"/>
        <w:rPr>
          <w:rFonts w:ascii="Times New Roman" w:hAnsi="Times New Roman" w:cs="Times New Roman"/>
          <w:szCs w:val="21"/>
        </w:rPr>
      </w:pPr>
      <w:r w:rsidRPr="00675A9D">
        <w:rPr>
          <w:rFonts w:ascii="Times New Roman" w:hAnsi="Times New Roman" w:cs="Times New Roman"/>
          <w:szCs w:val="21"/>
        </w:rPr>
        <w:t>Application of scalp ice packs</w:t>
      </w:r>
    </w:p>
    <w:p w14:paraId="7C3E8F88" w14:textId="77777777"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6. Transfer to ICU</w:t>
      </w:r>
    </w:p>
    <w:p w14:paraId="071552BD" w14:textId="77777777" w:rsidR="00675A9D" w:rsidRPr="00675A9D" w:rsidRDefault="00675A9D" w:rsidP="00675A9D">
      <w:pPr>
        <w:spacing w:line="360" w:lineRule="auto"/>
        <w:ind w:firstLineChars="200" w:firstLine="420"/>
        <w:jc w:val="left"/>
        <w:rPr>
          <w:rFonts w:ascii="Times New Roman" w:hAnsi="Times New Roman" w:cs="Times New Roman"/>
          <w:szCs w:val="21"/>
        </w:rPr>
      </w:pPr>
      <w:r w:rsidRPr="00675A9D">
        <w:rPr>
          <w:rFonts w:ascii="Times New Roman" w:hAnsi="Times New Roman" w:cs="Times New Roman"/>
          <w:szCs w:val="21"/>
        </w:rPr>
        <w:t>Following surgery, all patients were transferred to the intensive care unit (ICU) under mechanical ventilation and continuous monitoring for further postoperative care.</w:t>
      </w:r>
    </w:p>
    <w:p w14:paraId="6EEC964C" w14:textId="77777777" w:rsidR="00675A9D" w:rsidRDefault="00675A9D" w:rsidP="00675A9D">
      <w:pPr>
        <w:spacing w:line="360" w:lineRule="auto"/>
        <w:jc w:val="left"/>
        <w:rPr>
          <w:rFonts w:ascii="Times New Roman" w:hAnsi="Times New Roman" w:cs="Times New Roman"/>
          <w:b/>
          <w:bCs/>
          <w:szCs w:val="21"/>
        </w:rPr>
      </w:pPr>
    </w:p>
    <w:p w14:paraId="17D3FFE7" w14:textId="66F20D14" w:rsidR="00675A9D" w:rsidRPr="00675A9D" w:rsidRDefault="00675A9D" w:rsidP="00675A9D">
      <w:pPr>
        <w:spacing w:line="360" w:lineRule="auto"/>
        <w:jc w:val="left"/>
        <w:rPr>
          <w:rFonts w:ascii="Times New Roman" w:hAnsi="Times New Roman" w:cs="Times New Roman"/>
          <w:b/>
          <w:bCs/>
          <w:szCs w:val="21"/>
        </w:rPr>
      </w:pPr>
      <w:r w:rsidRPr="00675A9D">
        <w:rPr>
          <w:rFonts w:ascii="Times New Roman" w:hAnsi="Times New Roman" w:cs="Times New Roman"/>
          <w:b/>
          <w:bCs/>
          <w:szCs w:val="21"/>
        </w:rPr>
        <w:t>Notes:</w:t>
      </w:r>
    </w:p>
    <w:p w14:paraId="3B0D08ED" w14:textId="77777777" w:rsidR="00675A9D" w:rsidRPr="00675A9D" w:rsidRDefault="00675A9D" w:rsidP="00675A9D">
      <w:pPr>
        <w:pStyle w:val="a9"/>
        <w:numPr>
          <w:ilvl w:val="0"/>
          <w:numId w:val="8"/>
        </w:numPr>
        <w:spacing w:line="360" w:lineRule="auto"/>
        <w:jc w:val="left"/>
        <w:rPr>
          <w:rFonts w:ascii="Times New Roman" w:hAnsi="Times New Roman" w:cs="Times New Roman"/>
          <w:szCs w:val="21"/>
        </w:rPr>
      </w:pPr>
      <w:r w:rsidRPr="00675A9D">
        <w:rPr>
          <w:rFonts w:ascii="Times New Roman" w:hAnsi="Times New Roman" w:cs="Times New Roman"/>
          <w:szCs w:val="21"/>
        </w:rPr>
        <w:t>All drugs and interventions were adjusted according to intraoperative events and individualized patient responses.</w:t>
      </w:r>
    </w:p>
    <w:p w14:paraId="7E1C34ED" w14:textId="77777777" w:rsidR="00675A9D" w:rsidRPr="00675A9D" w:rsidRDefault="00675A9D" w:rsidP="00675A9D">
      <w:pPr>
        <w:pStyle w:val="a9"/>
        <w:numPr>
          <w:ilvl w:val="0"/>
          <w:numId w:val="8"/>
        </w:numPr>
        <w:spacing w:line="360" w:lineRule="auto"/>
        <w:jc w:val="left"/>
        <w:rPr>
          <w:rFonts w:ascii="Times New Roman" w:hAnsi="Times New Roman" w:cs="Times New Roman"/>
          <w:szCs w:val="21"/>
        </w:rPr>
      </w:pPr>
      <w:r w:rsidRPr="00675A9D">
        <w:rPr>
          <w:rFonts w:ascii="Times New Roman" w:hAnsi="Times New Roman" w:cs="Times New Roman"/>
          <w:szCs w:val="21"/>
        </w:rPr>
        <w:t>The protocol was developed in accordance with institutional standards and national guidelines for cardiac anesthesia.</w:t>
      </w:r>
    </w:p>
    <w:p w14:paraId="47CE3F0E" w14:textId="77777777" w:rsidR="00A03850" w:rsidRDefault="00A03850">
      <w:pPr>
        <w:rPr>
          <w:rFonts w:hint="eastAsia"/>
        </w:rPr>
      </w:pPr>
    </w:p>
    <w:sectPr w:rsidR="00A038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87AA" w14:textId="77777777" w:rsidR="00B91255" w:rsidRDefault="00B91255" w:rsidP="00DF3A82">
      <w:pPr>
        <w:rPr>
          <w:rFonts w:hint="eastAsia"/>
        </w:rPr>
      </w:pPr>
      <w:r>
        <w:separator/>
      </w:r>
    </w:p>
  </w:endnote>
  <w:endnote w:type="continuationSeparator" w:id="0">
    <w:p w14:paraId="6C661D4A" w14:textId="77777777" w:rsidR="00B91255" w:rsidRDefault="00B91255" w:rsidP="00DF3A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50AD" w14:textId="77777777" w:rsidR="00B91255" w:rsidRDefault="00B91255" w:rsidP="00DF3A82">
      <w:pPr>
        <w:rPr>
          <w:rFonts w:hint="eastAsia"/>
        </w:rPr>
      </w:pPr>
      <w:r>
        <w:separator/>
      </w:r>
    </w:p>
  </w:footnote>
  <w:footnote w:type="continuationSeparator" w:id="0">
    <w:p w14:paraId="1DB727C8" w14:textId="77777777" w:rsidR="00B91255" w:rsidRDefault="00B91255" w:rsidP="00DF3A8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208"/>
    <w:multiLevelType w:val="hybridMultilevel"/>
    <w:tmpl w:val="4366FB52"/>
    <w:lvl w:ilvl="0" w:tplc="6CB27EA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6B15C6E"/>
    <w:multiLevelType w:val="multilevel"/>
    <w:tmpl w:val="829A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C2A85"/>
    <w:multiLevelType w:val="hybridMultilevel"/>
    <w:tmpl w:val="B88AF3BC"/>
    <w:lvl w:ilvl="0" w:tplc="6CB27EA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6954D0"/>
    <w:multiLevelType w:val="multilevel"/>
    <w:tmpl w:val="009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56F68"/>
    <w:multiLevelType w:val="multilevel"/>
    <w:tmpl w:val="78A0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1027F"/>
    <w:multiLevelType w:val="multilevel"/>
    <w:tmpl w:val="CCB8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07FA8"/>
    <w:multiLevelType w:val="multilevel"/>
    <w:tmpl w:val="2F40F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A3DDC"/>
    <w:multiLevelType w:val="multilevel"/>
    <w:tmpl w:val="CE4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021044">
    <w:abstractNumId w:val="5"/>
  </w:num>
  <w:num w:numId="2" w16cid:durableId="24867386">
    <w:abstractNumId w:val="4"/>
  </w:num>
  <w:num w:numId="3" w16cid:durableId="1724019525">
    <w:abstractNumId w:val="3"/>
  </w:num>
  <w:num w:numId="4" w16cid:durableId="1295868067">
    <w:abstractNumId w:val="6"/>
  </w:num>
  <w:num w:numId="5" w16cid:durableId="258371639">
    <w:abstractNumId w:val="2"/>
  </w:num>
  <w:num w:numId="6" w16cid:durableId="187715746">
    <w:abstractNumId w:val="1"/>
  </w:num>
  <w:num w:numId="7" w16cid:durableId="1739591051">
    <w:abstractNumId w:val="7"/>
  </w:num>
  <w:num w:numId="8" w16cid:durableId="73959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4BB1"/>
    <w:rsid w:val="000856B3"/>
    <w:rsid w:val="00554BB1"/>
    <w:rsid w:val="005F3A69"/>
    <w:rsid w:val="00675A9D"/>
    <w:rsid w:val="00867B3F"/>
    <w:rsid w:val="009A7409"/>
    <w:rsid w:val="00A03850"/>
    <w:rsid w:val="00B90597"/>
    <w:rsid w:val="00B91255"/>
    <w:rsid w:val="00DF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AF7F"/>
  <w15:chartTrackingRefBased/>
  <w15:docId w15:val="{53A3F837-11A5-4A3B-A828-F477F850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A82"/>
    <w:pPr>
      <w:widowControl w:val="0"/>
      <w:jc w:val="both"/>
    </w:pPr>
  </w:style>
  <w:style w:type="paragraph" w:styleId="1">
    <w:name w:val="heading 1"/>
    <w:basedOn w:val="a"/>
    <w:next w:val="a"/>
    <w:link w:val="10"/>
    <w:uiPriority w:val="9"/>
    <w:qFormat/>
    <w:rsid w:val="00554B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4B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4B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54B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54BB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54B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54B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B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54BB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B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4B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4B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4BB1"/>
    <w:rPr>
      <w:rFonts w:cstheme="majorBidi"/>
      <w:color w:val="0F4761" w:themeColor="accent1" w:themeShade="BF"/>
      <w:sz w:val="28"/>
      <w:szCs w:val="28"/>
    </w:rPr>
  </w:style>
  <w:style w:type="character" w:customStyle="1" w:styleId="50">
    <w:name w:val="标题 5 字符"/>
    <w:basedOn w:val="a0"/>
    <w:link w:val="5"/>
    <w:uiPriority w:val="9"/>
    <w:semiHidden/>
    <w:rsid w:val="00554BB1"/>
    <w:rPr>
      <w:rFonts w:cstheme="majorBidi"/>
      <w:color w:val="0F4761" w:themeColor="accent1" w:themeShade="BF"/>
      <w:sz w:val="24"/>
      <w:szCs w:val="24"/>
    </w:rPr>
  </w:style>
  <w:style w:type="character" w:customStyle="1" w:styleId="60">
    <w:name w:val="标题 6 字符"/>
    <w:basedOn w:val="a0"/>
    <w:link w:val="6"/>
    <w:uiPriority w:val="9"/>
    <w:semiHidden/>
    <w:rsid w:val="00554BB1"/>
    <w:rPr>
      <w:rFonts w:cstheme="majorBidi"/>
      <w:b/>
      <w:bCs/>
      <w:color w:val="0F4761" w:themeColor="accent1" w:themeShade="BF"/>
    </w:rPr>
  </w:style>
  <w:style w:type="character" w:customStyle="1" w:styleId="70">
    <w:name w:val="标题 7 字符"/>
    <w:basedOn w:val="a0"/>
    <w:link w:val="7"/>
    <w:uiPriority w:val="9"/>
    <w:semiHidden/>
    <w:rsid w:val="00554BB1"/>
    <w:rPr>
      <w:rFonts w:cstheme="majorBidi"/>
      <w:b/>
      <w:bCs/>
      <w:color w:val="595959" w:themeColor="text1" w:themeTint="A6"/>
    </w:rPr>
  </w:style>
  <w:style w:type="character" w:customStyle="1" w:styleId="80">
    <w:name w:val="标题 8 字符"/>
    <w:basedOn w:val="a0"/>
    <w:link w:val="8"/>
    <w:uiPriority w:val="9"/>
    <w:semiHidden/>
    <w:rsid w:val="00554BB1"/>
    <w:rPr>
      <w:rFonts w:cstheme="majorBidi"/>
      <w:color w:val="595959" w:themeColor="text1" w:themeTint="A6"/>
    </w:rPr>
  </w:style>
  <w:style w:type="character" w:customStyle="1" w:styleId="90">
    <w:name w:val="标题 9 字符"/>
    <w:basedOn w:val="a0"/>
    <w:link w:val="9"/>
    <w:uiPriority w:val="9"/>
    <w:semiHidden/>
    <w:rsid w:val="00554BB1"/>
    <w:rPr>
      <w:rFonts w:eastAsiaTheme="majorEastAsia" w:cstheme="majorBidi"/>
      <w:color w:val="595959" w:themeColor="text1" w:themeTint="A6"/>
    </w:rPr>
  </w:style>
  <w:style w:type="paragraph" w:styleId="a3">
    <w:name w:val="Title"/>
    <w:basedOn w:val="a"/>
    <w:next w:val="a"/>
    <w:link w:val="a4"/>
    <w:uiPriority w:val="10"/>
    <w:qFormat/>
    <w:rsid w:val="00554B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B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BB1"/>
    <w:pPr>
      <w:spacing w:before="160" w:after="160"/>
      <w:jc w:val="center"/>
    </w:pPr>
    <w:rPr>
      <w:i/>
      <w:iCs/>
      <w:color w:val="404040" w:themeColor="text1" w:themeTint="BF"/>
    </w:rPr>
  </w:style>
  <w:style w:type="character" w:customStyle="1" w:styleId="a8">
    <w:name w:val="引用 字符"/>
    <w:basedOn w:val="a0"/>
    <w:link w:val="a7"/>
    <w:uiPriority w:val="29"/>
    <w:rsid w:val="00554BB1"/>
    <w:rPr>
      <w:i/>
      <w:iCs/>
      <w:color w:val="404040" w:themeColor="text1" w:themeTint="BF"/>
    </w:rPr>
  </w:style>
  <w:style w:type="paragraph" w:styleId="a9">
    <w:name w:val="List Paragraph"/>
    <w:basedOn w:val="a"/>
    <w:uiPriority w:val="34"/>
    <w:qFormat/>
    <w:rsid w:val="00554BB1"/>
    <w:pPr>
      <w:ind w:left="720"/>
      <w:contextualSpacing/>
    </w:pPr>
  </w:style>
  <w:style w:type="character" w:styleId="aa">
    <w:name w:val="Intense Emphasis"/>
    <w:basedOn w:val="a0"/>
    <w:uiPriority w:val="21"/>
    <w:qFormat/>
    <w:rsid w:val="00554BB1"/>
    <w:rPr>
      <w:i/>
      <w:iCs/>
      <w:color w:val="0F4761" w:themeColor="accent1" w:themeShade="BF"/>
    </w:rPr>
  </w:style>
  <w:style w:type="paragraph" w:styleId="ab">
    <w:name w:val="Intense Quote"/>
    <w:basedOn w:val="a"/>
    <w:next w:val="a"/>
    <w:link w:val="ac"/>
    <w:uiPriority w:val="30"/>
    <w:qFormat/>
    <w:rsid w:val="00554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54BB1"/>
    <w:rPr>
      <w:i/>
      <w:iCs/>
      <w:color w:val="0F4761" w:themeColor="accent1" w:themeShade="BF"/>
    </w:rPr>
  </w:style>
  <w:style w:type="character" w:styleId="ad">
    <w:name w:val="Intense Reference"/>
    <w:basedOn w:val="a0"/>
    <w:uiPriority w:val="32"/>
    <w:qFormat/>
    <w:rsid w:val="00554BB1"/>
    <w:rPr>
      <w:b/>
      <w:bCs/>
      <w:smallCaps/>
      <w:color w:val="0F4761" w:themeColor="accent1" w:themeShade="BF"/>
      <w:spacing w:val="5"/>
    </w:rPr>
  </w:style>
  <w:style w:type="paragraph" w:styleId="ae">
    <w:name w:val="header"/>
    <w:basedOn w:val="a"/>
    <w:link w:val="af"/>
    <w:uiPriority w:val="99"/>
    <w:unhideWhenUsed/>
    <w:rsid w:val="00DF3A82"/>
    <w:pPr>
      <w:tabs>
        <w:tab w:val="center" w:pos="4153"/>
        <w:tab w:val="right" w:pos="8306"/>
      </w:tabs>
      <w:snapToGrid w:val="0"/>
      <w:jc w:val="center"/>
    </w:pPr>
    <w:rPr>
      <w:sz w:val="18"/>
      <w:szCs w:val="18"/>
    </w:rPr>
  </w:style>
  <w:style w:type="character" w:customStyle="1" w:styleId="af">
    <w:name w:val="页眉 字符"/>
    <w:basedOn w:val="a0"/>
    <w:link w:val="ae"/>
    <w:uiPriority w:val="99"/>
    <w:rsid w:val="00DF3A82"/>
    <w:rPr>
      <w:sz w:val="18"/>
      <w:szCs w:val="18"/>
    </w:rPr>
  </w:style>
  <w:style w:type="paragraph" w:styleId="af0">
    <w:name w:val="footer"/>
    <w:basedOn w:val="a"/>
    <w:link w:val="af1"/>
    <w:uiPriority w:val="99"/>
    <w:unhideWhenUsed/>
    <w:rsid w:val="00DF3A82"/>
    <w:pPr>
      <w:tabs>
        <w:tab w:val="center" w:pos="4153"/>
        <w:tab w:val="right" w:pos="8306"/>
      </w:tabs>
      <w:snapToGrid w:val="0"/>
      <w:jc w:val="left"/>
    </w:pPr>
    <w:rPr>
      <w:sz w:val="18"/>
      <w:szCs w:val="18"/>
    </w:rPr>
  </w:style>
  <w:style w:type="character" w:customStyle="1" w:styleId="af1">
    <w:name w:val="页脚 字符"/>
    <w:basedOn w:val="a0"/>
    <w:link w:val="af0"/>
    <w:uiPriority w:val="99"/>
    <w:rsid w:val="00DF3A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957">
      <w:bodyDiv w:val="1"/>
      <w:marLeft w:val="0"/>
      <w:marRight w:val="0"/>
      <w:marTop w:val="0"/>
      <w:marBottom w:val="0"/>
      <w:divBdr>
        <w:top w:val="none" w:sz="0" w:space="0" w:color="auto"/>
        <w:left w:val="none" w:sz="0" w:space="0" w:color="auto"/>
        <w:bottom w:val="none" w:sz="0" w:space="0" w:color="auto"/>
        <w:right w:val="none" w:sz="0" w:space="0" w:color="auto"/>
      </w:divBdr>
    </w:div>
    <w:div w:id="286012438">
      <w:bodyDiv w:val="1"/>
      <w:marLeft w:val="0"/>
      <w:marRight w:val="0"/>
      <w:marTop w:val="0"/>
      <w:marBottom w:val="0"/>
      <w:divBdr>
        <w:top w:val="none" w:sz="0" w:space="0" w:color="auto"/>
        <w:left w:val="none" w:sz="0" w:space="0" w:color="auto"/>
        <w:bottom w:val="none" w:sz="0" w:space="0" w:color="auto"/>
        <w:right w:val="none" w:sz="0" w:space="0" w:color="auto"/>
      </w:divBdr>
    </w:div>
    <w:div w:id="289626933">
      <w:bodyDiv w:val="1"/>
      <w:marLeft w:val="0"/>
      <w:marRight w:val="0"/>
      <w:marTop w:val="0"/>
      <w:marBottom w:val="0"/>
      <w:divBdr>
        <w:top w:val="none" w:sz="0" w:space="0" w:color="auto"/>
        <w:left w:val="none" w:sz="0" w:space="0" w:color="auto"/>
        <w:bottom w:val="none" w:sz="0" w:space="0" w:color="auto"/>
        <w:right w:val="none" w:sz="0" w:space="0" w:color="auto"/>
      </w:divBdr>
    </w:div>
    <w:div w:id="371459763">
      <w:bodyDiv w:val="1"/>
      <w:marLeft w:val="0"/>
      <w:marRight w:val="0"/>
      <w:marTop w:val="0"/>
      <w:marBottom w:val="0"/>
      <w:divBdr>
        <w:top w:val="none" w:sz="0" w:space="0" w:color="auto"/>
        <w:left w:val="none" w:sz="0" w:space="0" w:color="auto"/>
        <w:bottom w:val="none" w:sz="0" w:space="0" w:color="auto"/>
        <w:right w:val="none" w:sz="0" w:space="0" w:color="auto"/>
      </w:divBdr>
    </w:div>
    <w:div w:id="413817971">
      <w:bodyDiv w:val="1"/>
      <w:marLeft w:val="0"/>
      <w:marRight w:val="0"/>
      <w:marTop w:val="0"/>
      <w:marBottom w:val="0"/>
      <w:divBdr>
        <w:top w:val="none" w:sz="0" w:space="0" w:color="auto"/>
        <w:left w:val="none" w:sz="0" w:space="0" w:color="auto"/>
        <w:bottom w:val="none" w:sz="0" w:space="0" w:color="auto"/>
        <w:right w:val="none" w:sz="0" w:space="0" w:color="auto"/>
      </w:divBdr>
    </w:div>
    <w:div w:id="838882318">
      <w:bodyDiv w:val="1"/>
      <w:marLeft w:val="0"/>
      <w:marRight w:val="0"/>
      <w:marTop w:val="0"/>
      <w:marBottom w:val="0"/>
      <w:divBdr>
        <w:top w:val="none" w:sz="0" w:space="0" w:color="auto"/>
        <w:left w:val="none" w:sz="0" w:space="0" w:color="auto"/>
        <w:bottom w:val="none" w:sz="0" w:space="0" w:color="auto"/>
        <w:right w:val="none" w:sz="0" w:space="0" w:color="auto"/>
      </w:divBdr>
    </w:div>
    <w:div w:id="861168069">
      <w:bodyDiv w:val="1"/>
      <w:marLeft w:val="0"/>
      <w:marRight w:val="0"/>
      <w:marTop w:val="0"/>
      <w:marBottom w:val="0"/>
      <w:divBdr>
        <w:top w:val="none" w:sz="0" w:space="0" w:color="auto"/>
        <w:left w:val="none" w:sz="0" w:space="0" w:color="auto"/>
        <w:bottom w:val="none" w:sz="0" w:space="0" w:color="auto"/>
        <w:right w:val="none" w:sz="0" w:space="0" w:color="auto"/>
      </w:divBdr>
    </w:div>
    <w:div w:id="1525899568">
      <w:bodyDiv w:val="1"/>
      <w:marLeft w:val="0"/>
      <w:marRight w:val="0"/>
      <w:marTop w:val="0"/>
      <w:marBottom w:val="0"/>
      <w:divBdr>
        <w:top w:val="none" w:sz="0" w:space="0" w:color="auto"/>
        <w:left w:val="none" w:sz="0" w:space="0" w:color="auto"/>
        <w:bottom w:val="none" w:sz="0" w:space="0" w:color="auto"/>
        <w:right w:val="none" w:sz="0" w:space="0" w:color="auto"/>
      </w:divBdr>
    </w:div>
    <w:div w:id="1779450385">
      <w:bodyDiv w:val="1"/>
      <w:marLeft w:val="0"/>
      <w:marRight w:val="0"/>
      <w:marTop w:val="0"/>
      <w:marBottom w:val="0"/>
      <w:divBdr>
        <w:top w:val="none" w:sz="0" w:space="0" w:color="auto"/>
        <w:left w:val="none" w:sz="0" w:space="0" w:color="auto"/>
        <w:bottom w:val="none" w:sz="0" w:space="0" w:color="auto"/>
        <w:right w:val="none" w:sz="0" w:space="0" w:color="auto"/>
      </w:divBdr>
    </w:div>
    <w:div w:id="1782142413">
      <w:bodyDiv w:val="1"/>
      <w:marLeft w:val="0"/>
      <w:marRight w:val="0"/>
      <w:marTop w:val="0"/>
      <w:marBottom w:val="0"/>
      <w:divBdr>
        <w:top w:val="none" w:sz="0" w:space="0" w:color="auto"/>
        <w:left w:val="none" w:sz="0" w:space="0" w:color="auto"/>
        <w:bottom w:val="none" w:sz="0" w:space="0" w:color="auto"/>
        <w:right w:val="none" w:sz="0" w:space="0" w:color="auto"/>
      </w:divBdr>
    </w:div>
    <w:div w:id="1833253035">
      <w:bodyDiv w:val="1"/>
      <w:marLeft w:val="0"/>
      <w:marRight w:val="0"/>
      <w:marTop w:val="0"/>
      <w:marBottom w:val="0"/>
      <w:divBdr>
        <w:top w:val="none" w:sz="0" w:space="0" w:color="auto"/>
        <w:left w:val="none" w:sz="0" w:space="0" w:color="auto"/>
        <w:bottom w:val="none" w:sz="0" w:space="0" w:color="auto"/>
        <w:right w:val="none" w:sz="0" w:space="0" w:color="auto"/>
      </w:divBdr>
    </w:div>
    <w:div w:id="1951662607">
      <w:bodyDiv w:val="1"/>
      <w:marLeft w:val="0"/>
      <w:marRight w:val="0"/>
      <w:marTop w:val="0"/>
      <w:marBottom w:val="0"/>
      <w:divBdr>
        <w:top w:val="none" w:sz="0" w:space="0" w:color="auto"/>
        <w:left w:val="none" w:sz="0" w:space="0" w:color="auto"/>
        <w:bottom w:val="none" w:sz="0" w:space="0" w:color="auto"/>
        <w:right w:val="none" w:sz="0" w:space="0" w:color="auto"/>
      </w:divBdr>
    </w:div>
    <w:div w:id="1979456331">
      <w:bodyDiv w:val="1"/>
      <w:marLeft w:val="0"/>
      <w:marRight w:val="0"/>
      <w:marTop w:val="0"/>
      <w:marBottom w:val="0"/>
      <w:divBdr>
        <w:top w:val="none" w:sz="0" w:space="0" w:color="auto"/>
        <w:left w:val="none" w:sz="0" w:space="0" w:color="auto"/>
        <w:bottom w:val="none" w:sz="0" w:space="0" w:color="auto"/>
        <w:right w:val="none" w:sz="0" w:space="0" w:color="auto"/>
      </w:divBdr>
    </w:div>
    <w:div w:id="21189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zhang</dc:creator>
  <cp:keywords/>
  <dc:description/>
  <cp:lastModifiedBy>luo zhang</cp:lastModifiedBy>
  <cp:revision>3</cp:revision>
  <dcterms:created xsi:type="dcterms:W3CDTF">2025-07-10T02:48:00Z</dcterms:created>
  <dcterms:modified xsi:type="dcterms:W3CDTF">2025-07-10T03:03:00Z</dcterms:modified>
</cp:coreProperties>
</file>