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C523D" w14:textId="77777777" w:rsidR="00AB64CB" w:rsidRDefault="00AB64CB" w:rsidP="00AB64CB">
      <w:pPr>
        <w:rPr>
          <w:iCs/>
          <w:lang w:val="en-GB"/>
        </w:rPr>
      </w:pPr>
      <w:r>
        <w:rPr>
          <w:b/>
          <w:bCs/>
          <w:iCs/>
          <w:lang w:val="en-GB"/>
        </w:rPr>
        <w:t>Supplementary Table 1</w:t>
      </w:r>
      <w:r>
        <w:rPr>
          <w:iCs/>
          <w:lang w:val="en-GB"/>
        </w:rPr>
        <w:t xml:space="preserve"> GenBank accession numbers for the isolates</w:t>
      </w:r>
      <w:r>
        <w:rPr>
          <w:i/>
          <w:iCs/>
          <w:lang w:val="en-GB"/>
        </w:rPr>
        <w:t xml:space="preserve"> </w:t>
      </w:r>
      <w:r>
        <w:rPr>
          <w:iCs/>
          <w:lang w:val="en-GB"/>
        </w:rPr>
        <w:t>included in the phylogenetic analysis in this study.</w:t>
      </w:r>
    </w:p>
    <w:tbl>
      <w:tblPr>
        <w:tblStyle w:val="TableGrid3"/>
        <w:tblW w:w="12240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0"/>
        <w:gridCol w:w="2095"/>
        <w:gridCol w:w="2435"/>
        <w:gridCol w:w="1260"/>
        <w:gridCol w:w="1620"/>
        <w:gridCol w:w="1620"/>
      </w:tblGrid>
      <w:tr w:rsidR="00AB64CB" w14:paraId="33905E77" w14:textId="77777777" w:rsidTr="00AB64CB">
        <w:trPr>
          <w:trHeight w:val="432"/>
          <w:jc w:val="center"/>
        </w:trPr>
        <w:tc>
          <w:tcPr>
            <w:tcW w:w="321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AB9EC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  <w:t>Species</w:t>
            </w:r>
          </w:p>
        </w:tc>
        <w:tc>
          <w:tcPr>
            <w:tcW w:w="20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F780CD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  <w:t>Culture No.</w:t>
            </w:r>
          </w:p>
        </w:tc>
        <w:tc>
          <w:tcPr>
            <w:tcW w:w="24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151503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  <w:t>Host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D3D41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  <w:t>Country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7BE1C1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Cs w:val="20"/>
                <w:vertAlign w:val="superscript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  <w:t xml:space="preserve">Accession No. </w:t>
            </w:r>
            <w:r>
              <w:rPr>
                <w:rFonts w:asciiTheme="majorBidi" w:hAnsiTheme="majorBidi" w:cstheme="majorBidi"/>
                <w:b/>
                <w:bCs/>
                <w:color w:val="auto"/>
                <w:szCs w:val="20"/>
                <w:vertAlign w:val="superscript"/>
              </w:rPr>
              <w:t>a</w:t>
            </w:r>
          </w:p>
        </w:tc>
      </w:tr>
      <w:tr w:rsidR="00AB64CB" w14:paraId="706521D0" w14:textId="77777777" w:rsidTr="00AB64CB">
        <w:trPr>
          <w:trHeight w:val="43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84BB4B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kern w:val="2"/>
                <w:szCs w:val="20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1211B3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kern w:val="2"/>
                <w:szCs w:val="20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3DD79E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kern w:val="2"/>
                <w:szCs w:val="20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85AF3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auto"/>
                <w:kern w:val="2"/>
                <w:szCs w:val="20"/>
                <w14:ligatures w14:val="standardContextu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9F1975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auto"/>
                <w:szCs w:val="20"/>
              </w:rPr>
              <w:t>tub2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A086ED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color w:val="auto"/>
                <w:szCs w:val="20"/>
              </w:rPr>
              <w:t>rpb2</w:t>
            </w:r>
          </w:p>
        </w:tc>
      </w:tr>
      <w:tr w:rsidR="00AB64CB" w14:paraId="10E66713" w14:textId="77777777" w:rsidTr="00AB64CB">
        <w:trPr>
          <w:trHeight w:val="432"/>
          <w:jc w:val="center"/>
        </w:trPr>
        <w:tc>
          <w:tcPr>
            <w:tcW w:w="32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2CF222B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Microsphaeropsis fusca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5EC455" w14:textId="77777777" w:rsidR="00AB64CB" w:rsidRDefault="00AB64CB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Cs w:val="20"/>
              </w:rPr>
              <w:t>CBS 139603</w:t>
            </w:r>
          </w:p>
        </w:tc>
        <w:tc>
          <w:tcPr>
            <w:tcW w:w="24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9EBC55" w14:textId="77777777" w:rsidR="00AB64CB" w:rsidRDefault="00AB64CB">
            <w:pPr>
              <w:spacing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color w:val="000000"/>
                <w:szCs w:val="20"/>
              </w:rPr>
              <w:t>Sarothamnus scoparius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ABDF5A" w14:textId="77777777" w:rsidR="00AB64CB" w:rsidRDefault="00AB64CB">
            <w:pPr>
              <w:spacing w:line="240" w:lineRule="auto"/>
              <w:rPr>
                <w:rFonts w:asciiTheme="majorBidi" w:eastAsia="Times New Roman" w:hAnsiTheme="majorBidi" w:cstheme="majorBidi"/>
                <w:color w:val="00000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Cs w:val="20"/>
              </w:rPr>
              <w:t>Germany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A42456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Cs w:val="20"/>
              </w:rPr>
              <w:t>MT005674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12CA43" w14:textId="77777777" w:rsidR="00AB64CB" w:rsidRDefault="00AB64CB">
            <w:pPr>
              <w:spacing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Cs w:val="20"/>
              </w:rPr>
              <w:t>MT018218</w:t>
            </w:r>
          </w:p>
        </w:tc>
      </w:tr>
      <w:tr w:rsidR="00AB64CB" w14:paraId="7CA9FA9F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720D0B9B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Microsphaeropsis olivacea</w:t>
            </w:r>
          </w:p>
        </w:tc>
        <w:tc>
          <w:tcPr>
            <w:tcW w:w="2095" w:type="dxa"/>
            <w:vAlign w:val="center"/>
            <w:hideMark/>
          </w:tcPr>
          <w:p w14:paraId="798332FD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27H</w:t>
            </w:r>
          </w:p>
        </w:tc>
        <w:tc>
          <w:tcPr>
            <w:tcW w:w="2435" w:type="dxa"/>
            <w:vAlign w:val="center"/>
            <w:hideMark/>
          </w:tcPr>
          <w:p w14:paraId="39481384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 xml:space="preserve">Viscum album </w:t>
            </w:r>
            <w:r>
              <w:rPr>
                <w:rFonts w:asciiTheme="majorBidi" w:hAnsiTheme="majorBidi" w:cstheme="majorBidi"/>
                <w:color w:val="000000"/>
                <w:szCs w:val="20"/>
              </w:rPr>
              <w:t>subsp</w:t>
            </w: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. austriacum</w:t>
            </w:r>
          </w:p>
        </w:tc>
        <w:tc>
          <w:tcPr>
            <w:tcW w:w="1260" w:type="dxa"/>
            <w:vAlign w:val="center"/>
            <w:hideMark/>
          </w:tcPr>
          <w:p w14:paraId="1D216F5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Poland</w:t>
            </w:r>
          </w:p>
        </w:tc>
        <w:tc>
          <w:tcPr>
            <w:tcW w:w="1620" w:type="dxa"/>
            <w:vAlign w:val="center"/>
            <w:hideMark/>
          </w:tcPr>
          <w:p w14:paraId="26B85164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OP715595</w:t>
            </w:r>
          </w:p>
        </w:tc>
        <w:tc>
          <w:tcPr>
            <w:tcW w:w="1620" w:type="dxa"/>
            <w:vAlign w:val="center"/>
            <w:hideMark/>
          </w:tcPr>
          <w:p w14:paraId="08173070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-</w:t>
            </w:r>
          </w:p>
        </w:tc>
      </w:tr>
      <w:tr w:rsidR="00AB64CB" w14:paraId="31F923EB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20009FF9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Microsphaeropsis olivacea</w:t>
            </w:r>
          </w:p>
        </w:tc>
        <w:tc>
          <w:tcPr>
            <w:tcW w:w="2095" w:type="dxa"/>
            <w:vAlign w:val="center"/>
            <w:hideMark/>
          </w:tcPr>
          <w:p w14:paraId="5305D0D3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469.80</w:t>
            </w:r>
          </w:p>
        </w:tc>
        <w:tc>
          <w:tcPr>
            <w:tcW w:w="2435" w:type="dxa"/>
            <w:vAlign w:val="center"/>
            <w:hideMark/>
          </w:tcPr>
          <w:p w14:paraId="2128FF6D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Rhus typhina</w:t>
            </w:r>
          </w:p>
        </w:tc>
        <w:tc>
          <w:tcPr>
            <w:tcW w:w="1260" w:type="dxa"/>
            <w:vAlign w:val="center"/>
            <w:hideMark/>
          </w:tcPr>
          <w:p w14:paraId="3CDBCB18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Netherlands</w:t>
            </w:r>
          </w:p>
        </w:tc>
        <w:tc>
          <w:tcPr>
            <w:tcW w:w="1620" w:type="dxa"/>
            <w:vAlign w:val="center"/>
            <w:hideMark/>
          </w:tcPr>
          <w:p w14:paraId="570B3108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MT005668</w:t>
            </w:r>
          </w:p>
        </w:tc>
        <w:tc>
          <w:tcPr>
            <w:tcW w:w="1620" w:type="dxa"/>
            <w:vAlign w:val="center"/>
            <w:hideMark/>
          </w:tcPr>
          <w:p w14:paraId="6364ED86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MT018210</w:t>
            </w:r>
          </w:p>
        </w:tc>
      </w:tr>
      <w:tr w:rsidR="00AB64CB" w14:paraId="7C64D82B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DE3B9F9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Microsphaeropsis olivacea</w:t>
            </w:r>
          </w:p>
        </w:tc>
        <w:tc>
          <w:tcPr>
            <w:tcW w:w="2095" w:type="dxa"/>
            <w:vAlign w:val="center"/>
            <w:hideMark/>
          </w:tcPr>
          <w:p w14:paraId="646269D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763.73</w:t>
            </w:r>
          </w:p>
        </w:tc>
        <w:tc>
          <w:tcPr>
            <w:tcW w:w="2435" w:type="dxa"/>
            <w:vAlign w:val="center"/>
            <w:hideMark/>
          </w:tcPr>
          <w:p w14:paraId="2E84060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Populus tremula</w:t>
            </w:r>
          </w:p>
        </w:tc>
        <w:tc>
          <w:tcPr>
            <w:tcW w:w="1260" w:type="dxa"/>
            <w:vAlign w:val="center"/>
            <w:hideMark/>
          </w:tcPr>
          <w:p w14:paraId="19E8CE2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France</w:t>
            </w:r>
          </w:p>
        </w:tc>
        <w:tc>
          <w:tcPr>
            <w:tcW w:w="1620" w:type="dxa"/>
            <w:vAlign w:val="center"/>
            <w:hideMark/>
          </w:tcPr>
          <w:p w14:paraId="1338A4AD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MT005664</w:t>
            </w:r>
          </w:p>
        </w:tc>
        <w:tc>
          <w:tcPr>
            <w:tcW w:w="1620" w:type="dxa"/>
            <w:vAlign w:val="center"/>
            <w:hideMark/>
          </w:tcPr>
          <w:p w14:paraId="7F124EC5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MT018205</w:t>
            </w:r>
          </w:p>
        </w:tc>
      </w:tr>
      <w:tr w:rsidR="00AB64CB" w14:paraId="4E129664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43C5EC8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Microsphaeropsis proteae</w:t>
            </w:r>
          </w:p>
        </w:tc>
        <w:tc>
          <w:tcPr>
            <w:tcW w:w="2095" w:type="dxa"/>
            <w:vAlign w:val="center"/>
            <w:hideMark/>
          </w:tcPr>
          <w:p w14:paraId="1B0F90BF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111303</w:t>
            </w:r>
          </w:p>
        </w:tc>
        <w:tc>
          <w:tcPr>
            <w:tcW w:w="2435" w:type="dxa"/>
            <w:vAlign w:val="center"/>
            <w:hideMark/>
          </w:tcPr>
          <w:p w14:paraId="3F30AE7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Protea nitida</w:t>
            </w:r>
          </w:p>
        </w:tc>
        <w:tc>
          <w:tcPr>
            <w:tcW w:w="1260" w:type="dxa"/>
            <w:vAlign w:val="center"/>
            <w:hideMark/>
          </w:tcPr>
          <w:p w14:paraId="49A255E9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South Africa</w:t>
            </w:r>
          </w:p>
        </w:tc>
        <w:tc>
          <w:tcPr>
            <w:tcW w:w="1620" w:type="dxa"/>
            <w:vAlign w:val="center"/>
            <w:hideMark/>
          </w:tcPr>
          <w:p w14:paraId="73C6B271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MT005677</w:t>
            </w:r>
          </w:p>
        </w:tc>
        <w:tc>
          <w:tcPr>
            <w:tcW w:w="1620" w:type="dxa"/>
            <w:vAlign w:val="center"/>
            <w:hideMark/>
          </w:tcPr>
          <w:p w14:paraId="28B8A159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MT018221</w:t>
            </w:r>
          </w:p>
        </w:tc>
      </w:tr>
      <w:tr w:rsidR="00AB64CB" w14:paraId="044B9D65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A2069F9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Neomicrosphaeropsis alhagi-pseudalhagi</w:t>
            </w:r>
          </w:p>
        </w:tc>
        <w:tc>
          <w:tcPr>
            <w:tcW w:w="2095" w:type="dxa"/>
            <w:vAlign w:val="center"/>
            <w:hideMark/>
          </w:tcPr>
          <w:p w14:paraId="088E41A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TASM 6134</w:t>
            </w:r>
          </w:p>
        </w:tc>
        <w:tc>
          <w:tcPr>
            <w:tcW w:w="2435" w:type="dxa"/>
            <w:vAlign w:val="center"/>
            <w:hideMark/>
          </w:tcPr>
          <w:p w14:paraId="5479BFD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Alhagi maurorum</w:t>
            </w:r>
          </w:p>
        </w:tc>
        <w:tc>
          <w:tcPr>
            <w:tcW w:w="1260" w:type="dxa"/>
            <w:vAlign w:val="center"/>
            <w:hideMark/>
          </w:tcPr>
          <w:p w14:paraId="5DC0A37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Uzbekistan</w:t>
            </w:r>
          </w:p>
        </w:tc>
        <w:tc>
          <w:tcPr>
            <w:tcW w:w="1620" w:type="dxa"/>
            <w:vAlign w:val="center"/>
            <w:hideMark/>
          </w:tcPr>
          <w:p w14:paraId="424B232E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MH069689</w:t>
            </w:r>
          </w:p>
        </w:tc>
        <w:tc>
          <w:tcPr>
            <w:tcW w:w="1620" w:type="dxa"/>
            <w:vAlign w:val="center"/>
            <w:hideMark/>
          </w:tcPr>
          <w:p w14:paraId="57918296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MH069682</w:t>
            </w:r>
          </w:p>
        </w:tc>
      </w:tr>
      <w:tr w:rsidR="00AB64CB" w14:paraId="3F2A2B33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63E1EA8E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Neomicrosphaeropsis elaeagni</w:t>
            </w:r>
          </w:p>
        </w:tc>
        <w:tc>
          <w:tcPr>
            <w:tcW w:w="2095" w:type="dxa"/>
            <w:vAlign w:val="center"/>
            <w:hideMark/>
          </w:tcPr>
          <w:p w14:paraId="6CF032A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MFLU 16-2389</w:t>
            </w:r>
          </w:p>
        </w:tc>
        <w:tc>
          <w:tcPr>
            <w:tcW w:w="2435" w:type="dxa"/>
            <w:vAlign w:val="center"/>
            <w:hideMark/>
          </w:tcPr>
          <w:p w14:paraId="55D36404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Elaeagnus angustifolia</w:t>
            </w:r>
          </w:p>
        </w:tc>
        <w:tc>
          <w:tcPr>
            <w:tcW w:w="1260" w:type="dxa"/>
            <w:vAlign w:val="center"/>
            <w:hideMark/>
          </w:tcPr>
          <w:p w14:paraId="29B0CE56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Russia</w:t>
            </w:r>
          </w:p>
        </w:tc>
        <w:tc>
          <w:tcPr>
            <w:tcW w:w="1620" w:type="dxa"/>
            <w:vAlign w:val="center"/>
            <w:hideMark/>
          </w:tcPr>
          <w:p w14:paraId="7EE88DC2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MH069691</w:t>
            </w:r>
          </w:p>
        </w:tc>
        <w:tc>
          <w:tcPr>
            <w:tcW w:w="1620" w:type="dxa"/>
            <w:vAlign w:val="center"/>
            <w:hideMark/>
          </w:tcPr>
          <w:p w14:paraId="3A93477C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MH069684</w:t>
            </w:r>
          </w:p>
        </w:tc>
      </w:tr>
      <w:tr w:rsidR="00AB64CB" w14:paraId="64C39519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4FC8247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Neomicrosphaeropsis italica</w:t>
            </w:r>
          </w:p>
        </w:tc>
        <w:tc>
          <w:tcPr>
            <w:tcW w:w="2095" w:type="dxa"/>
            <w:vAlign w:val="center"/>
            <w:hideMark/>
          </w:tcPr>
          <w:p w14:paraId="4C2C8489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MFLUCC 16-0284</w:t>
            </w:r>
          </w:p>
        </w:tc>
        <w:tc>
          <w:tcPr>
            <w:tcW w:w="2435" w:type="dxa"/>
            <w:vAlign w:val="center"/>
            <w:hideMark/>
          </w:tcPr>
          <w:p w14:paraId="62E54D4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 xml:space="preserve">Tamarix </w:t>
            </w:r>
            <w:r>
              <w:rPr>
                <w:rFonts w:asciiTheme="majorBidi" w:hAnsiTheme="majorBidi" w:cstheme="majorBidi"/>
                <w:color w:val="000000"/>
                <w:szCs w:val="20"/>
              </w:rPr>
              <w:t>sp.</w:t>
            </w:r>
          </w:p>
        </w:tc>
        <w:tc>
          <w:tcPr>
            <w:tcW w:w="1260" w:type="dxa"/>
            <w:vAlign w:val="center"/>
            <w:hideMark/>
          </w:tcPr>
          <w:p w14:paraId="11D301B4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Italy</w:t>
            </w:r>
          </w:p>
        </w:tc>
        <w:tc>
          <w:tcPr>
            <w:tcW w:w="1620" w:type="dxa"/>
            <w:vAlign w:val="center"/>
            <w:hideMark/>
          </w:tcPr>
          <w:p w14:paraId="66F5067E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KX453299</w:t>
            </w:r>
          </w:p>
        </w:tc>
        <w:tc>
          <w:tcPr>
            <w:tcW w:w="1620" w:type="dxa"/>
            <w:vAlign w:val="center"/>
            <w:hideMark/>
          </w:tcPr>
          <w:p w14:paraId="61070123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KU695539</w:t>
            </w:r>
          </w:p>
        </w:tc>
      </w:tr>
      <w:tr w:rsidR="00AB64CB" w14:paraId="650704AE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E3BC3D0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amygdali</w:t>
            </w:r>
          </w:p>
        </w:tc>
        <w:tc>
          <w:tcPr>
            <w:tcW w:w="2095" w:type="dxa"/>
            <w:vAlign w:val="center"/>
            <w:hideMark/>
          </w:tcPr>
          <w:p w14:paraId="15D3D357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 4451C</w:t>
            </w:r>
          </w:p>
        </w:tc>
        <w:tc>
          <w:tcPr>
            <w:tcW w:w="2435" w:type="dxa"/>
            <w:vAlign w:val="center"/>
            <w:hideMark/>
          </w:tcPr>
          <w:p w14:paraId="7A5F5CB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Prunus scoparia</w:t>
            </w:r>
          </w:p>
        </w:tc>
        <w:tc>
          <w:tcPr>
            <w:tcW w:w="1260" w:type="dxa"/>
            <w:vAlign w:val="center"/>
            <w:hideMark/>
          </w:tcPr>
          <w:p w14:paraId="377597F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35541914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MZ747174</w:t>
            </w:r>
          </w:p>
        </w:tc>
        <w:tc>
          <w:tcPr>
            <w:tcW w:w="1620" w:type="dxa"/>
            <w:vAlign w:val="center"/>
            <w:hideMark/>
          </w:tcPr>
          <w:p w14:paraId="7652E423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MZ747195</w:t>
            </w:r>
          </w:p>
        </w:tc>
      </w:tr>
      <w:tr w:rsidR="00AB64CB" w14:paraId="0CDA7C3C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594B6BB0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amygdali</w:t>
            </w:r>
          </w:p>
        </w:tc>
        <w:tc>
          <w:tcPr>
            <w:tcW w:w="2095" w:type="dxa"/>
            <w:vAlign w:val="center"/>
            <w:hideMark/>
          </w:tcPr>
          <w:p w14:paraId="3D6F2F08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 4452C</w:t>
            </w:r>
          </w:p>
        </w:tc>
        <w:tc>
          <w:tcPr>
            <w:tcW w:w="2435" w:type="dxa"/>
            <w:vAlign w:val="center"/>
            <w:hideMark/>
          </w:tcPr>
          <w:p w14:paraId="6D6C158D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P. scoparia</w:t>
            </w:r>
          </w:p>
        </w:tc>
        <w:tc>
          <w:tcPr>
            <w:tcW w:w="1260" w:type="dxa"/>
            <w:vAlign w:val="center"/>
            <w:hideMark/>
          </w:tcPr>
          <w:p w14:paraId="6683C5A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68423BDB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MZ747175</w:t>
            </w:r>
          </w:p>
        </w:tc>
        <w:tc>
          <w:tcPr>
            <w:tcW w:w="1620" w:type="dxa"/>
            <w:vAlign w:val="center"/>
            <w:hideMark/>
          </w:tcPr>
          <w:p w14:paraId="4FFF367F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MZ747196</w:t>
            </w:r>
          </w:p>
        </w:tc>
      </w:tr>
      <w:tr w:rsidR="00AB64CB" w14:paraId="334B0CC2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4DCB1F6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ellipsoidea</w:t>
            </w:r>
          </w:p>
        </w:tc>
        <w:tc>
          <w:tcPr>
            <w:tcW w:w="2095" w:type="dxa"/>
            <w:vAlign w:val="center"/>
            <w:hideMark/>
          </w:tcPr>
          <w:p w14:paraId="11A3EBA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197.97</w:t>
            </w:r>
          </w:p>
        </w:tc>
        <w:tc>
          <w:tcPr>
            <w:tcW w:w="2435" w:type="dxa"/>
            <w:vAlign w:val="center"/>
            <w:hideMark/>
          </w:tcPr>
          <w:p w14:paraId="58936158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Quercus ilex</w:t>
            </w:r>
          </w:p>
        </w:tc>
        <w:tc>
          <w:tcPr>
            <w:tcW w:w="1260" w:type="dxa"/>
            <w:vAlign w:val="center"/>
            <w:hideMark/>
          </w:tcPr>
          <w:p w14:paraId="290A4F5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Spain</w:t>
            </w:r>
          </w:p>
        </w:tc>
        <w:tc>
          <w:tcPr>
            <w:tcW w:w="1620" w:type="dxa"/>
            <w:vAlign w:val="center"/>
            <w:hideMark/>
          </w:tcPr>
          <w:p w14:paraId="0B92F622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MT005680</w:t>
            </w:r>
          </w:p>
        </w:tc>
        <w:tc>
          <w:tcPr>
            <w:tcW w:w="1620" w:type="dxa"/>
            <w:vAlign w:val="center"/>
            <w:hideMark/>
          </w:tcPr>
          <w:p w14:paraId="1FF91FF0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MT018224</w:t>
            </w:r>
          </w:p>
        </w:tc>
      </w:tr>
      <w:tr w:rsidR="00AB64CB" w14:paraId="6BD67570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61354EC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551B51F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149853</w:t>
            </w:r>
          </w:p>
        </w:tc>
        <w:tc>
          <w:tcPr>
            <w:tcW w:w="2435" w:type="dxa"/>
            <w:vAlign w:val="center"/>
            <w:hideMark/>
          </w:tcPr>
          <w:p w14:paraId="1424B41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Eriobotrya japonica</w:t>
            </w:r>
          </w:p>
        </w:tc>
        <w:tc>
          <w:tcPr>
            <w:tcW w:w="1260" w:type="dxa"/>
            <w:vAlign w:val="center"/>
            <w:hideMark/>
          </w:tcPr>
          <w:p w14:paraId="5F1CDE9E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7195498F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OP856722</w:t>
            </w:r>
          </w:p>
        </w:tc>
        <w:tc>
          <w:tcPr>
            <w:tcW w:w="1620" w:type="dxa"/>
            <w:vAlign w:val="center"/>
            <w:hideMark/>
          </w:tcPr>
          <w:p w14:paraId="0733DDF3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OP856725</w:t>
            </w:r>
          </w:p>
        </w:tc>
      </w:tr>
      <w:tr w:rsidR="00AB64CB" w14:paraId="2E89150E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1D64327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27EFCA2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149854</w:t>
            </w:r>
          </w:p>
        </w:tc>
        <w:tc>
          <w:tcPr>
            <w:tcW w:w="2435" w:type="dxa"/>
            <w:vAlign w:val="center"/>
            <w:hideMark/>
          </w:tcPr>
          <w:p w14:paraId="352A2CDB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E. japonica</w:t>
            </w:r>
          </w:p>
        </w:tc>
        <w:tc>
          <w:tcPr>
            <w:tcW w:w="1260" w:type="dxa"/>
            <w:vAlign w:val="center"/>
            <w:hideMark/>
          </w:tcPr>
          <w:p w14:paraId="2E07915F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7360ABBF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OP871278</w:t>
            </w:r>
          </w:p>
        </w:tc>
        <w:tc>
          <w:tcPr>
            <w:tcW w:w="1620" w:type="dxa"/>
            <w:vAlign w:val="center"/>
            <w:hideMark/>
          </w:tcPr>
          <w:p w14:paraId="5EA9AE1A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OP856724</w:t>
            </w:r>
          </w:p>
        </w:tc>
      </w:tr>
      <w:tr w:rsidR="00AB64CB" w14:paraId="16543ACB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5BF98C5B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0F8A69D6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149855</w:t>
            </w:r>
          </w:p>
        </w:tc>
        <w:tc>
          <w:tcPr>
            <w:tcW w:w="2435" w:type="dxa"/>
            <w:vAlign w:val="center"/>
            <w:hideMark/>
          </w:tcPr>
          <w:p w14:paraId="4C0AE400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E. japonica</w:t>
            </w:r>
          </w:p>
        </w:tc>
        <w:tc>
          <w:tcPr>
            <w:tcW w:w="1260" w:type="dxa"/>
            <w:vAlign w:val="center"/>
            <w:hideMark/>
          </w:tcPr>
          <w:p w14:paraId="58D9A2C0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304575EB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OP871279</w:t>
            </w:r>
          </w:p>
        </w:tc>
        <w:tc>
          <w:tcPr>
            <w:tcW w:w="1620" w:type="dxa"/>
            <w:vAlign w:val="center"/>
            <w:hideMark/>
          </w:tcPr>
          <w:p w14:paraId="73C98DDD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OP893803</w:t>
            </w:r>
          </w:p>
        </w:tc>
      </w:tr>
      <w:tr w:rsidR="00AB64CB" w14:paraId="2CE7381D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860399D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5E8F1AE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148866</w:t>
            </w:r>
          </w:p>
        </w:tc>
        <w:tc>
          <w:tcPr>
            <w:tcW w:w="2435" w:type="dxa"/>
            <w:vAlign w:val="center"/>
            <w:hideMark/>
          </w:tcPr>
          <w:p w14:paraId="33079B6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E. japonica</w:t>
            </w:r>
          </w:p>
        </w:tc>
        <w:tc>
          <w:tcPr>
            <w:tcW w:w="1260" w:type="dxa"/>
            <w:vAlign w:val="center"/>
            <w:hideMark/>
          </w:tcPr>
          <w:p w14:paraId="45E0D06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5CA8A68F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OP871280</w:t>
            </w:r>
          </w:p>
        </w:tc>
        <w:tc>
          <w:tcPr>
            <w:tcW w:w="1620" w:type="dxa"/>
            <w:vAlign w:val="center"/>
            <w:hideMark/>
          </w:tcPr>
          <w:p w14:paraId="4D0AA84C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OP856723</w:t>
            </w:r>
          </w:p>
        </w:tc>
      </w:tr>
      <w:tr w:rsidR="00AB64CB" w14:paraId="5AF12087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D607578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38875AA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149856</w:t>
            </w:r>
          </w:p>
        </w:tc>
        <w:tc>
          <w:tcPr>
            <w:tcW w:w="2435" w:type="dxa"/>
            <w:vAlign w:val="center"/>
            <w:hideMark/>
          </w:tcPr>
          <w:p w14:paraId="3BACAAC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Prunus amygdalus</w:t>
            </w:r>
          </w:p>
        </w:tc>
        <w:tc>
          <w:tcPr>
            <w:tcW w:w="1260" w:type="dxa"/>
            <w:vAlign w:val="center"/>
            <w:hideMark/>
          </w:tcPr>
          <w:p w14:paraId="6A1F86E7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56872F1F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OP871281</w:t>
            </w:r>
          </w:p>
        </w:tc>
        <w:tc>
          <w:tcPr>
            <w:tcW w:w="1620" w:type="dxa"/>
            <w:vAlign w:val="center"/>
            <w:hideMark/>
          </w:tcPr>
          <w:p w14:paraId="1B27A4FC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OP893804</w:t>
            </w:r>
          </w:p>
        </w:tc>
      </w:tr>
      <w:tr w:rsidR="00AB64CB" w14:paraId="2E3C9F9D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6F79B1B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2AA4593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BA03</w:t>
            </w:r>
          </w:p>
        </w:tc>
        <w:tc>
          <w:tcPr>
            <w:tcW w:w="2435" w:type="dxa"/>
            <w:vAlign w:val="center"/>
            <w:hideMark/>
          </w:tcPr>
          <w:p w14:paraId="7DFF0CE8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P. amygdalus</w:t>
            </w:r>
          </w:p>
        </w:tc>
        <w:tc>
          <w:tcPr>
            <w:tcW w:w="1260" w:type="dxa"/>
            <w:vAlign w:val="center"/>
            <w:hideMark/>
          </w:tcPr>
          <w:p w14:paraId="3C9F2B80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415493DC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  <w:t>PV 505007</w:t>
            </w:r>
          </w:p>
        </w:tc>
        <w:tc>
          <w:tcPr>
            <w:tcW w:w="1620" w:type="dxa"/>
            <w:vAlign w:val="center"/>
            <w:hideMark/>
          </w:tcPr>
          <w:p w14:paraId="64B927E6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  <w:t>PV 505009</w:t>
            </w:r>
          </w:p>
        </w:tc>
      </w:tr>
      <w:tr w:rsidR="00AB64CB" w14:paraId="7D91068C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66C40394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08CA31C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BA05</w:t>
            </w:r>
          </w:p>
        </w:tc>
        <w:tc>
          <w:tcPr>
            <w:tcW w:w="2435" w:type="dxa"/>
            <w:vAlign w:val="center"/>
            <w:hideMark/>
          </w:tcPr>
          <w:p w14:paraId="4FE4D0DF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P. amygdalus</w:t>
            </w:r>
          </w:p>
        </w:tc>
        <w:tc>
          <w:tcPr>
            <w:tcW w:w="1260" w:type="dxa"/>
            <w:vAlign w:val="center"/>
            <w:hideMark/>
          </w:tcPr>
          <w:p w14:paraId="182DE796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341A2089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  <w:t>-</w:t>
            </w:r>
          </w:p>
        </w:tc>
        <w:tc>
          <w:tcPr>
            <w:tcW w:w="1620" w:type="dxa"/>
            <w:vAlign w:val="center"/>
            <w:hideMark/>
          </w:tcPr>
          <w:p w14:paraId="695F06B4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  <w:t>PV 505010</w:t>
            </w:r>
          </w:p>
        </w:tc>
      </w:tr>
      <w:tr w:rsidR="00AB64CB" w14:paraId="1075B4B3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FB51CE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lastRenderedPageBreak/>
              <w:t>Paramicrosphaeropsis eriobotryae</w:t>
            </w:r>
          </w:p>
        </w:tc>
        <w:tc>
          <w:tcPr>
            <w:tcW w:w="2095" w:type="dxa"/>
            <w:vAlign w:val="center"/>
            <w:hideMark/>
          </w:tcPr>
          <w:p w14:paraId="22237183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szCs w:val="20"/>
              </w:rPr>
            </w:pPr>
            <w:r>
              <w:rPr>
                <w:rFonts w:asciiTheme="majorBidi" w:hAnsiTheme="majorBidi" w:cstheme="majorBidi"/>
                <w:szCs w:val="20"/>
              </w:rPr>
              <w:t>KA09</w:t>
            </w:r>
          </w:p>
        </w:tc>
        <w:tc>
          <w:tcPr>
            <w:tcW w:w="2435" w:type="dxa"/>
            <w:vAlign w:val="center"/>
            <w:hideMark/>
          </w:tcPr>
          <w:p w14:paraId="44C6780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P. amygdalus</w:t>
            </w:r>
          </w:p>
        </w:tc>
        <w:tc>
          <w:tcPr>
            <w:tcW w:w="1260" w:type="dxa"/>
            <w:vAlign w:val="center"/>
            <w:hideMark/>
          </w:tcPr>
          <w:p w14:paraId="0CF731F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02444B31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  <w:t>PV 505008</w:t>
            </w:r>
          </w:p>
        </w:tc>
        <w:tc>
          <w:tcPr>
            <w:tcW w:w="1620" w:type="dxa"/>
            <w:vAlign w:val="center"/>
            <w:hideMark/>
          </w:tcPr>
          <w:p w14:paraId="11053959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Cs w:val="20"/>
              </w:rPr>
              <w:t>-</w:t>
            </w:r>
          </w:p>
        </w:tc>
      </w:tr>
      <w:tr w:rsidR="00AB64CB" w14:paraId="1C98F430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0EA1E556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iranica</w:t>
            </w:r>
          </w:p>
        </w:tc>
        <w:tc>
          <w:tcPr>
            <w:tcW w:w="2095" w:type="dxa"/>
            <w:vAlign w:val="center"/>
            <w:hideMark/>
          </w:tcPr>
          <w:p w14:paraId="73E7D17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 2929C</w:t>
            </w:r>
          </w:p>
        </w:tc>
        <w:tc>
          <w:tcPr>
            <w:tcW w:w="2435" w:type="dxa"/>
            <w:vAlign w:val="center"/>
            <w:hideMark/>
          </w:tcPr>
          <w:p w14:paraId="1F5B5EB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Quercus brantii</w:t>
            </w:r>
          </w:p>
        </w:tc>
        <w:tc>
          <w:tcPr>
            <w:tcW w:w="1260" w:type="dxa"/>
            <w:vAlign w:val="center"/>
            <w:hideMark/>
          </w:tcPr>
          <w:p w14:paraId="0F4CFA2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17249C8E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OK247743</w:t>
            </w:r>
          </w:p>
        </w:tc>
        <w:tc>
          <w:tcPr>
            <w:tcW w:w="1620" w:type="dxa"/>
            <w:vAlign w:val="center"/>
            <w:hideMark/>
          </w:tcPr>
          <w:p w14:paraId="7296C1E2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OK247737</w:t>
            </w:r>
          </w:p>
        </w:tc>
      </w:tr>
      <w:tr w:rsidR="00AB64CB" w14:paraId="323B910E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2DC9D4B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iranica</w:t>
            </w:r>
          </w:p>
        </w:tc>
        <w:tc>
          <w:tcPr>
            <w:tcW w:w="2095" w:type="dxa"/>
            <w:vAlign w:val="center"/>
            <w:hideMark/>
          </w:tcPr>
          <w:p w14:paraId="548B278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SCUA-Ah-B</w:t>
            </w:r>
          </w:p>
        </w:tc>
        <w:tc>
          <w:tcPr>
            <w:tcW w:w="2435" w:type="dxa"/>
            <w:vAlign w:val="center"/>
            <w:hideMark/>
          </w:tcPr>
          <w:p w14:paraId="797750D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Q. brantii</w:t>
            </w:r>
          </w:p>
        </w:tc>
        <w:tc>
          <w:tcPr>
            <w:tcW w:w="1260" w:type="dxa"/>
            <w:vAlign w:val="center"/>
            <w:hideMark/>
          </w:tcPr>
          <w:p w14:paraId="7165EF52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6E9B101A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OK247744</w:t>
            </w:r>
          </w:p>
        </w:tc>
        <w:tc>
          <w:tcPr>
            <w:tcW w:w="1620" w:type="dxa"/>
            <w:vAlign w:val="center"/>
            <w:hideMark/>
          </w:tcPr>
          <w:p w14:paraId="4DC5A444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OK247738</w:t>
            </w:r>
          </w:p>
        </w:tc>
      </w:tr>
      <w:tr w:rsidR="00AB64CB" w14:paraId="203B7DA7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3238A373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pistaciicola</w:t>
            </w:r>
          </w:p>
        </w:tc>
        <w:tc>
          <w:tcPr>
            <w:tcW w:w="2095" w:type="dxa"/>
            <w:vAlign w:val="center"/>
            <w:hideMark/>
          </w:tcPr>
          <w:p w14:paraId="41E332B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 4449C</w:t>
            </w:r>
          </w:p>
        </w:tc>
        <w:tc>
          <w:tcPr>
            <w:tcW w:w="2435" w:type="dxa"/>
            <w:vAlign w:val="center"/>
            <w:hideMark/>
          </w:tcPr>
          <w:p w14:paraId="441C87D1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Pistacia khinjuk</w:t>
            </w:r>
          </w:p>
        </w:tc>
        <w:tc>
          <w:tcPr>
            <w:tcW w:w="1260" w:type="dxa"/>
            <w:vAlign w:val="center"/>
            <w:hideMark/>
          </w:tcPr>
          <w:p w14:paraId="15933CC3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4C8EC487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MZ747183</w:t>
            </w:r>
          </w:p>
        </w:tc>
        <w:tc>
          <w:tcPr>
            <w:tcW w:w="1620" w:type="dxa"/>
            <w:vAlign w:val="center"/>
            <w:hideMark/>
          </w:tcPr>
          <w:p w14:paraId="1C165805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MZ747205</w:t>
            </w:r>
          </w:p>
        </w:tc>
      </w:tr>
      <w:tr w:rsidR="00AB64CB" w14:paraId="536C9DB8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25502E3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>Paramicrosphaeropsis zagrosensis</w:t>
            </w:r>
          </w:p>
        </w:tc>
        <w:tc>
          <w:tcPr>
            <w:tcW w:w="2095" w:type="dxa"/>
            <w:vAlign w:val="center"/>
            <w:hideMark/>
          </w:tcPr>
          <w:p w14:paraId="100A80F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 4448C</w:t>
            </w:r>
          </w:p>
        </w:tc>
        <w:tc>
          <w:tcPr>
            <w:tcW w:w="2435" w:type="dxa"/>
            <w:vAlign w:val="center"/>
            <w:hideMark/>
          </w:tcPr>
          <w:p w14:paraId="7E02ADBD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Q. brantii</w:t>
            </w:r>
          </w:p>
        </w:tc>
        <w:tc>
          <w:tcPr>
            <w:tcW w:w="1260" w:type="dxa"/>
            <w:vAlign w:val="center"/>
            <w:hideMark/>
          </w:tcPr>
          <w:p w14:paraId="47D03155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Iran</w:t>
            </w:r>
          </w:p>
        </w:tc>
        <w:tc>
          <w:tcPr>
            <w:tcW w:w="1620" w:type="dxa"/>
            <w:vAlign w:val="center"/>
            <w:hideMark/>
          </w:tcPr>
          <w:p w14:paraId="19016585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MZ747172</w:t>
            </w:r>
          </w:p>
        </w:tc>
        <w:tc>
          <w:tcPr>
            <w:tcW w:w="1620" w:type="dxa"/>
            <w:vAlign w:val="center"/>
            <w:hideMark/>
          </w:tcPr>
          <w:p w14:paraId="65A05869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MZ747193</w:t>
            </w:r>
          </w:p>
        </w:tc>
      </w:tr>
      <w:tr w:rsidR="00AB64CB" w14:paraId="1E8470EF" w14:textId="77777777" w:rsidTr="00AB64CB">
        <w:trPr>
          <w:trHeight w:val="432"/>
          <w:jc w:val="center"/>
        </w:trPr>
        <w:tc>
          <w:tcPr>
            <w:tcW w:w="3210" w:type="dxa"/>
            <w:vAlign w:val="center"/>
            <w:hideMark/>
          </w:tcPr>
          <w:p w14:paraId="08EB7310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  <w:vertAlign w:val="superscript"/>
              </w:rPr>
            </w:pPr>
            <w:bookmarkStart w:id="0" w:name="_Hlk194061667"/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 xml:space="preserve">Nothophoma brennandiae </w:t>
            </w:r>
            <w:bookmarkEnd w:id="0"/>
            <w:r>
              <w:rPr>
                <w:rFonts w:asciiTheme="majorBidi" w:hAnsiTheme="majorBidi" w:cstheme="majorBidi"/>
                <w:color w:val="auto"/>
                <w:szCs w:val="20"/>
                <w:vertAlign w:val="superscript"/>
              </w:rPr>
              <w:t>b</w:t>
            </w:r>
          </w:p>
        </w:tc>
        <w:tc>
          <w:tcPr>
            <w:tcW w:w="2095" w:type="dxa"/>
            <w:vAlign w:val="center"/>
            <w:hideMark/>
          </w:tcPr>
          <w:p w14:paraId="4BA9F0C6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CBS 125539</w:t>
            </w:r>
          </w:p>
        </w:tc>
        <w:tc>
          <w:tcPr>
            <w:tcW w:w="2435" w:type="dxa"/>
            <w:vAlign w:val="center"/>
            <w:hideMark/>
          </w:tcPr>
          <w:p w14:paraId="5186AC1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 xml:space="preserve">Prunus </w:t>
            </w:r>
            <w:r>
              <w:rPr>
                <w:rFonts w:asciiTheme="majorBidi" w:hAnsiTheme="majorBidi" w:cstheme="majorBidi"/>
                <w:color w:val="000000"/>
                <w:szCs w:val="20"/>
              </w:rPr>
              <w:t>sp.</w:t>
            </w:r>
          </w:p>
        </w:tc>
        <w:tc>
          <w:tcPr>
            <w:tcW w:w="1260" w:type="dxa"/>
            <w:vAlign w:val="center"/>
            <w:hideMark/>
          </w:tcPr>
          <w:p w14:paraId="368548EC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Greece</w:t>
            </w:r>
          </w:p>
        </w:tc>
        <w:tc>
          <w:tcPr>
            <w:tcW w:w="1620" w:type="dxa"/>
            <w:vAlign w:val="center"/>
            <w:hideMark/>
          </w:tcPr>
          <w:p w14:paraId="324B59A8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MT005656</w:t>
            </w:r>
          </w:p>
        </w:tc>
        <w:tc>
          <w:tcPr>
            <w:tcW w:w="1620" w:type="dxa"/>
            <w:vAlign w:val="center"/>
            <w:hideMark/>
          </w:tcPr>
          <w:p w14:paraId="0FBB464B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MT018197</w:t>
            </w:r>
          </w:p>
        </w:tc>
      </w:tr>
      <w:tr w:rsidR="00AB64CB" w14:paraId="74B47E18" w14:textId="77777777" w:rsidTr="00AB64CB">
        <w:trPr>
          <w:trHeight w:val="432"/>
          <w:jc w:val="center"/>
        </w:trPr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ED3174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auto"/>
                <w:szCs w:val="20"/>
                <w:vertAlign w:val="superscript"/>
              </w:rPr>
            </w:pPr>
            <w:bookmarkStart w:id="1" w:name="_Hlk194061696"/>
            <w:r>
              <w:rPr>
                <w:rFonts w:asciiTheme="majorBidi" w:hAnsiTheme="majorBidi" w:cstheme="majorBidi"/>
                <w:i/>
                <w:iCs/>
                <w:color w:val="auto"/>
                <w:szCs w:val="20"/>
              </w:rPr>
              <w:t xml:space="preserve">Nothophoma quercina </w:t>
            </w:r>
            <w:bookmarkEnd w:id="1"/>
            <w:r>
              <w:rPr>
                <w:rFonts w:asciiTheme="majorBidi" w:hAnsiTheme="majorBidi" w:cstheme="majorBidi"/>
                <w:color w:val="auto"/>
                <w:szCs w:val="20"/>
                <w:vertAlign w:val="superscript"/>
              </w:rPr>
              <w:t>b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8F048E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YAUCHYC3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AEBE7D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i/>
                <w:iCs/>
                <w:color w:val="000000"/>
                <w:szCs w:val="20"/>
              </w:rPr>
              <w:t>Robinia pseudoacacia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CE817A" w14:textId="77777777" w:rsidR="00AB64CB" w:rsidRDefault="00AB64CB">
            <w:pPr>
              <w:spacing w:line="240" w:lineRule="auto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China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49E468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MW302313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CC67BD" w14:textId="77777777" w:rsidR="00AB64CB" w:rsidRDefault="00AB64CB">
            <w:pPr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Cs w:val="20"/>
              </w:rPr>
              <w:t>MW302319</w:t>
            </w:r>
          </w:p>
        </w:tc>
      </w:tr>
    </w:tbl>
    <w:p w14:paraId="4B566703" w14:textId="77777777" w:rsidR="00AB64CB" w:rsidRDefault="00AB64CB" w:rsidP="00AB64CB">
      <w:pPr>
        <w:spacing w:after="0" w:line="240" w:lineRule="auto"/>
        <w:ind w:left="426"/>
        <w:rPr>
          <w:rFonts w:asciiTheme="majorBidi" w:eastAsia="Times New Roman" w:hAnsiTheme="majorBidi" w:cstheme="majorBidi"/>
          <w:color w:val="000000"/>
          <w:szCs w:val="20"/>
          <w:vertAlign w:val="superscript"/>
        </w:rPr>
      </w:pPr>
      <w:r>
        <w:rPr>
          <w:rFonts w:asciiTheme="majorBidi" w:eastAsia="Times New Roman" w:hAnsiTheme="majorBidi" w:cstheme="majorBidi" w:hint="cs"/>
          <w:color w:val="000000"/>
          <w:szCs w:val="20"/>
          <w:rtl/>
        </w:rPr>
        <w:t>*</w:t>
      </w:r>
      <w:r>
        <w:rPr>
          <w:rFonts w:asciiTheme="majorBidi" w:eastAsia="Times New Roman" w:hAnsiTheme="majorBidi" w:cstheme="majorBidi"/>
          <w:color w:val="000000"/>
          <w:szCs w:val="20"/>
        </w:rPr>
        <w:t>Note: GenBank accession numbers in bold were newly generated in this study.</w:t>
      </w:r>
    </w:p>
    <w:p w14:paraId="4CBAC783" w14:textId="77777777" w:rsidR="00AB64CB" w:rsidRDefault="00AB64CB" w:rsidP="00AB64CB">
      <w:pPr>
        <w:spacing w:after="0" w:line="240" w:lineRule="auto"/>
        <w:ind w:left="426"/>
        <w:rPr>
          <w:rFonts w:asciiTheme="majorBidi" w:eastAsia="Times New Roman" w:hAnsiTheme="majorBidi" w:cstheme="majorBidi"/>
          <w:color w:val="000000"/>
          <w:szCs w:val="20"/>
        </w:rPr>
      </w:pPr>
      <w:r>
        <w:rPr>
          <w:rFonts w:asciiTheme="majorBidi" w:eastAsia="Times New Roman" w:hAnsiTheme="majorBidi" w:cstheme="majorBidi"/>
          <w:color w:val="000000"/>
          <w:szCs w:val="20"/>
          <w:vertAlign w:val="superscript"/>
        </w:rPr>
        <w:t xml:space="preserve">a. </w:t>
      </w:r>
      <w:r>
        <w:rPr>
          <w:rFonts w:asciiTheme="majorBidi" w:eastAsia="Times New Roman" w:hAnsiTheme="majorBidi" w:cstheme="majorBidi"/>
          <w:color w:val="000000"/>
          <w:szCs w:val="20"/>
        </w:rPr>
        <w:t xml:space="preserve"> </w:t>
      </w:r>
      <w:bookmarkStart w:id="2" w:name="_Hlk190071099"/>
      <w:r>
        <w:rPr>
          <w:rFonts w:asciiTheme="majorBidi" w:eastAsia="Times New Roman" w:hAnsiTheme="majorBidi" w:cstheme="majorBidi"/>
          <w:i/>
          <w:iCs/>
          <w:color w:val="000000"/>
          <w:szCs w:val="20"/>
        </w:rPr>
        <w:t>tub2</w:t>
      </w:r>
      <w:r>
        <w:rPr>
          <w:rFonts w:asciiTheme="majorBidi" w:eastAsia="Times New Roman" w:hAnsiTheme="majorBidi" w:cstheme="majorBidi"/>
          <w:color w:val="000000"/>
          <w:szCs w:val="20"/>
        </w:rPr>
        <w:t xml:space="preserve">: partial </w:t>
      </w:r>
      <w:bookmarkStart w:id="3" w:name="_Hlk190068668"/>
      <w:bookmarkStart w:id="4" w:name="_Hlk194061484"/>
      <w:r>
        <w:rPr>
          <w:rFonts w:asciiTheme="majorBidi" w:eastAsia="Times New Roman" w:hAnsiTheme="majorBidi" w:cstheme="majorBidi"/>
          <w:color w:val="000000"/>
          <w:szCs w:val="20"/>
        </w:rPr>
        <w:t xml:space="preserve">β-tubulin </w:t>
      </w:r>
      <w:bookmarkEnd w:id="3"/>
      <w:r>
        <w:rPr>
          <w:rFonts w:asciiTheme="majorBidi" w:eastAsia="Times New Roman" w:hAnsiTheme="majorBidi" w:cstheme="majorBidi"/>
          <w:color w:val="000000"/>
          <w:szCs w:val="20"/>
        </w:rPr>
        <w:t xml:space="preserve">gene; </w:t>
      </w:r>
      <w:r>
        <w:rPr>
          <w:rFonts w:asciiTheme="majorBidi" w:eastAsia="Times New Roman" w:hAnsiTheme="majorBidi" w:cstheme="majorBidi"/>
          <w:i/>
          <w:iCs/>
          <w:color w:val="000000"/>
          <w:szCs w:val="20"/>
        </w:rPr>
        <w:t>rpb2</w:t>
      </w:r>
      <w:r>
        <w:rPr>
          <w:rFonts w:asciiTheme="majorBidi" w:eastAsia="Times New Roman" w:hAnsiTheme="majorBidi" w:cstheme="majorBidi"/>
          <w:color w:val="000000"/>
          <w:szCs w:val="20"/>
        </w:rPr>
        <w:t>: RNA polymerase II second largest subunit</w:t>
      </w:r>
      <w:bookmarkEnd w:id="4"/>
      <w:r>
        <w:rPr>
          <w:rFonts w:asciiTheme="majorBidi" w:eastAsia="Times New Roman" w:hAnsiTheme="majorBidi" w:cstheme="majorBidi"/>
          <w:color w:val="000000"/>
          <w:szCs w:val="20"/>
        </w:rPr>
        <w:t>.</w:t>
      </w:r>
      <w:bookmarkEnd w:id="2"/>
    </w:p>
    <w:p w14:paraId="3484DC3C" w14:textId="77777777" w:rsidR="00AB64CB" w:rsidRDefault="00AB64CB" w:rsidP="00AB64CB">
      <w:pPr>
        <w:spacing w:after="0" w:line="240" w:lineRule="auto"/>
        <w:ind w:left="426"/>
        <w:rPr>
          <w:rFonts w:asciiTheme="majorBidi" w:eastAsia="Times New Roman" w:hAnsiTheme="majorBidi" w:cstheme="majorBidi"/>
          <w:color w:val="000000"/>
          <w:szCs w:val="20"/>
        </w:rPr>
      </w:pPr>
      <w:r>
        <w:rPr>
          <w:rFonts w:asciiTheme="majorBidi" w:eastAsia="Times New Roman" w:hAnsiTheme="majorBidi" w:cstheme="majorBidi"/>
          <w:color w:val="000000"/>
          <w:szCs w:val="20"/>
          <w:vertAlign w:val="superscript"/>
        </w:rPr>
        <w:t>b.</w:t>
      </w:r>
      <w:r>
        <w:rPr>
          <w:rFonts w:asciiTheme="majorBidi" w:eastAsia="Times New Roman" w:hAnsiTheme="majorBidi" w:cstheme="majorBidi"/>
          <w:color w:val="000000"/>
          <w:szCs w:val="20"/>
        </w:rPr>
        <w:t xml:space="preserve"> Outgroup</w:t>
      </w:r>
    </w:p>
    <w:p w14:paraId="6801B5FF" w14:textId="77777777" w:rsidR="00AB64CB" w:rsidRDefault="00AB64CB" w:rsidP="00AB64CB">
      <w:pPr>
        <w:spacing w:after="0"/>
        <w:rPr>
          <w:rFonts w:asciiTheme="majorBidi" w:eastAsia="Times New Roman" w:hAnsiTheme="majorBidi" w:cstheme="majorBidi"/>
          <w:color w:val="000000"/>
          <w:szCs w:val="20"/>
        </w:rPr>
        <w:sectPr w:rsidR="00AB64CB" w:rsidSect="00AB64CB">
          <w:pgSz w:w="15840" w:h="12240" w:orient="landscape"/>
          <w:pgMar w:top="1440" w:right="1440" w:bottom="1440" w:left="1440" w:header="720" w:footer="720" w:gutter="0"/>
          <w:cols w:space="720"/>
        </w:sectPr>
      </w:pPr>
    </w:p>
    <w:p w14:paraId="24AFED6D" w14:textId="77777777" w:rsidR="00AB64CB" w:rsidRDefault="00AB64CB" w:rsidP="00AB64CB">
      <w:pPr>
        <w:jc w:val="both"/>
      </w:pPr>
      <w:r>
        <w:rPr>
          <w:b/>
          <w:bCs/>
        </w:rPr>
        <w:lastRenderedPageBreak/>
        <w:t>Supplementary Table 2</w:t>
      </w:r>
      <w:r>
        <w:t xml:space="preserve"> One-way ANOVA for three pathogenicity characteristics, </w:t>
      </w:r>
      <w:r>
        <w:rPr>
          <w:szCs w:val="22"/>
        </w:rPr>
        <w:t>upward</w:t>
      </w:r>
      <w:r>
        <w:rPr>
          <w:rFonts w:hint="cs"/>
          <w:szCs w:val="22"/>
          <w:rtl/>
          <w:lang w:bidi="fa-IR"/>
        </w:rPr>
        <w:t xml:space="preserve"> </w:t>
      </w:r>
      <w:r>
        <w:rPr>
          <w:szCs w:val="22"/>
        </w:rPr>
        <w:t xml:space="preserve">and downward lesion progression, and lesion width, of </w:t>
      </w:r>
      <w:r>
        <w:rPr>
          <w:i/>
          <w:iCs/>
        </w:rPr>
        <w:t>Paramicrosphaeropsis eriobotryae</w:t>
      </w:r>
      <w:r>
        <w:t xml:space="preserve"> isolates tested on detached almond shoots </w:t>
      </w:r>
    </w:p>
    <w:tbl>
      <w:tblPr>
        <w:tblStyle w:val="PlainTable2"/>
        <w:tblW w:w="10805" w:type="dxa"/>
        <w:jc w:val="center"/>
        <w:tblInd w:w="0" w:type="dxa"/>
        <w:tblLook w:val="06A0" w:firstRow="1" w:lastRow="0" w:firstColumn="1" w:lastColumn="0" w:noHBand="1" w:noVBand="1"/>
      </w:tblPr>
      <w:tblGrid>
        <w:gridCol w:w="1719"/>
        <w:gridCol w:w="471"/>
        <w:gridCol w:w="224"/>
        <w:gridCol w:w="786"/>
        <w:gridCol w:w="996"/>
        <w:gridCol w:w="898"/>
        <w:gridCol w:w="236"/>
        <w:gridCol w:w="768"/>
        <w:gridCol w:w="996"/>
        <w:gridCol w:w="898"/>
        <w:gridCol w:w="236"/>
        <w:gridCol w:w="862"/>
        <w:gridCol w:w="810"/>
        <w:gridCol w:w="905"/>
      </w:tblGrid>
      <w:tr w:rsidR="00AB64CB" w14:paraId="0159DA73" w14:textId="77777777" w:rsidTr="00AB64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3436C2" w14:textId="77777777" w:rsidR="00AB64CB" w:rsidRDefault="00AB64CB">
            <w:pPr>
              <w:rPr>
                <w:rFonts w:hint="cs"/>
                <w:szCs w:val="20"/>
                <w:rtl/>
              </w:rPr>
            </w:pPr>
            <w:r>
              <w:rPr>
                <w:szCs w:val="20"/>
              </w:rPr>
              <w:t>Source of variation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2560E1" w14:textId="77777777" w:rsidR="00AB64CB" w:rsidRDefault="00AB64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df</w:t>
            </w:r>
          </w:p>
        </w:tc>
        <w:tc>
          <w:tcPr>
            <w:tcW w:w="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7027E9E" w14:textId="77777777" w:rsidR="00AB64CB" w:rsidRDefault="00AB64C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C035EF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Upward lesion progression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E1F70D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CF96C5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Downward lesion progression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D7F6BB" w14:textId="77777777" w:rsidR="00AB64CB" w:rsidRDefault="00AB64C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2144D0" w14:textId="77777777" w:rsidR="00AB64CB" w:rsidRDefault="00AB64C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Lesion width</w:t>
            </w:r>
          </w:p>
        </w:tc>
      </w:tr>
      <w:tr w:rsidR="00AB64CB" w14:paraId="35268A65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1E1D0E" w14:textId="77777777" w:rsidR="00AB64CB" w:rsidRDefault="00AB64CB">
            <w:pPr>
              <w:spacing w:line="240" w:lineRule="auto"/>
              <w:rPr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4D9387" w14:textId="77777777" w:rsidR="00AB64CB" w:rsidRDefault="00AB64C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0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18792" w14:textId="77777777" w:rsidR="00AB64CB" w:rsidRDefault="00AB6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5ACAAC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MS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1E1222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F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AA808A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1EDF9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E33A01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MS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351C52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F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C3540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3D2AF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1655EC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  <w:r>
              <w:rPr>
                <w:b/>
                <w:bCs/>
                <w:szCs w:val="20"/>
              </w:rPr>
              <w:t>MS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EB0A1C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  <w:r>
              <w:rPr>
                <w:b/>
                <w:bCs/>
                <w:szCs w:val="20"/>
              </w:rPr>
              <w:t>F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EFCA09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  <w:r>
              <w:rPr>
                <w:b/>
                <w:bCs/>
                <w:i/>
                <w:iCs/>
                <w:szCs w:val="20"/>
              </w:rPr>
              <w:t>P</w:t>
            </w:r>
          </w:p>
        </w:tc>
      </w:tr>
      <w:tr w:rsidR="00AB64CB" w14:paraId="1E375528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981757" w14:textId="77777777" w:rsidR="00AB64CB" w:rsidRDefault="00AB64CB">
            <w:pPr>
              <w:rPr>
                <w:szCs w:val="20"/>
              </w:rPr>
            </w:pPr>
            <w:r>
              <w:rPr>
                <w:szCs w:val="20"/>
              </w:rPr>
              <w:t>Isolate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C4257E" w14:textId="77777777" w:rsidR="00AB64CB" w:rsidRDefault="00AB6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3826" w14:textId="77777777" w:rsidR="00AB64CB" w:rsidRDefault="00AB6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7A00CB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0.588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7D304E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5.49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CB301E5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&lt;.0002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C74D9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FB8DB0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1.353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775F25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11.38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89EFD8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&lt;.0001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336C5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18DC6F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0.237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CD895C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6.56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1B4BC9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&lt;.0001</w:t>
            </w:r>
          </w:p>
        </w:tc>
      </w:tr>
      <w:tr w:rsidR="00AB64CB" w14:paraId="6EAEC98B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CAB207" w14:textId="77777777" w:rsidR="00AB64CB" w:rsidRDefault="00AB64CB">
            <w:pPr>
              <w:rPr>
                <w:szCs w:val="20"/>
              </w:rPr>
            </w:pPr>
            <w:r>
              <w:rPr>
                <w:szCs w:val="20"/>
              </w:rPr>
              <w:t>Error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1C8FDC" w14:textId="77777777" w:rsidR="00AB64CB" w:rsidRDefault="00AB6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24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C7B22D" w14:textId="77777777" w:rsidR="00AB64CB" w:rsidRDefault="00AB6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0B5E96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0.107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386C3F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9D78DD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32972C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DE2124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0.119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AA37B8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287F4A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A7ED82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4F73D6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0.036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1BA9E4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515ECE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</w:tr>
      <w:tr w:rsidR="00AB64CB" w14:paraId="2E9B64A3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76C8FD" w14:textId="77777777" w:rsidR="00AB64CB" w:rsidRDefault="00AB64CB">
            <w:pPr>
              <w:rPr>
                <w:szCs w:val="20"/>
              </w:rPr>
            </w:pPr>
            <w:r>
              <w:rPr>
                <w:szCs w:val="20"/>
              </w:rPr>
              <w:t>Coefficient of variation (%)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97689" w14:textId="77777777" w:rsidR="00AB64CB" w:rsidRDefault="00AB6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563CD" w14:textId="77777777" w:rsidR="00AB64CB" w:rsidRDefault="00AB64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A276E0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B7738C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10.216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D8AB96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B5848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B6A43D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C78916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11.143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E2CB0F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94F5E4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A9CD9F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422387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8.163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59E462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</w:tr>
    </w:tbl>
    <w:p w14:paraId="1A707D4F" w14:textId="77777777" w:rsidR="00AB64CB" w:rsidRDefault="00AB64CB" w:rsidP="00AB64CB">
      <w:r>
        <w:t xml:space="preserve">df: degrees of freedom; MS: mean square; </w:t>
      </w:r>
      <w:r>
        <w:rPr>
          <w:i/>
          <w:iCs/>
        </w:rPr>
        <w:t>P</w:t>
      </w:r>
      <w:r>
        <w:t xml:space="preserve">: probabilities tested by employing Fisher’s exact test. </w:t>
      </w:r>
    </w:p>
    <w:p w14:paraId="68840D19" w14:textId="77777777" w:rsidR="00AB64CB" w:rsidRDefault="00AB64CB" w:rsidP="00AB64CB">
      <w:pPr>
        <w:rPr>
          <w:sz w:val="24"/>
          <w:szCs w:val="32"/>
        </w:rPr>
      </w:pPr>
    </w:p>
    <w:p w14:paraId="2CF76A46" w14:textId="77777777" w:rsidR="00AB64CB" w:rsidRDefault="00AB64CB" w:rsidP="00AB64CB">
      <w:pPr>
        <w:jc w:val="both"/>
        <w:rPr>
          <w:b/>
          <w:bCs/>
        </w:rPr>
      </w:pPr>
    </w:p>
    <w:p w14:paraId="2AB4D260" w14:textId="77777777" w:rsidR="00AB64CB" w:rsidRDefault="00AB64CB" w:rsidP="00AB64CB">
      <w:pPr>
        <w:jc w:val="both"/>
      </w:pPr>
      <w:r>
        <w:rPr>
          <w:b/>
          <w:bCs/>
        </w:rPr>
        <w:t>Supplementary Table 3</w:t>
      </w:r>
      <w:r>
        <w:t xml:space="preserve"> </w:t>
      </w:r>
      <w:r>
        <w:rPr>
          <w:lang w:bidi="fa-IR"/>
        </w:rPr>
        <w:t>One-way ANOVA conducted to analyze the effects of five different temperatures on three pathogenicity traits, upward lesion progression, downward lesion progression, and lesion width, exhibited by the </w:t>
      </w:r>
      <w:r>
        <w:rPr>
          <w:i/>
          <w:iCs/>
          <w:lang w:bidi="fa-IR"/>
        </w:rPr>
        <w:t>Paramicrosphaeropsis eriobotryae</w:t>
      </w:r>
      <w:r>
        <w:rPr>
          <w:lang w:bidi="fa-IR"/>
        </w:rPr>
        <w:t> isolate BA05 on detached almond shoots.</w:t>
      </w:r>
    </w:p>
    <w:tbl>
      <w:tblPr>
        <w:tblStyle w:val="PlainTable2"/>
        <w:tblW w:w="10805" w:type="dxa"/>
        <w:jc w:val="center"/>
        <w:tblInd w:w="0" w:type="dxa"/>
        <w:tblLook w:val="06A0" w:firstRow="1" w:lastRow="0" w:firstColumn="1" w:lastColumn="0" w:noHBand="1" w:noVBand="1"/>
      </w:tblPr>
      <w:tblGrid>
        <w:gridCol w:w="1719"/>
        <w:gridCol w:w="471"/>
        <w:gridCol w:w="224"/>
        <w:gridCol w:w="786"/>
        <w:gridCol w:w="996"/>
        <w:gridCol w:w="898"/>
        <w:gridCol w:w="236"/>
        <w:gridCol w:w="768"/>
        <w:gridCol w:w="996"/>
        <w:gridCol w:w="898"/>
        <w:gridCol w:w="236"/>
        <w:gridCol w:w="862"/>
        <w:gridCol w:w="810"/>
        <w:gridCol w:w="905"/>
      </w:tblGrid>
      <w:tr w:rsidR="00AB64CB" w14:paraId="283E87A8" w14:textId="77777777" w:rsidTr="00AB64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F789A2" w14:textId="77777777" w:rsidR="00AB64CB" w:rsidRDefault="00AB64CB">
            <w:pPr>
              <w:rPr>
                <w:rFonts w:hint="cs"/>
                <w:szCs w:val="20"/>
                <w:rtl/>
              </w:rPr>
            </w:pPr>
            <w:r>
              <w:rPr>
                <w:szCs w:val="20"/>
              </w:rPr>
              <w:t>Source of variation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68071C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df</w:t>
            </w:r>
          </w:p>
        </w:tc>
        <w:tc>
          <w:tcPr>
            <w:tcW w:w="2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E58F5F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B9ECF4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Upward lesion progression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C42462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6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B491F9" w14:textId="77777777" w:rsidR="00AB64CB" w:rsidRDefault="00AB64C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Downward lesion progression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50FD82" w14:textId="77777777" w:rsidR="00AB64CB" w:rsidRDefault="00AB64C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5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1A4E66" w14:textId="77777777" w:rsidR="00AB64CB" w:rsidRDefault="00AB64CB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Lesion width</w:t>
            </w:r>
          </w:p>
        </w:tc>
      </w:tr>
      <w:tr w:rsidR="00AB64CB" w14:paraId="3B1FDCD2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E70164" w14:textId="77777777" w:rsidR="00AB64CB" w:rsidRDefault="00AB64CB">
            <w:pPr>
              <w:spacing w:line="240" w:lineRule="auto"/>
              <w:rPr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D0623" w14:textId="77777777" w:rsidR="00AB64CB" w:rsidRDefault="00AB64CB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0"/>
              </w:rPr>
            </w:pP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13805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EF75A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MS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C401E1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F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88C179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3034B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5220E5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MS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C4EA6D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szCs w:val="20"/>
              </w:rPr>
              <w:t>F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622D63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b/>
                <w:bCs/>
                <w:i/>
                <w:iCs/>
                <w:szCs w:val="20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42E58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22B7B8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  <w:r>
              <w:rPr>
                <w:b/>
                <w:bCs/>
                <w:szCs w:val="20"/>
              </w:rPr>
              <w:t>MS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EEC7D6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  <w:r>
              <w:rPr>
                <w:b/>
                <w:bCs/>
                <w:szCs w:val="20"/>
              </w:rPr>
              <w:t>F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754D35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szCs w:val="20"/>
              </w:rPr>
            </w:pPr>
            <w:r>
              <w:rPr>
                <w:b/>
                <w:bCs/>
                <w:i/>
                <w:iCs/>
                <w:szCs w:val="20"/>
              </w:rPr>
              <w:t>P</w:t>
            </w:r>
          </w:p>
        </w:tc>
      </w:tr>
      <w:tr w:rsidR="00AB64CB" w14:paraId="3222CCA7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6733CA" w14:textId="77777777" w:rsidR="00AB64CB" w:rsidRDefault="00AB64CB">
            <w:pPr>
              <w:rPr>
                <w:szCs w:val="20"/>
              </w:rPr>
            </w:pPr>
            <w:r>
              <w:rPr>
                <w:szCs w:val="20"/>
              </w:rPr>
              <w:t>Temperature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3A9B82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C9CDF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ACAFE44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6.48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8935B8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5.85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DEA478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0.0048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85428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A13DBA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7.41</w:t>
            </w: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1C9CF15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15.06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61A0930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&lt;.0001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F1E87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A2DB57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3.59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C55839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4.96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D63E5A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0.0095</w:t>
            </w:r>
          </w:p>
        </w:tc>
      </w:tr>
      <w:tr w:rsidR="00AB64CB" w14:paraId="1331AB59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11E0DB" w14:textId="77777777" w:rsidR="00AB64CB" w:rsidRDefault="00AB64CB">
            <w:pPr>
              <w:rPr>
                <w:szCs w:val="20"/>
              </w:rPr>
            </w:pPr>
            <w:r>
              <w:rPr>
                <w:szCs w:val="20"/>
              </w:rPr>
              <w:t>Error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EC289E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15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DF275E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F5FF30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1.11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4BBD91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B42816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72A79D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9500C8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0.49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4BF52F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0A0815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E4D8C9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5D519D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t>0.72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10CF86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F61935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</w:tr>
      <w:tr w:rsidR="00AB64CB" w14:paraId="60A61D0C" w14:textId="77777777" w:rsidTr="00AB64CB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87256F" w14:textId="77777777" w:rsidR="00AB64CB" w:rsidRDefault="00AB64CB">
            <w:pPr>
              <w:rPr>
                <w:szCs w:val="20"/>
              </w:rPr>
            </w:pPr>
            <w:r>
              <w:rPr>
                <w:szCs w:val="20"/>
              </w:rPr>
              <w:t>Coefficient of variation (%)</w:t>
            </w:r>
          </w:p>
        </w:tc>
        <w:tc>
          <w:tcPr>
            <w:tcW w:w="4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B404B1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24CD65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E88663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7876FC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17.99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794E22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B724C0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9BA26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36FE40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17.53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C4AACC" w14:textId="77777777" w:rsidR="00AB64CB" w:rsidRDefault="00AB64C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D9543D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817304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26258A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  <w:r>
              <w:rPr>
                <w:szCs w:val="20"/>
              </w:rPr>
              <w:t>20.03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7AE4BE" w14:textId="77777777" w:rsidR="00AB64CB" w:rsidRDefault="00AB64CB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0"/>
              </w:rPr>
            </w:pPr>
          </w:p>
        </w:tc>
      </w:tr>
    </w:tbl>
    <w:p w14:paraId="5FB52EE6" w14:textId="77777777" w:rsidR="00AB64CB" w:rsidRDefault="00AB64CB" w:rsidP="00AB64CB">
      <w:r>
        <w:t xml:space="preserve">df: degrees of freedom; MS: mean square; </w:t>
      </w:r>
      <w:r>
        <w:rPr>
          <w:i/>
          <w:iCs/>
        </w:rPr>
        <w:t>P</w:t>
      </w:r>
      <w:r>
        <w:t xml:space="preserve">: probabilities tested by employing Fisher’s exact test. </w:t>
      </w:r>
    </w:p>
    <w:p w14:paraId="44D509B7" w14:textId="77777777" w:rsidR="00AB64CB" w:rsidRDefault="00AB64CB" w:rsidP="00AB64CB">
      <w:pPr>
        <w:rPr>
          <w:sz w:val="24"/>
          <w:szCs w:val="32"/>
        </w:rPr>
      </w:pPr>
    </w:p>
    <w:p w14:paraId="7D533C4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4CB"/>
    <w:rsid w:val="005A2E27"/>
    <w:rsid w:val="00767E38"/>
    <w:rsid w:val="00866F7D"/>
    <w:rsid w:val="00AB64C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B3504"/>
  <w15:chartTrackingRefBased/>
  <w15:docId w15:val="{66CBB5BB-FA6C-4EB3-8AD7-C1DCA5EFF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4CB"/>
    <w:pPr>
      <w:spacing w:line="256" w:lineRule="auto"/>
    </w:pPr>
    <w:rPr>
      <w:rFonts w:ascii="Times New Roman" w:hAnsi="Times New Roman" w:cs="B Nazanin"/>
      <w:color w:val="000000" w:themeColor="text1"/>
      <w:kern w:val="0"/>
      <w:sz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64C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4C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4C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4C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4C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4C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4C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4C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4C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4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4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4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4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4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4CB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B6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4CB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B6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4CB"/>
    <w:pPr>
      <w:spacing w:before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B6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4CB"/>
    <w:pPr>
      <w:spacing w:line="278" w:lineRule="auto"/>
      <w:ind w:left="720"/>
      <w:contextualSpacing/>
    </w:pPr>
    <w:rPr>
      <w:rFonts w:asciiTheme="minorHAnsi" w:hAnsiTheme="minorHAnsi" w:cstheme="minorBidi"/>
      <w:color w:val="auto"/>
      <w:kern w:val="2"/>
      <w:sz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B64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4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4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4CB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AB64CB"/>
    <w:pPr>
      <w:spacing w:after="0" w:line="240" w:lineRule="auto"/>
    </w:pPr>
    <w:rPr>
      <w:rFonts w:ascii="Times New Roman" w:hAnsi="Times New Roman" w:cs="B Nazanin"/>
      <w:color w:val="000000" w:themeColor="text1"/>
      <w:kern w:val="0"/>
      <w:sz w:val="20"/>
      <w:lang w:val="en-US"/>
      <w14:ligatures w14:val="none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3">
    <w:name w:val="Table Grid3"/>
    <w:basedOn w:val="TableNormal"/>
    <w:uiPriority w:val="39"/>
    <w:rsid w:val="00AB64CB"/>
    <w:pPr>
      <w:spacing w:after="0" w:line="240" w:lineRule="auto"/>
    </w:pPr>
    <w:rPr>
      <w:color w:val="000000" w:themeColor="text1"/>
      <w:sz w:val="22"/>
      <w:szCs w:val="22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3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544</Words>
  <Characters>3103</Characters>
  <Application>Microsoft Office Word</Application>
  <DocSecurity>0</DocSecurity>
  <Lines>25</Lines>
  <Paragraphs>7</Paragraphs>
  <ScaleCrop>false</ScaleCrop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2025-07-28T14:46:00Z</dcterms:created>
  <dcterms:modified xsi:type="dcterms:W3CDTF">2025-07-28T14:46:00Z</dcterms:modified>
</cp:coreProperties>
</file>