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585C" w14:textId="77777777" w:rsidR="001C73BE" w:rsidRPr="003C591B" w:rsidRDefault="001C73BE" w:rsidP="001C73BE">
      <w:pPr>
        <w:rPr>
          <w:rFonts w:ascii="Arial" w:hAnsi="Arial" w:cs="Arial"/>
        </w:rPr>
      </w:pPr>
      <w:r w:rsidRPr="003C591B">
        <w:rPr>
          <w:rFonts w:ascii="Arial" w:hAnsi="Arial" w:cs="Arial" w:hint="eastAsia"/>
        </w:rPr>
        <w:t xml:space="preserve">Supplemental Figure 1: Illustration of this study </w:t>
      </w:r>
      <w:r w:rsidRPr="003C591B">
        <w:rPr>
          <w:rFonts w:ascii="Arial" w:hAnsi="Arial" w:cs="Arial"/>
        </w:rPr>
        <w:t>design</w:t>
      </w:r>
    </w:p>
    <w:p w14:paraId="4550C020" w14:textId="77777777" w:rsidR="001C73BE" w:rsidRPr="003C591B" w:rsidRDefault="001C73BE" w:rsidP="001C73BE">
      <w:pPr>
        <w:pStyle w:val="Web"/>
      </w:pPr>
      <w:r w:rsidRPr="003C591B">
        <w:t xml:space="preserve">The attached figure illustrates the timeline and design of a matched cohort study assessing the impact of COVID-19 infection on specific outcomes. The timeline is divided into two key segments: </w:t>
      </w:r>
      <w:r w:rsidRPr="003C591B">
        <w:rPr>
          <w:rStyle w:val="a4"/>
        </w:rPr>
        <w:t>calendar time</w:t>
      </w:r>
      <w:r w:rsidRPr="003C591B">
        <w:t xml:space="preserve"> (2015–2022) and the </w:t>
      </w:r>
      <w:r w:rsidRPr="003C591B">
        <w:rPr>
          <w:rStyle w:val="a4"/>
        </w:rPr>
        <w:t>matched cohort design</w:t>
      </w:r>
      <w:r w:rsidRPr="003C591B">
        <w:t xml:space="preserve"> phases.</w:t>
      </w:r>
      <w:r w:rsidRPr="003C591B">
        <w:rPr>
          <w:rFonts w:hint="eastAsia"/>
        </w:rPr>
        <w:t xml:space="preserve"> </w:t>
      </w:r>
      <w:r w:rsidRPr="003C591B">
        <w:rPr>
          <w:rStyle w:val="a4"/>
        </w:rPr>
        <w:t>Enrollment and Baseline Assessment</w:t>
      </w:r>
      <w:r w:rsidRPr="003C591B">
        <w:t xml:space="preserve">: Participants are enrolled starting from 2015, and their baseline characteristics, including the Charlson Comorbidity Index (CCI) and prescription history, are assessed during the </w:t>
      </w:r>
      <w:r w:rsidRPr="003C591B">
        <w:rPr>
          <w:rStyle w:val="a4"/>
        </w:rPr>
        <w:t>look-back period</w:t>
      </w:r>
      <w:r w:rsidRPr="003C591B">
        <w:t xml:space="preserve"> (one year before the index month). </w:t>
      </w:r>
      <w:r w:rsidRPr="003C591B">
        <w:rPr>
          <w:rStyle w:val="a4"/>
        </w:rPr>
        <w:t>Start of the Inclusion Period</w:t>
      </w:r>
      <w:r w:rsidRPr="003C591B">
        <w:t xml:space="preserve">: The inclusion period begins on </w:t>
      </w:r>
      <w:r w:rsidRPr="003C591B">
        <w:rPr>
          <w:rStyle w:val="a4"/>
        </w:rPr>
        <w:t>January 1, 2020</w:t>
      </w:r>
      <w:r w:rsidRPr="003C591B">
        <w:t>, marking the start of the analysis for individuals eligible for follow-up based on the cohort criteria.</w:t>
      </w:r>
      <w:r w:rsidRPr="003C591B">
        <w:rPr>
          <w:rFonts w:hint="eastAsia"/>
        </w:rPr>
        <w:t xml:space="preserve"> </w:t>
      </w:r>
      <w:r w:rsidRPr="003C591B">
        <w:rPr>
          <w:rStyle w:val="a4"/>
        </w:rPr>
        <w:t>COVID-19 Infection</w:t>
      </w:r>
      <w:r w:rsidRPr="003C591B">
        <w:t xml:space="preserve">: The </w:t>
      </w:r>
      <w:r w:rsidRPr="003C591B">
        <w:rPr>
          <w:rStyle w:val="a4"/>
        </w:rPr>
        <w:t>index month</w:t>
      </w:r>
      <w:r w:rsidRPr="003C591B">
        <w:t xml:space="preserve"> represents the time of COVID-19 infection for cases, serving as the anchor point for subsequent follow-up and comparison with matched controls.</w:t>
      </w:r>
      <w:r w:rsidRPr="003C591B">
        <w:rPr>
          <w:rFonts w:hint="eastAsia"/>
        </w:rPr>
        <w:t xml:space="preserve"> </w:t>
      </w:r>
      <w:r w:rsidRPr="003C591B">
        <w:rPr>
          <w:rStyle w:val="a4"/>
        </w:rPr>
        <w:t>Follow-Up Period</w:t>
      </w:r>
      <w:r w:rsidRPr="003C591B">
        <w:t xml:space="preserve">: Following the index month, individuals are observed longitudinally until the </w:t>
      </w:r>
      <w:r w:rsidRPr="003C591B">
        <w:rPr>
          <w:rStyle w:val="a4"/>
        </w:rPr>
        <w:t>end of the observation period on December 31, 2022</w:t>
      </w:r>
      <w:r w:rsidRPr="003C591B">
        <w:t>. The timeline highlights the integration of pre-infection data collection, cohort inclusion, and follow-up, providing a robust framework for analyzing the long-term effects of COVID-19 infection compared to a matched non-infected control group.</w:t>
      </w:r>
    </w:p>
    <w:p w14:paraId="45E76B75" w14:textId="77777777" w:rsidR="001C73BE" w:rsidRPr="003C591B" w:rsidRDefault="001C73BE" w:rsidP="001C73BE">
      <w:pPr>
        <w:rPr>
          <w:rFonts w:ascii="Arial" w:hAnsi="Arial" w:cs="Arial"/>
        </w:rPr>
      </w:pPr>
      <w:r w:rsidRPr="003C591B">
        <w:rPr>
          <w:noProof/>
        </w:rPr>
        <w:drawing>
          <wp:inline distT="0" distB="0" distL="0" distR="0" wp14:anchorId="5380E841" wp14:editId="135AD6FD">
            <wp:extent cx="5399687" cy="1344305"/>
            <wp:effectExtent l="0" t="0" r="0" b="8255"/>
            <wp:docPr id="2096796885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96885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28528" b="27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44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24D8E" w14:textId="77777777" w:rsidR="001C73BE" w:rsidRPr="003C591B" w:rsidRDefault="001C73BE" w:rsidP="001C73BE">
      <w:pPr>
        <w:widowControl/>
        <w:rPr>
          <w:rFonts w:ascii="Arial" w:hAnsi="Arial" w:cs="Arial"/>
        </w:rPr>
      </w:pPr>
      <w:r w:rsidRPr="003C591B">
        <w:rPr>
          <w:rFonts w:ascii="Arial" w:hAnsi="Arial" w:cs="Arial"/>
        </w:rPr>
        <w:br w:type="page"/>
      </w:r>
    </w:p>
    <w:p w14:paraId="0B362990" w14:textId="48DBCA43" w:rsidR="001C73BE" w:rsidRPr="003C591B" w:rsidRDefault="001C73BE" w:rsidP="001C73BE">
      <w:pPr>
        <w:rPr>
          <w:rFonts w:ascii="Arial" w:hAnsi="Arial" w:cs="Arial"/>
        </w:rPr>
      </w:pPr>
      <w:r w:rsidRPr="003C591B">
        <w:rPr>
          <w:rFonts w:ascii="Arial" w:hAnsi="Arial" w:cs="Arial"/>
        </w:rPr>
        <w:lastRenderedPageBreak/>
        <w:t>Supplemental Table1</w:t>
      </w:r>
      <w:r w:rsidR="00FA6408" w:rsidRPr="003C591B">
        <w:rPr>
          <w:rFonts w:ascii="Arial" w:hAnsi="Arial" w:cs="Arial" w:hint="eastAsia"/>
        </w:rPr>
        <w:t>:</w:t>
      </w:r>
      <w:r w:rsidR="00FA6408" w:rsidRPr="003C591B">
        <w:rPr>
          <w:rFonts w:ascii="Arial" w:hAnsi="Arial" w:cs="Arial"/>
        </w:rPr>
        <w:t xml:space="preserve"> Classification of Disease-Modifying Antirheumatic Drugs (DMARDs) and Corresponding ATC Codes</w:t>
      </w: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1838"/>
        <w:gridCol w:w="6946"/>
        <w:gridCol w:w="4252"/>
      </w:tblGrid>
      <w:tr w:rsidR="001C73BE" w:rsidRPr="003C591B" w14:paraId="032BAD61" w14:textId="77777777" w:rsidTr="00684329">
        <w:trPr>
          <w:trHeight w:val="360"/>
        </w:trPr>
        <w:tc>
          <w:tcPr>
            <w:tcW w:w="1838" w:type="dxa"/>
            <w:noWrap/>
            <w:hideMark/>
          </w:tcPr>
          <w:p w14:paraId="37E53F26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b/>
                <w:color w:val="000000"/>
                <w:kern w:val="0"/>
                <w:sz w:val="21"/>
                <w:szCs w:val="21"/>
                <w14:ligatures w14:val="none"/>
              </w:rPr>
              <w:t>Category</w:t>
            </w:r>
          </w:p>
        </w:tc>
        <w:tc>
          <w:tcPr>
            <w:tcW w:w="6946" w:type="dxa"/>
            <w:noWrap/>
            <w:hideMark/>
          </w:tcPr>
          <w:p w14:paraId="70B4535E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b/>
                <w:color w:val="000000"/>
                <w:kern w:val="0"/>
                <w:sz w:val="21"/>
                <w:szCs w:val="21"/>
                <w14:ligatures w14:val="none"/>
              </w:rPr>
              <w:t>Drugs</w:t>
            </w:r>
          </w:p>
        </w:tc>
        <w:tc>
          <w:tcPr>
            <w:tcW w:w="4252" w:type="dxa"/>
            <w:noWrap/>
            <w:hideMark/>
          </w:tcPr>
          <w:p w14:paraId="50EF30B0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b/>
                <w:color w:val="000000"/>
                <w:kern w:val="0"/>
                <w:sz w:val="21"/>
                <w:szCs w:val="21"/>
                <w14:ligatures w14:val="none"/>
              </w:rPr>
              <w:t>ATC Codes</w:t>
            </w:r>
          </w:p>
        </w:tc>
      </w:tr>
      <w:tr w:rsidR="001C73BE" w:rsidRPr="003C591B" w14:paraId="4E43D52C" w14:textId="77777777" w:rsidTr="00684329">
        <w:trPr>
          <w:trHeight w:val="360"/>
        </w:trPr>
        <w:tc>
          <w:tcPr>
            <w:tcW w:w="1838" w:type="dxa"/>
            <w:noWrap/>
            <w:hideMark/>
          </w:tcPr>
          <w:p w14:paraId="3DA702C2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bDMARD</w:t>
            </w:r>
            <w:proofErr w:type="spellEnd"/>
          </w:p>
        </w:tc>
        <w:tc>
          <w:tcPr>
            <w:tcW w:w="6946" w:type="dxa"/>
            <w:noWrap/>
            <w:hideMark/>
          </w:tcPr>
          <w:p w14:paraId="4B219FE0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Abatacept, Orencia, Etanercept, Enbrel, Infliximab, Remicade, Adalimumab, Humira, Certolizumab, Cimzia, Golimumab, Simponi, Sarilumab, Kevzara, Denosumab, Prolia,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Xgeva</w:t>
            </w:r>
            <w:proofErr w:type="spellEnd"/>
          </w:p>
        </w:tc>
        <w:tc>
          <w:tcPr>
            <w:tcW w:w="4252" w:type="dxa"/>
            <w:noWrap/>
            <w:hideMark/>
          </w:tcPr>
          <w:p w14:paraId="63FF2539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L04AA24, L04AB01, L04AB02, L04AB04, L04AB05, L04AB06, L04AC14, M05BX04</w:t>
            </w:r>
          </w:p>
        </w:tc>
      </w:tr>
      <w:tr w:rsidR="001C73BE" w:rsidRPr="003C591B" w14:paraId="46FCC526" w14:textId="77777777" w:rsidTr="00684329">
        <w:trPr>
          <w:trHeight w:val="360"/>
        </w:trPr>
        <w:tc>
          <w:tcPr>
            <w:tcW w:w="1838" w:type="dxa"/>
            <w:noWrap/>
            <w:hideMark/>
          </w:tcPr>
          <w:p w14:paraId="1B55CE2E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COVID DMARDs</w:t>
            </w:r>
          </w:p>
        </w:tc>
        <w:tc>
          <w:tcPr>
            <w:tcW w:w="6946" w:type="dxa"/>
            <w:noWrap/>
            <w:hideMark/>
          </w:tcPr>
          <w:p w14:paraId="45D38258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Baricitinib, Olumiant, Tocilizumab, Actemra</w:t>
            </w:r>
          </w:p>
        </w:tc>
        <w:tc>
          <w:tcPr>
            <w:tcW w:w="4252" w:type="dxa"/>
            <w:noWrap/>
            <w:hideMark/>
          </w:tcPr>
          <w:p w14:paraId="5E3C3652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L04AA37, L04AC07</w:t>
            </w:r>
          </w:p>
        </w:tc>
      </w:tr>
      <w:tr w:rsidR="001C73BE" w:rsidRPr="003C591B" w14:paraId="1ABDB47C" w14:textId="77777777" w:rsidTr="00684329">
        <w:trPr>
          <w:trHeight w:val="360"/>
        </w:trPr>
        <w:tc>
          <w:tcPr>
            <w:tcW w:w="1838" w:type="dxa"/>
            <w:noWrap/>
            <w:hideMark/>
          </w:tcPr>
          <w:p w14:paraId="6A242914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csDMARD</w:t>
            </w:r>
            <w:proofErr w:type="spellEnd"/>
          </w:p>
        </w:tc>
        <w:tc>
          <w:tcPr>
            <w:tcW w:w="6946" w:type="dxa"/>
            <w:noWrap/>
            <w:hideMark/>
          </w:tcPr>
          <w:p w14:paraId="0848E226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Gold thiomalate, Thiomalate, Penicillamine, Metal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captase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Bucillamine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Lobenzarit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disodium,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Iguratimod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Carelam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, Sulfasalazine, Sulfasalazine (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Salazopyrin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), Actarit, Mova,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Oakle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Leflunomide, Arava, Tacrolimus,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Graceptor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Prograf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Azathioprine,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Azanin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Imuran, Methotrexate,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Metoject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Rheumatrex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Mizoribine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Bredinin</w:t>
            </w:r>
            <w:proofErr w:type="spellEnd"/>
          </w:p>
        </w:tc>
        <w:tc>
          <w:tcPr>
            <w:tcW w:w="4252" w:type="dxa"/>
            <w:noWrap/>
            <w:hideMark/>
          </w:tcPr>
          <w:p w14:paraId="6F188546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M01CB01, M01CB01, M01CC01, N/A, M01CC01, M01AX08, M01AX17, M01AX17, A07EC01, M01AX04, L04AA13, L04AA13, L04AD02, L04AX01, L01BA01, L04AX02</w:t>
            </w:r>
          </w:p>
        </w:tc>
      </w:tr>
      <w:tr w:rsidR="001C73BE" w:rsidRPr="003C591B" w14:paraId="2605F366" w14:textId="77777777" w:rsidTr="00684329">
        <w:trPr>
          <w:trHeight w:val="360"/>
        </w:trPr>
        <w:tc>
          <w:tcPr>
            <w:tcW w:w="1838" w:type="dxa"/>
            <w:noWrap/>
            <w:hideMark/>
          </w:tcPr>
          <w:p w14:paraId="7AC1BBCE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tsDMARD</w:t>
            </w:r>
            <w:proofErr w:type="spellEnd"/>
          </w:p>
        </w:tc>
        <w:tc>
          <w:tcPr>
            <w:tcW w:w="6946" w:type="dxa"/>
            <w:noWrap/>
            <w:hideMark/>
          </w:tcPr>
          <w:p w14:paraId="754EC7F7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Tofacitinib, Xeljanz, Upadacitinib,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Rinvoq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Filgotinib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Jyseleca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Peficitinib</w:t>
            </w:r>
            <w:proofErr w:type="spellEnd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Smyraf</w:t>
            </w:r>
            <w:proofErr w:type="spellEnd"/>
          </w:p>
        </w:tc>
        <w:tc>
          <w:tcPr>
            <w:tcW w:w="4252" w:type="dxa"/>
            <w:noWrap/>
            <w:hideMark/>
          </w:tcPr>
          <w:p w14:paraId="6A5A51ED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3C591B">
              <w:rPr>
                <w:rFonts w:ascii="Arial" w:eastAsia="游ゴシック" w:hAnsi="Arial" w:cs="Arial"/>
                <w:color w:val="000000"/>
                <w:kern w:val="0"/>
                <w:sz w:val="21"/>
                <w:szCs w:val="21"/>
                <w14:ligatures w14:val="none"/>
              </w:rPr>
              <w:t>L04AA29, L04AA29, L04AA44, L04AA45</w:t>
            </w:r>
          </w:p>
        </w:tc>
      </w:tr>
    </w:tbl>
    <w:p w14:paraId="4D576506" w14:textId="77777777" w:rsidR="001C73BE" w:rsidRPr="003C591B" w:rsidRDefault="001C73BE" w:rsidP="001C73BE">
      <w:pPr>
        <w:widowControl/>
        <w:rPr>
          <w:rFonts w:ascii="Arial" w:hAnsi="Arial" w:cs="Arial"/>
        </w:rPr>
      </w:pPr>
      <w:bookmarkStart w:id="0" w:name="_Hlk188723501"/>
      <w:proofErr w:type="spellStart"/>
      <w:r w:rsidRPr="003C591B">
        <w:rPr>
          <w:rFonts w:ascii="Arial" w:eastAsia="ＭＳ Ｐゴシック" w:hAnsi="Arial" w:cs="Arial"/>
          <w:b/>
          <w:kern w:val="0"/>
        </w:rPr>
        <w:t>bDMARD</w:t>
      </w:r>
      <w:proofErr w:type="spellEnd"/>
      <w:r w:rsidRPr="003C591B">
        <w:rPr>
          <w:rFonts w:ascii="Arial" w:eastAsia="ＭＳ Ｐゴシック" w:hAnsi="Arial" w:cs="Arial"/>
          <w:kern w:val="0"/>
        </w:rPr>
        <w:t xml:space="preserve">: Biologic Disease-Modifying Antirheumatic Drugs, used to treat autoimmune diseases by targeting specific components of the immune system. </w:t>
      </w:r>
      <w:proofErr w:type="spellStart"/>
      <w:r w:rsidRPr="003C591B">
        <w:rPr>
          <w:rFonts w:ascii="Arial" w:eastAsia="ＭＳ Ｐゴシック" w:hAnsi="Arial" w:cs="Arial"/>
          <w:b/>
          <w:kern w:val="0"/>
        </w:rPr>
        <w:t>csDMARD</w:t>
      </w:r>
      <w:proofErr w:type="spellEnd"/>
      <w:r w:rsidRPr="003C591B">
        <w:rPr>
          <w:rFonts w:ascii="Arial" w:eastAsia="ＭＳ Ｐゴシック" w:hAnsi="Arial" w:cs="Arial"/>
          <w:kern w:val="0"/>
        </w:rPr>
        <w:t xml:space="preserve">: Conventional Synthetic Disease-Modifying Antirheumatic Drugs, traditional small-molecule drugs that reduce inflammation and prevent joint damage. </w:t>
      </w:r>
      <w:proofErr w:type="spellStart"/>
      <w:r w:rsidRPr="003C591B">
        <w:rPr>
          <w:rFonts w:ascii="Arial" w:eastAsia="ＭＳ Ｐゴシック" w:hAnsi="Arial" w:cs="Arial"/>
          <w:b/>
          <w:kern w:val="0"/>
        </w:rPr>
        <w:t>tsDMARD</w:t>
      </w:r>
      <w:proofErr w:type="spellEnd"/>
      <w:r w:rsidRPr="003C591B">
        <w:rPr>
          <w:rFonts w:ascii="Arial" w:eastAsia="ＭＳ Ｐゴシック" w:hAnsi="Arial" w:cs="Arial"/>
          <w:kern w:val="0"/>
        </w:rPr>
        <w:t xml:space="preserve">: Targeted Synthetic Disease-Modifying Anti rheumatic Drugs, a newer class of small-molecule drugs that inhibit specific intracellular signaling pathways. </w:t>
      </w:r>
      <w:r w:rsidRPr="003C591B">
        <w:rPr>
          <w:rFonts w:ascii="Arial" w:eastAsia="ＭＳ Ｐゴシック" w:hAnsi="Arial" w:cs="Arial"/>
          <w:b/>
          <w:bCs/>
          <w:kern w:val="0"/>
        </w:rPr>
        <w:t>COVID DMARDs</w:t>
      </w:r>
      <w:r w:rsidRPr="003C591B">
        <w:rPr>
          <w:rFonts w:ascii="Arial" w:eastAsia="ＭＳ Ｐゴシック" w:hAnsi="Arial" w:cs="Arial"/>
          <w:kern w:val="0"/>
        </w:rPr>
        <w:t xml:space="preserve">: Disease-Modifying Antirheumatic Drugs repurposed or developed for the treatment of severe inflammatory responses in COVID-19. </w:t>
      </w:r>
      <w:bookmarkEnd w:id="0"/>
      <w:r w:rsidRPr="003C591B">
        <w:rPr>
          <w:rFonts w:ascii="Arial" w:eastAsia="ＭＳ Ｐゴシック" w:hAnsi="Arial" w:cs="Arial"/>
          <w:b/>
          <w:kern w:val="0"/>
        </w:rPr>
        <w:t>ATC Code</w:t>
      </w:r>
      <w:r w:rsidRPr="003C591B">
        <w:rPr>
          <w:rFonts w:ascii="Arial" w:eastAsia="ＭＳ Ｐゴシック" w:hAnsi="Arial" w:cs="Arial"/>
          <w:kern w:val="0"/>
        </w:rPr>
        <w:t>: Anatomical Therapeutic Chemical Classification System code, categorizing drugs based on their therapeutic use and mechanism of action for international standardization.</w:t>
      </w:r>
    </w:p>
    <w:p w14:paraId="2CCB7045" w14:textId="77777777" w:rsidR="001C73BE" w:rsidRPr="003C591B" w:rsidRDefault="001C73BE" w:rsidP="001C73BE">
      <w:pPr>
        <w:widowControl/>
        <w:rPr>
          <w:rFonts w:ascii="Arial" w:hAnsi="Arial" w:cs="Arial"/>
        </w:rPr>
      </w:pPr>
      <w:r w:rsidRPr="003C591B">
        <w:rPr>
          <w:rFonts w:ascii="Arial" w:hAnsi="Arial" w:cs="Arial"/>
        </w:rPr>
        <w:br w:type="page"/>
      </w:r>
    </w:p>
    <w:tbl>
      <w:tblPr>
        <w:tblStyle w:val="a3"/>
        <w:tblpPr w:leftFromText="142" w:rightFromText="142" w:horzAnchor="margin" w:tblpY="459"/>
        <w:tblW w:w="13036" w:type="dxa"/>
        <w:tblLook w:val="04A0" w:firstRow="1" w:lastRow="0" w:firstColumn="1" w:lastColumn="0" w:noHBand="0" w:noVBand="1"/>
      </w:tblPr>
      <w:tblGrid>
        <w:gridCol w:w="2263"/>
        <w:gridCol w:w="4253"/>
        <w:gridCol w:w="6520"/>
      </w:tblGrid>
      <w:tr w:rsidR="001C73BE" w:rsidRPr="003C591B" w14:paraId="65BC2D17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139EDFC9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lastRenderedPageBreak/>
              <w:t>Category</w:t>
            </w:r>
          </w:p>
        </w:tc>
        <w:tc>
          <w:tcPr>
            <w:tcW w:w="4253" w:type="dxa"/>
          </w:tcPr>
          <w:p w14:paraId="50FBD7E4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Description</w:t>
            </w:r>
          </w:p>
        </w:tc>
        <w:tc>
          <w:tcPr>
            <w:tcW w:w="6520" w:type="dxa"/>
            <w:noWrap/>
            <w:hideMark/>
          </w:tcPr>
          <w:p w14:paraId="689636AB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ICD-10 Codes</w:t>
            </w:r>
          </w:p>
        </w:tc>
      </w:tr>
      <w:tr w:rsidR="001C73BE" w:rsidRPr="003C591B" w14:paraId="3377F676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7F1AA591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Glomerulonephritis</w:t>
            </w:r>
          </w:p>
        </w:tc>
        <w:tc>
          <w:tcPr>
            <w:tcW w:w="4253" w:type="dxa"/>
          </w:tcPr>
          <w:p w14:paraId="3C4EA031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Acute glomerulonephritis, rapidly progressive nephritis, and other chronic nephritic syndromes</w:t>
            </w:r>
          </w:p>
        </w:tc>
        <w:tc>
          <w:tcPr>
            <w:tcW w:w="6520" w:type="dxa"/>
            <w:noWrap/>
            <w:hideMark/>
          </w:tcPr>
          <w:p w14:paraId="2F643CA9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N000, N001, N002, N003, N004, N005, N006, N007, N008, N009, N011, N012, N013, N014, N015, N016, N017, N018, N019, N030, N032, N033, N034, N035, N036, N037, N038, N039, N040, N041, N042, N043, N044, N045, N046, N047, N048, N049, N05, N050, N051, N052, N053, N054, N055, N056, N057, N058, N059</w:t>
            </w:r>
          </w:p>
        </w:tc>
      </w:tr>
      <w:tr w:rsidR="001C73BE" w:rsidRPr="003C591B" w14:paraId="5ACECC07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1C36E942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Systemic Connective Tissue Disorders</w:t>
            </w:r>
          </w:p>
        </w:tc>
        <w:tc>
          <w:tcPr>
            <w:tcW w:w="4253" w:type="dxa"/>
          </w:tcPr>
          <w:p w14:paraId="019F3B08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Systemic vasculitis, lupus erythematosus, systemic sclerosis, and other connective tissue disorders</w:t>
            </w:r>
          </w:p>
        </w:tc>
        <w:tc>
          <w:tcPr>
            <w:tcW w:w="6520" w:type="dxa"/>
            <w:noWrap/>
            <w:hideMark/>
          </w:tcPr>
          <w:p w14:paraId="54A86245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M300, M301, M302, M303, M308, M310, M311, M313, M314, M315, M316, M317, M318, M319, M320, M321, M328, M329, M330, M331, M332, M339, M340, M341, M342, M348, M349, M350, M351, M352, M353, M354, M355, M356, M357, M358, M359, M36</w:t>
            </w:r>
          </w:p>
        </w:tc>
      </w:tr>
      <w:tr w:rsidR="001C73BE" w:rsidRPr="003C591B" w14:paraId="63D3DBA9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4A76217A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 xml:space="preserve">Arthritis </w:t>
            </w:r>
          </w:p>
        </w:tc>
        <w:tc>
          <w:tcPr>
            <w:tcW w:w="4253" w:type="dxa"/>
          </w:tcPr>
          <w:p w14:paraId="30EF259B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Rheumatoid arthritis, juvenile arthritis, and other inflammatory arthropathies</w:t>
            </w:r>
          </w:p>
        </w:tc>
        <w:tc>
          <w:tcPr>
            <w:tcW w:w="6520" w:type="dxa"/>
            <w:noWrap/>
            <w:hideMark/>
          </w:tcPr>
          <w:p w14:paraId="61826E71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M050, M051, M052, M053, M058, M059, M060, M061, M062, M063, M064, M068, M069, M070, M071, M072, M073, M074, M075, M076, M081, M082, M083, M084, M088, M089</w:t>
            </w:r>
          </w:p>
        </w:tc>
      </w:tr>
      <w:tr w:rsidR="001C73BE" w:rsidRPr="003C591B" w14:paraId="71C3F088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519ED0D7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Bullous Disorders</w:t>
            </w:r>
          </w:p>
        </w:tc>
        <w:tc>
          <w:tcPr>
            <w:tcW w:w="4253" w:type="dxa"/>
          </w:tcPr>
          <w:p w14:paraId="54BE97E7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Pemphigus, pemphigoid, and other bullous skin disorders</w:t>
            </w:r>
          </w:p>
        </w:tc>
        <w:tc>
          <w:tcPr>
            <w:tcW w:w="6520" w:type="dxa"/>
            <w:noWrap/>
            <w:hideMark/>
          </w:tcPr>
          <w:p w14:paraId="2ED663EB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L100, L101, L102, L103, L104, L105, L108, L109, L120, L121, L122, L123, L128, L129, L130, L138, L139, L14,</w:t>
            </w:r>
          </w:p>
        </w:tc>
      </w:tr>
      <w:tr w:rsidR="001C73BE" w:rsidRPr="003C591B" w14:paraId="406FB81D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04EF7A29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 xml:space="preserve">Psoriasis </w:t>
            </w:r>
          </w:p>
        </w:tc>
        <w:tc>
          <w:tcPr>
            <w:tcW w:w="4253" w:type="dxa"/>
          </w:tcPr>
          <w:p w14:paraId="722E27F8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Psoriasis and related conditions</w:t>
            </w:r>
          </w:p>
        </w:tc>
        <w:tc>
          <w:tcPr>
            <w:tcW w:w="6520" w:type="dxa"/>
            <w:noWrap/>
            <w:hideMark/>
          </w:tcPr>
          <w:p w14:paraId="6FC05452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L400, L401, L402, L403, L404, L405, L408, L409</w:t>
            </w:r>
          </w:p>
        </w:tc>
      </w:tr>
      <w:tr w:rsidR="001C73BE" w:rsidRPr="003C591B" w14:paraId="3A135586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18F700C9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Inflammatory Bowel Disease</w:t>
            </w:r>
          </w:p>
        </w:tc>
        <w:tc>
          <w:tcPr>
            <w:tcW w:w="4253" w:type="dxa"/>
          </w:tcPr>
          <w:p w14:paraId="56E5E719" w14:textId="77777777" w:rsidR="001C73BE" w:rsidRPr="003C591B" w:rsidRDefault="001C73BE" w:rsidP="00684329">
            <w:pPr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Crohn's disease and ulcerative colitis</w:t>
            </w:r>
          </w:p>
        </w:tc>
        <w:tc>
          <w:tcPr>
            <w:tcW w:w="6520" w:type="dxa"/>
            <w:noWrap/>
            <w:hideMark/>
          </w:tcPr>
          <w:p w14:paraId="4CDFA03E" w14:textId="77777777" w:rsidR="001C73BE" w:rsidRPr="003C591B" w:rsidRDefault="001C73BE" w:rsidP="00684329">
            <w:pPr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K500, K501, K508, K509, K510, K512, K513, K514, K515, K518, K519</w:t>
            </w:r>
          </w:p>
        </w:tc>
      </w:tr>
      <w:tr w:rsidR="001C73BE" w:rsidRPr="003C591B" w14:paraId="2A913120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12C4B7D8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Respiratory Disorders</w:t>
            </w:r>
          </w:p>
        </w:tc>
        <w:tc>
          <w:tcPr>
            <w:tcW w:w="4253" w:type="dxa"/>
          </w:tcPr>
          <w:p w14:paraId="1FCD9BDC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Acute respiratory distress syndrome and interstitial pulmonary diseases</w:t>
            </w:r>
          </w:p>
        </w:tc>
        <w:tc>
          <w:tcPr>
            <w:tcW w:w="6520" w:type="dxa"/>
            <w:noWrap/>
            <w:hideMark/>
          </w:tcPr>
          <w:p w14:paraId="2DE0F7DA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J80, J841, J848, J849</w:t>
            </w:r>
          </w:p>
        </w:tc>
      </w:tr>
      <w:tr w:rsidR="001C73BE" w:rsidRPr="003C591B" w14:paraId="0845CA9E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1F1664AE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Central Nervous System Disorders</w:t>
            </w:r>
          </w:p>
        </w:tc>
        <w:tc>
          <w:tcPr>
            <w:tcW w:w="4253" w:type="dxa"/>
          </w:tcPr>
          <w:p w14:paraId="392128B3" w14:textId="77777777" w:rsidR="001C73BE" w:rsidRPr="003C591B" w:rsidRDefault="001C73BE" w:rsidP="00684329">
            <w:pPr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Demyelinating diseases, multiple sclerosis, and other CNS disorders</w:t>
            </w:r>
          </w:p>
        </w:tc>
        <w:tc>
          <w:tcPr>
            <w:tcW w:w="6520" w:type="dxa"/>
            <w:noWrap/>
            <w:hideMark/>
          </w:tcPr>
          <w:p w14:paraId="48232B6D" w14:textId="77777777" w:rsidR="001C73BE" w:rsidRPr="003C591B" w:rsidRDefault="001C73BE" w:rsidP="00684329">
            <w:pPr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G048, G049, G35, G70, G700, G701, G702, G708, G709</w:t>
            </w:r>
          </w:p>
        </w:tc>
      </w:tr>
      <w:tr w:rsidR="001C73BE" w:rsidRPr="003C591B" w14:paraId="2B5BC00F" w14:textId="77777777" w:rsidTr="00684329">
        <w:trPr>
          <w:trHeight w:val="360"/>
        </w:trPr>
        <w:tc>
          <w:tcPr>
            <w:tcW w:w="2263" w:type="dxa"/>
            <w:noWrap/>
            <w:hideMark/>
          </w:tcPr>
          <w:p w14:paraId="787AD6F4" w14:textId="77777777" w:rsidR="001C73BE" w:rsidRPr="003C591B" w:rsidRDefault="001C73BE" w:rsidP="00684329">
            <w:pPr>
              <w:widowControl/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Immunodeficiency Disorders</w:t>
            </w:r>
          </w:p>
        </w:tc>
        <w:tc>
          <w:tcPr>
            <w:tcW w:w="4253" w:type="dxa"/>
          </w:tcPr>
          <w:p w14:paraId="1B953A64" w14:textId="77777777" w:rsidR="001C73BE" w:rsidRPr="003C591B" w:rsidRDefault="001C73BE" w:rsidP="00684329">
            <w:pPr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 w:hint="eastAsia"/>
              </w:rPr>
              <w:t>Aplastic anemia, sarcoidosis, and cryoglobulinemia</w:t>
            </w:r>
          </w:p>
        </w:tc>
        <w:tc>
          <w:tcPr>
            <w:tcW w:w="6520" w:type="dxa"/>
            <w:noWrap/>
            <w:hideMark/>
          </w:tcPr>
          <w:p w14:paraId="46EDC999" w14:textId="77777777" w:rsidR="001C73BE" w:rsidRPr="003C591B" w:rsidRDefault="001C73BE" w:rsidP="00684329">
            <w:pPr>
              <w:spacing w:line="240" w:lineRule="exact"/>
              <w:rPr>
                <w:rFonts w:ascii="Arial" w:hAnsi="Arial" w:cs="Arial"/>
              </w:rPr>
            </w:pPr>
            <w:r w:rsidRPr="003C591B">
              <w:rPr>
                <w:rFonts w:ascii="Arial" w:hAnsi="Arial" w:cs="Arial"/>
              </w:rPr>
              <w:t>D610, D611, D612, D613, D618, D619, D860, D861, D862, D863, D868, D869, D890, D891</w:t>
            </w:r>
          </w:p>
        </w:tc>
      </w:tr>
    </w:tbl>
    <w:p w14:paraId="79E3D23E" w14:textId="77777777" w:rsidR="001C73BE" w:rsidRPr="003C591B" w:rsidRDefault="001C73BE" w:rsidP="001C73BE">
      <w:pPr>
        <w:widowControl/>
        <w:rPr>
          <w:rFonts w:ascii="Arial" w:hAnsi="Arial" w:cs="Arial"/>
        </w:rPr>
      </w:pPr>
      <w:r w:rsidRPr="003C591B">
        <w:rPr>
          <w:rFonts w:ascii="Arial" w:hAnsi="Arial" w:cs="Arial" w:hint="eastAsia"/>
        </w:rPr>
        <w:t>Supplemental Table2: Definition of Secondary Outcome</w:t>
      </w:r>
    </w:p>
    <w:p w14:paraId="340589B6" w14:textId="77777777" w:rsidR="001C73BE" w:rsidRPr="003C591B" w:rsidRDefault="001C73BE" w:rsidP="001C73BE">
      <w:pPr>
        <w:pStyle w:val="Web"/>
      </w:pPr>
      <w:r w:rsidRPr="003C591B">
        <w:t>ICD-10: International Classification of Diseases, 10th Revision</w:t>
      </w:r>
      <w:r w:rsidRPr="003C591B">
        <w:rPr>
          <w:rFonts w:hint="eastAsia"/>
        </w:rPr>
        <w:t>.</w:t>
      </w:r>
    </w:p>
    <w:p w14:paraId="42424921" w14:textId="53D30DA2" w:rsidR="002B36DA" w:rsidRPr="003C591B" w:rsidRDefault="002B36DA">
      <w:pPr>
        <w:widowControl/>
        <w:jc w:val="left"/>
      </w:pPr>
      <w:r w:rsidRPr="003C591B">
        <w:br w:type="page"/>
      </w:r>
    </w:p>
    <w:p w14:paraId="205D972F" w14:textId="77777777" w:rsidR="00131E1B" w:rsidRPr="003C591B" w:rsidRDefault="00131E1B">
      <w:pPr>
        <w:sectPr w:rsidR="00131E1B" w:rsidRPr="003C591B" w:rsidSect="001C73BE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62BEE454" w14:textId="57A3A026" w:rsidR="002D29A1" w:rsidRPr="003C591B" w:rsidRDefault="002B36DA">
      <w:r w:rsidRPr="003C591B">
        <w:rPr>
          <w:rFonts w:hint="eastAsia"/>
        </w:rPr>
        <w:lastRenderedPageBreak/>
        <w:t xml:space="preserve">Supplementary Table 3: </w:t>
      </w:r>
      <w:r w:rsidR="0032566F" w:rsidRPr="003C591B">
        <w:rPr>
          <w:rFonts w:hint="eastAsia"/>
        </w:rPr>
        <w:t xml:space="preserve">Sensitivity analysis </w:t>
      </w:r>
      <w:r w:rsidR="007F7BD4" w:rsidRPr="003C591B">
        <w:rPr>
          <w:rFonts w:hint="eastAsia"/>
        </w:rPr>
        <w:t xml:space="preserve">for participants </w:t>
      </w:r>
      <w:r w:rsidR="0032566F" w:rsidRPr="003C591B">
        <w:rPr>
          <w:rFonts w:hint="eastAsia"/>
        </w:rPr>
        <w:t xml:space="preserve">without </w:t>
      </w:r>
      <w:r w:rsidR="007F7BD4" w:rsidRPr="003C591B">
        <w:rPr>
          <w:rFonts w:hint="eastAsia"/>
        </w:rPr>
        <w:t xml:space="preserve">rheumatic diseases </w:t>
      </w:r>
      <w:r w:rsidR="007F7BD4" w:rsidRPr="003C591B">
        <w:t>history</w:t>
      </w:r>
      <w:r w:rsidR="007F7BD4" w:rsidRPr="003C591B">
        <w:rPr>
          <w:rFonts w:hint="eastAsia"/>
        </w:rPr>
        <w:t>.</w:t>
      </w:r>
    </w:p>
    <w:tbl>
      <w:tblPr>
        <w:tblW w:w="127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"/>
        <w:gridCol w:w="1641"/>
        <w:gridCol w:w="1139"/>
        <w:gridCol w:w="1080"/>
        <w:gridCol w:w="996"/>
        <w:gridCol w:w="2409"/>
        <w:gridCol w:w="2694"/>
        <w:gridCol w:w="1861"/>
        <w:gridCol w:w="208"/>
        <w:gridCol w:w="10"/>
      </w:tblGrid>
      <w:tr w:rsidR="007D2BED" w:rsidRPr="003C591B" w14:paraId="72A927F6" w14:textId="77777777" w:rsidTr="007466D4">
        <w:trPr>
          <w:trHeight w:val="27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34D8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Subgroup Category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3350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Subgroup Level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4CD2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No. of Individuals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D614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No. of Events (COVID-19)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832D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No. of Events (Control)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1AE2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Incidence Rate (95% CI) COVID-19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1929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Incidence Rate (95% CI) Control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F130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Incidence Rate Ratio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C096" w14:textId="77777777" w:rsidR="00F86611" w:rsidRPr="003C591B" w:rsidRDefault="00F86611" w:rsidP="00F8661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D2BED" w:rsidRPr="003C591B" w14:paraId="31869176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F0B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83E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6826" w14:textId="02CA3186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5824</w:t>
            </w:r>
            <w:r w:rsidR="00067C65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3FDD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5721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D4C2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4083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D74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209.56 (204.20–215.06)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04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149.09 (144.59–153.74)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E1FD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1.41 (1.35–1.46)</w:t>
            </w:r>
          </w:p>
        </w:tc>
      </w:tr>
      <w:tr w:rsidR="00067C65" w:rsidRPr="003C591B" w14:paraId="5140A0B8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1A96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A13D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bDMARD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C91" w14:textId="18E82D03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5824</w:t>
            </w:r>
            <w:r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46BB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6EE4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FD83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17.47 (15.97–19.11)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7EE0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10.55 (9.40–11.84)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53FB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1.66 (1.43–1.92)</w:t>
            </w:r>
          </w:p>
        </w:tc>
      </w:tr>
      <w:tr w:rsidR="00067C65" w:rsidRPr="003C591B" w14:paraId="6829CECB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29932" w14:textId="67C7532D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F1A6" w14:textId="4B113362" w:rsidR="00067C65" w:rsidRPr="003C591B" w:rsidRDefault="00FB6BB9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C</w:t>
            </w:r>
            <w:r w:rsidR="007466D4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OVID DMARD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4904" w14:textId="6FC9500C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5824</w:t>
            </w:r>
            <w:r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04E2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1131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5C64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11.14 (9.95–12.46)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4F20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9.09 (8.03–10.29)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6EC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1.22 (1.03–1.45)</w:t>
            </w:r>
          </w:p>
        </w:tc>
      </w:tr>
      <w:tr w:rsidR="00067C65" w:rsidRPr="003C591B" w14:paraId="114FEF3A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F3164" w14:textId="64CEC674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9588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csDMARD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51D4" w14:textId="36DED294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5824</w:t>
            </w:r>
            <w:r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2088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FE89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3483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B4CC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182.72 (177.72–187.86)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C6A9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127.29 (123.13–131.59)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FEFC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1.44 (1.37–1.50)</w:t>
            </w:r>
          </w:p>
        </w:tc>
      </w:tr>
      <w:tr w:rsidR="00067C65" w:rsidRPr="003C591B" w14:paraId="7B92C105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94A34" w14:textId="6BA03990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8755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tsDMARD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492" w14:textId="6B97337D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5824</w:t>
            </w:r>
            <w:r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B3D2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76DF" w14:textId="77777777" w:rsidR="00067C65" w:rsidRPr="003C591B" w:rsidRDefault="00067C65" w:rsidP="00067C65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4551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11.39 (10.19–12.73)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1B74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9.42 (8.34–10.64)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019D" w14:textId="77777777" w:rsidR="00067C65" w:rsidRPr="003C591B" w:rsidRDefault="00067C65" w:rsidP="00067C6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1.21 (1.02–1.43)</w:t>
            </w:r>
          </w:p>
        </w:tc>
      </w:tr>
      <w:tr w:rsidR="007D2BED" w:rsidRPr="003C591B" w14:paraId="7ED26E62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C69D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612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97D" w14:textId="3B7AB5E1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261</w:t>
            </w:r>
            <w:r w:rsidR="00D65BE5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2210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C812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3786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1757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F97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218.43 (210.30–226.88)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A971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142.79 (136.27–149.63)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320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1.53 (1.44–1.63)</w:t>
            </w:r>
          </w:p>
        </w:tc>
      </w:tr>
      <w:tr w:rsidR="007D2BED" w:rsidRPr="003C591B" w14:paraId="6CF9800E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1A8E0" w14:textId="7CCD38F4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7C35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C721" w14:textId="32E85E4A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3212</w:t>
            </w:r>
            <w:r w:rsidR="00D101DC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40F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3050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0C14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53C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202.36 (195.30–209.67)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C996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154.23 (148.09–160.63)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5B5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1.31 (1.24–1.39)</w:t>
            </w:r>
          </w:p>
        </w:tc>
      </w:tr>
      <w:tr w:rsidR="007D2BED" w:rsidRPr="003C591B" w14:paraId="2A323DEB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CA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D7B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0-19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70D" w14:textId="2B04322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1213</w:t>
            </w:r>
            <w:r w:rsidR="00492EE6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235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D588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ACF4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74.96 (67.50–83.24)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F1B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51.52 (45.35–58.54)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B0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1.45 (1.23–1.72)</w:t>
            </w:r>
          </w:p>
        </w:tc>
      </w:tr>
      <w:tr w:rsidR="007D2BED" w:rsidRPr="003C591B" w14:paraId="137A12BA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E3C4E" w14:textId="680EDB5B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77A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20-64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B435" w14:textId="127DB1B5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272</w:t>
            </w:r>
            <w:r w:rsidR="00492EE6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3325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5455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3110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1D1E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2341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D26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238.27 (230.05–246.80)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9BD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181.21 (174.01–188.70)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7B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1.31 (1.25–1.39)</w:t>
            </w:r>
          </w:p>
        </w:tc>
      </w:tr>
      <w:tr w:rsidR="007D2BED" w:rsidRPr="003C591B" w14:paraId="14B7FAAB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2E5B" w14:textId="1D020F7F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402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65 or over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3C56" w14:textId="65FDF9D5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1887</w:t>
            </w:r>
            <w:r w:rsidR="00492EE6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81B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5DFA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4EC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236.04 (226.51–245.97)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E5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152.33 (144.83–160.22)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BC0C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1.55 (1.45–1.65)</w:t>
            </w:r>
          </w:p>
        </w:tc>
      </w:tr>
      <w:tr w:rsidR="007D2BED" w:rsidRPr="003C591B" w14:paraId="44A23038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3195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CCI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1B9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0-1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5A8" w14:textId="0015CC0C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3060</w:t>
            </w:r>
            <w:r w:rsidR="002E1AB0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5FC6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FE95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50D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156.94 (150.34–163.84)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9F6C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124.76 (118.86–130.95)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B3F2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1.26 (1.18–1.34)</w:t>
            </w:r>
          </w:p>
        </w:tc>
      </w:tr>
      <w:tr w:rsidR="007D2BED" w:rsidRPr="003C591B" w14:paraId="06D163DC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09E00" w14:textId="73194204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2EA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 or over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A65" w14:textId="5DC48820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2763</w:t>
            </w:r>
            <w:r w:rsidR="00492EE6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AEB8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B45E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2447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46C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259.06 (250.78–267.61)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95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171.45 (164.79–178.38)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7AC4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1.51 (1.44–1.59)</w:t>
            </w:r>
          </w:p>
        </w:tc>
      </w:tr>
      <w:tr w:rsidR="007D2BED" w:rsidRPr="003C591B" w14:paraId="3C38D831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9A4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AMI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2B2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B0C6" w14:textId="3D4E8D76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569</w:t>
            </w:r>
            <w:r w:rsidR="009B4021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2512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41B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121E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3991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FB8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210.11 (204.67–215.69)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B3A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149.64 (145.07–154.35)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C5D1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1.40 (1.35–1.46)</w:t>
            </w:r>
          </w:p>
        </w:tc>
      </w:tr>
      <w:tr w:rsidR="007D2BED" w:rsidRPr="003C591B" w14:paraId="0B224AA0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AA48B" w14:textId="2B068D3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530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B23A" w14:textId="2CD29AFA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1323</w:t>
            </w:r>
            <w:r w:rsidR="001538FF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1DC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6848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4C9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188.87 (159.35–223.86)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7D8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128.77 (104.97–157.97)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4AE6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1.47 (1.12–1.93)</w:t>
            </w:r>
          </w:p>
        </w:tc>
      </w:tr>
      <w:tr w:rsidR="007D2BED" w:rsidRPr="003C591B" w14:paraId="2EF2E62B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935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CHF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9227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AD52" w14:textId="562F751F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4869</w:t>
            </w:r>
            <w:r w:rsidR="001538FF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3C0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91E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3260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0FE6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201.01 (195.22–206.96)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B60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146.00 (141.07–151.10)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4132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1.38 (1.32–1.44)</w:t>
            </w:r>
          </w:p>
        </w:tc>
      </w:tr>
      <w:tr w:rsidR="007D2BED" w:rsidRPr="003C591B" w14:paraId="27A43F67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D2A4" w14:textId="356430E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C14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C478" w14:textId="2C533BD0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955</w:t>
            </w:r>
            <w:r w:rsidR="00C94F94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874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C389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823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6A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248.85 (235.24–263.25)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409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162.75 (152.00–174.26)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464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1.53 (1.40–1.67)</w:t>
            </w:r>
          </w:p>
        </w:tc>
      </w:tr>
      <w:tr w:rsidR="007D2BED" w:rsidRPr="003C591B" w14:paraId="7ACA7415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270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PVD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7AB4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259" w14:textId="53399699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5076</w:t>
            </w:r>
            <w:r w:rsidR="00C94F94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AB2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1AC0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3440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1AA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204.27 (198.56–210.13)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6FE1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146.73 (141.91–151.72)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E43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1.39 (1.33–1.45)</w:t>
            </w:r>
          </w:p>
        </w:tc>
      </w:tr>
      <w:tr w:rsidR="007D2BED" w:rsidRPr="003C591B" w14:paraId="0AB7CA83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437A0" w14:textId="5FB4D10D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17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42AE" w14:textId="024E2198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748</w:t>
            </w:r>
            <w:r w:rsidR="00C94F94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37D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D9ED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38E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241.69 (226.66–257.70)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E884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163.15 (151.01–176.26)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D291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1.48 (1.34–1.64)</w:t>
            </w:r>
          </w:p>
        </w:tc>
      </w:tr>
      <w:tr w:rsidR="007D2BED" w:rsidRPr="003C591B" w14:paraId="06721833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C22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lastRenderedPageBreak/>
              <w:t>CEVD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45B6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0E0A" w14:textId="2E31B103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491</w:t>
            </w:r>
            <w:r w:rsidR="001E130B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74F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1D3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3415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9E6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209.04 (203.17–215.07)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CFC5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150.96 (145.98–156.11)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696C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1.38 (1.32–1.45)</w:t>
            </w:r>
          </w:p>
        </w:tc>
      </w:tr>
      <w:tr w:rsidR="007D2BED" w:rsidRPr="003C591B" w14:paraId="7C95E121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0656" w14:textId="36C4D656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F8B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7EC3" w14:textId="0D42C204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905</w:t>
            </w:r>
            <w:r w:rsidR="001E130B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E976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3FEA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CB0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212.12 (199.23–225.84)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946C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140.21 (129.97–151.25)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A96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1.51 (1.37–1.67)</w:t>
            </w:r>
          </w:p>
        </w:tc>
      </w:tr>
      <w:tr w:rsidR="007D2BED" w:rsidRPr="003C591B" w14:paraId="2A0C9EA1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B3D7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Dementia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F487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CC71" w14:textId="48460900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552</w:t>
            </w:r>
            <w:r w:rsidR="00AF172A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5072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C605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85C8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3966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2CF1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215.41 (209.83–221.14)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C08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153.32 (148.62–158.16)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4CD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1.41 (1.35–1.46)</w:t>
            </w:r>
          </w:p>
        </w:tc>
      </w:tr>
      <w:tr w:rsidR="007D2BED" w:rsidRPr="003C591B" w14:paraId="7306BE60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E62E0" w14:textId="385F6953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03C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431B" w14:textId="40C90C33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2998</w:t>
            </w:r>
            <w:r w:rsidR="00AF172A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6423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9D2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597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99.83 (84.49–117.96)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35B4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77.10 (64.32–92.42)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F7A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1.29 (1.00–1.67)</w:t>
            </w:r>
          </w:p>
        </w:tc>
      </w:tr>
      <w:tr w:rsidR="007D2BED" w:rsidRPr="003C591B" w14:paraId="315120B2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5D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CPD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5B8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0847" w14:textId="603D7A58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243</w:t>
            </w:r>
            <w:r w:rsidR="00AF172A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1095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7046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2490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F72A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AF8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219.72 (211.26–228.53)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448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158.81 (151.67–166.30)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EC5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1.38 (1.30–1.47)</w:t>
            </w:r>
          </w:p>
        </w:tc>
      </w:tr>
      <w:tr w:rsidR="007D2BED" w:rsidRPr="003C591B" w14:paraId="129EAF6D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2B01" w14:textId="3F5864F4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6CC6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D699" w14:textId="6E106FBE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3393</w:t>
            </w:r>
            <w:r w:rsidR="000A63BB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9049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1F27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2272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04D2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202.34 (195.48–209.44)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A41D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142.16 (136.43–148.12)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AC5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1.42 (1.35–1.50)</w:t>
            </w:r>
          </w:p>
        </w:tc>
      </w:tr>
      <w:tr w:rsidR="007D2BED" w:rsidRPr="003C591B" w14:paraId="5805E33C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A63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PUD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651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61B" w14:textId="0F5F369C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423</w:t>
            </w:r>
            <w:r w:rsidR="003D18FB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4B38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5BEB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2514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FF2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181.08 (175.16–187.21)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E25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131.26 (126.23–136.49)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4B7D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1.38 (1.31–1.45)</w:t>
            </w:r>
          </w:p>
        </w:tc>
      </w:tr>
      <w:tr w:rsidR="007D2BED" w:rsidRPr="003C591B" w14:paraId="32DD6366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B5321" w14:textId="3D25A94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D22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7373" w14:textId="76288746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1585</w:t>
            </w:r>
            <w:r w:rsidR="003D18FB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A8B2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BB3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1569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3CF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276.93 (265.71–288.62)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DA9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190.58 (181.38–200.25)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293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1.45 (1.36–1.55)</w:t>
            </w:r>
          </w:p>
        </w:tc>
      </w:tr>
      <w:tr w:rsidR="007D2BED" w:rsidRPr="003C591B" w14:paraId="2F3A6E5D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04E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DM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5C13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2170" w14:textId="53A151AC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5355</w:t>
            </w:r>
            <w:r w:rsidR="00C32810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AC0A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DA1D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3680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8C9D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203.24 (197.71–208.92)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231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148.02 (143.32–152.89)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B8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1.37 (1.32–1.43)</w:t>
            </w:r>
          </w:p>
        </w:tc>
      </w:tr>
      <w:tr w:rsidR="007D2BED" w:rsidRPr="003C591B" w14:paraId="42D70AF1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8A639" w14:textId="68DBCAF4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BAA4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E8A4" w14:textId="3E6A515F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469</w:t>
            </w:r>
            <w:r w:rsidR="00C32810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A4DB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820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932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272.90 (253.08–294.26)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01C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159.61 (144.76–175.98)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F565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1.71 (1.51–1.94)</w:t>
            </w:r>
          </w:p>
        </w:tc>
      </w:tr>
      <w:tr w:rsidR="007D2BED" w:rsidRPr="003C591B" w14:paraId="258F1C17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A4E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LD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0F15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838D" w14:textId="02AC6182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432</w:t>
            </w:r>
            <w:r w:rsidR="00C32810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3320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99DC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3409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2764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101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194.49 (188.44–200.74)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2B0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139.97 (134.85–145.29)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7C24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1.39 (1.32–1.46)</w:t>
            </w:r>
          </w:p>
        </w:tc>
      </w:tr>
      <w:tr w:rsidR="007D2BED" w:rsidRPr="003C591B" w14:paraId="494F1C3C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55BDE" w14:textId="5305DB64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58B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7B76" w14:textId="472CB664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1501</w:t>
            </w:r>
            <w:r w:rsidR="00C32810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37EF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C0A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8A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248.96 (237.96–260.47)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AABD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172.66 (163.59–182.24)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22A5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1.44 (1.34–1.55)</w:t>
            </w:r>
          </w:p>
        </w:tc>
      </w:tr>
      <w:tr w:rsidR="007D2BED" w:rsidRPr="003C591B" w14:paraId="5348CC58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133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HP/PAPL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3AF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C843" w14:textId="3090D62B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5737</w:t>
            </w:r>
            <w:r w:rsidR="008307C9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8FB4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AC4E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4046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03D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210.21 (204.79–215.76)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A207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150.24 (145.68–154.94)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CC9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1.40 (1.34–1.46)</w:t>
            </w:r>
          </w:p>
        </w:tc>
      </w:tr>
      <w:tr w:rsidR="007D2BED" w:rsidRPr="003C591B" w14:paraId="6490555A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1FBD" w14:textId="22BE629F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7259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8E41" w14:textId="2545C191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8707</w:t>
            </w:r>
            <w:r w:rsidR="0022092C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5038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50E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AE1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170.95 (136.73–213.73)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86D7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81.15 (58.79–112.00)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1D2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2.11 (1.41–3.21)</w:t>
            </w:r>
          </w:p>
        </w:tc>
      </w:tr>
      <w:tr w:rsidR="007D2BED" w:rsidRPr="003C591B" w14:paraId="5A0ECC65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4327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RD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E065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697E" w14:textId="40FD0B29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5529</w:t>
            </w:r>
            <w:r w:rsidR="0022092C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E8B4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2ABE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3721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7D7B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195.02 (189.70–200.49)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C4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144.22 (139.66–148.93)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89A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1.35 (1.30–1.41)</w:t>
            </w:r>
          </w:p>
        </w:tc>
      </w:tr>
      <w:tr w:rsidR="007D2BED" w:rsidRPr="003C591B" w14:paraId="04A222CD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1AC8" w14:textId="7CDA38B0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732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A060" w14:textId="04EF0CE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29</w:t>
            </w:r>
            <w:r w:rsidR="0022092C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5033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5C6B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2AAB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CBF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454.68 (422.10–489.77)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25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228.34 (205.99–253.12)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43A0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1.99 (1.75–2.27)</w:t>
            </w:r>
          </w:p>
        </w:tc>
      </w:tr>
      <w:tr w:rsidR="007D2BED" w:rsidRPr="003C591B" w14:paraId="0716E777" w14:textId="77777777" w:rsidTr="007466D4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C57F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Cancer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8DBA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Absent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E453" w14:textId="2C635D24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5084</w:t>
            </w:r>
            <w:r w:rsidR="00E913FB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02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A2DF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3409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98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200.53 (194.86–206.36)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4C0C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146.67 (141.83–151.68)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59C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1.37 (1.31–1.43)</w:t>
            </w:r>
          </w:p>
        </w:tc>
      </w:tr>
      <w:tr w:rsidR="007D2BED" w:rsidRPr="003C591B" w14:paraId="41CC5FB0" w14:textId="77777777" w:rsidTr="0080049D">
        <w:trPr>
          <w:gridAfter w:val="1"/>
          <w:wAfter w:w="10" w:type="dxa"/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A797B" w14:textId="5ABDAA5A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0E78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Present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E091" w14:textId="2804B0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739</w:t>
            </w:r>
            <w:r w:rsidR="00E913FB" w:rsidRPr="003C591B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5C0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5FE1" w14:textId="77777777" w:rsidR="00F86611" w:rsidRPr="003C591B" w:rsidRDefault="00F86611" w:rsidP="00F86611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1F5E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261.91 (246.55–278.22)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30D1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162.67 (150.84–175.42)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8956" w14:textId="77777777" w:rsidR="00F86611" w:rsidRPr="003C591B" w:rsidRDefault="00F86611" w:rsidP="00F8661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3C591B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1.61 (1.46–1.78)</w:t>
            </w:r>
          </w:p>
        </w:tc>
      </w:tr>
    </w:tbl>
    <w:p w14:paraId="16EABC6B" w14:textId="7B8108B2" w:rsidR="00EF4965" w:rsidRPr="00885AA9" w:rsidRDefault="00EF4965" w:rsidP="00EF4965">
      <w:pPr>
        <w:spacing w:line="240" w:lineRule="exact"/>
        <w:rPr>
          <w:rFonts w:ascii="Arial" w:hAnsi="Arial" w:cs="Arial"/>
        </w:rPr>
      </w:pPr>
      <w:r w:rsidRPr="003C591B">
        <w:rPr>
          <w:rFonts w:ascii="Arial" w:hAnsi="Arial" w:cs="Arial" w:hint="eastAsia"/>
        </w:rPr>
        <w:t xml:space="preserve">No, number: CI, confidence interval: </w:t>
      </w:r>
      <w:proofErr w:type="spellStart"/>
      <w:r w:rsidRPr="003C591B">
        <w:rPr>
          <w:rFonts w:ascii="Arial" w:hAnsi="Arial" w:cs="Arial"/>
        </w:rPr>
        <w:t>bDMARD</w:t>
      </w:r>
      <w:proofErr w:type="spellEnd"/>
      <w:r w:rsidRPr="003C591B">
        <w:rPr>
          <w:rFonts w:ascii="Arial" w:hAnsi="Arial" w:cs="Arial"/>
        </w:rPr>
        <w:t xml:space="preserve">, Biologic Disease-Modifying Antirheumatic Drugs; </w:t>
      </w:r>
      <w:proofErr w:type="spellStart"/>
      <w:r w:rsidRPr="003C591B">
        <w:rPr>
          <w:rFonts w:ascii="Arial" w:hAnsi="Arial" w:cs="Arial"/>
        </w:rPr>
        <w:t>csDMARD</w:t>
      </w:r>
      <w:proofErr w:type="spellEnd"/>
      <w:r w:rsidRPr="003C591B">
        <w:rPr>
          <w:rFonts w:ascii="Arial" w:hAnsi="Arial" w:cs="Arial"/>
        </w:rPr>
        <w:t xml:space="preserve">, Conventional Synthetic Disease-Modifying Antirheumatic Drugs; </w:t>
      </w:r>
      <w:proofErr w:type="spellStart"/>
      <w:r w:rsidRPr="003C591B">
        <w:rPr>
          <w:rFonts w:ascii="Arial" w:hAnsi="Arial" w:cs="Arial"/>
        </w:rPr>
        <w:t>tsDMARD</w:t>
      </w:r>
      <w:proofErr w:type="spellEnd"/>
      <w:r w:rsidRPr="003C591B">
        <w:rPr>
          <w:rFonts w:ascii="Arial" w:hAnsi="Arial" w:cs="Arial"/>
        </w:rPr>
        <w:t>, Targeted Synthetic Disease-Modifying Anti rheumatic Drugs; COVID DMARDs, Disease-Modifying Antirheumatic Drugs repurposed or developed for the treatment of severe inflammatory responses in COVID-19.</w:t>
      </w:r>
      <w:r w:rsidR="00885AA9" w:rsidRPr="003C591B">
        <w:t xml:space="preserve"> </w:t>
      </w:r>
      <w:r w:rsidR="00885AA9" w:rsidRPr="003C591B">
        <w:rPr>
          <w:rFonts w:ascii="Arial" w:hAnsi="Arial" w:cs="Arial"/>
        </w:rPr>
        <w:t>CCI, Charlson Comorbidity Index; IRR, Incidence Rate Ratio; CI, Confidence Interval; PI, P-value for Interaction; AMI, Acute Myocardial Infarction; CHF, Congestive Heart Failure; PVD, Peripheral Vascular Disease; CEVD, Cerebrovascular Disease; CPD, Chronic Pulmonary Disease; PUD, Peptic Ulcer Disease; DM, Diabetes Mellitus; LD, Liver Disease; HP/PAPL, Hemiplegia or Paraplegia; RD, Renal Disease.</w:t>
      </w:r>
    </w:p>
    <w:p w14:paraId="3C55FCB8" w14:textId="77777777" w:rsidR="00E27453" w:rsidRPr="00EF4965" w:rsidRDefault="00E27453"/>
    <w:sectPr w:rsidR="00E27453" w:rsidRPr="00EF4965" w:rsidSect="00F86611">
      <w:pgSz w:w="16840" w:h="11907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F286" w14:textId="77777777" w:rsidR="00726D57" w:rsidRDefault="00726D57" w:rsidP="00FA6408">
      <w:r>
        <w:separator/>
      </w:r>
    </w:p>
  </w:endnote>
  <w:endnote w:type="continuationSeparator" w:id="0">
    <w:p w14:paraId="4B96B9BA" w14:textId="77777777" w:rsidR="00726D57" w:rsidRDefault="00726D57" w:rsidP="00FA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7E10" w14:textId="77777777" w:rsidR="00726D57" w:rsidRDefault="00726D57" w:rsidP="00FA6408">
      <w:r>
        <w:separator/>
      </w:r>
    </w:p>
  </w:footnote>
  <w:footnote w:type="continuationSeparator" w:id="0">
    <w:p w14:paraId="171A8535" w14:textId="77777777" w:rsidR="00726D57" w:rsidRDefault="00726D57" w:rsidP="00FA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K0sDAwNrIwMjExMjBX0lEKTi0uzszPAykwrAUA2xN78ywAAAA="/>
  </w:docVars>
  <w:rsids>
    <w:rsidRoot w:val="001C73BE"/>
    <w:rsid w:val="00067C65"/>
    <w:rsid w:val="000A63BB"/>
    <w:rsid w:val="000F6022"/>
    <w:rsid w:val="00131E1B"/>
    <w:rsid w:val="001538FF"/>
    <w:rsid w:val="001C73BE"/>
    <w:rsid w:val="001E130B"/>
    <w:rsid w:val="0022092C"/>
    <w:rsid w:val="002B36DA"/>
    <w:rsid w:val="002C0944"/>
    <w:rsid w:val="002D29A1"/>
    <w:rsid w:val="002E1AB0"/>
    <w:rsid w:val="0032566F"/>
    <w:rsid w:val="003C591B"/>
    <w:rsid w:val="003D18FB"/>
    <w:rsid w:val="00492EE6"/>
    <w:rsid w:val="00726D57"/>
    <w:rsid w:val="007466D4"/>
    <w:rsid w:val="007D2BED"/>
    <w:rsid w:val="007F7BD4"/>
    <w:rsid w:val="0080049D"/>
    <w:rsid w:val="008307C9"/>
    <w:rsid w:val="00885AA9"/>
    <w:rsid w:val="009B4021"/>
    <w:rsid w:val="00AC4B47"/>
    <w:rsid w:val="00AF172A"/>
    <w:rsid w:val="00B70B81"/>
    <w:rsid w:val="00BC5BA2"/>
    <w:rsid w:val="00C32810"/>
    <w:rsid w:val="00C94F94"/>
    <w:rsid w:val="00D101DC"/>
    <w:rsid w:val="00D65BE5"/>
    <w:rsid w:val="00D772F1"/>
    <w:rsid w:val="00DA22CC"/>
    <w:rsid w:val="00E27453"/>
    <w:rsid w:val="00E913FB"/>
    <w:rsid w:val="00EF4965"/>
    <w:rsid w:val="00F27DBE"/>
    <w:rsid w:val="00F86611"/>
    <w:rsid w:val="00FA6408"/>
    <w:rsid w:val="00FB6BB9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0BA59"/>
  <w15:chartTrackingRefBased/>
  <w15:docId w15:val="{74979597-AF3B-4396-957C-16575720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3BE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C73BE"/>
    <w:rPr>
      <w:b/>
      <w:bCs/>
    </w:rPr>
  </w:style>
  <w:style w:type="paragraph" w:styleId="Web">
    <w:name w:val="Normal (Web)"/>
    <w:basedOn w:val="a"/>
    <w:uiPriority w:val="99"/>
    <w:unhideWhenUsed/>
    <w:rsid w:val="001C73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6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6408"/>
  </w:style>
  <w:style w:type="paragraph" w:styleId="a7">
    <w:name w:val="footer"/>
    <w:basedOn w:val="a"/>
    <w:link w:val="a8"/>
    <w:uiPriority w:val="99"/>
    <w:unhideWhenUsed/>
    <w:rsid w:val="00FA64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A8D6-235C-4AAE-92D3-61BA75C8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1418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宮森　大輔</dc:creator>
  <cp:keywords/>
  <dc:description/>
  <cp:lastModifiedBy>宮森　大輔</cp:lastModifiedBy>
  <cp:revision>37</cp:revision>
  <dcterms:created xsi:type="dcterms:W3CDTF">2025-02-13T03:24:00Z</dcterms:created>
  <dcterms:modified xsi:type="dcterms:W3CDTF">2025-05-29T10:32:00Z</dcterms:modified>
</cp:coreProperties>
</file>