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9FE568" w14:textId="5CC5D64E" w:rsidR="00304154" w:rsidRDefault="00F414FA">
      <w:r>
        <w:rPr>
          <w:noProof/>
        </w:rPr>
        <w:drawing>
          <wp:inline distT="0" distB="0" distL="0" distR="0" wp14:anchorId="2CBB4BFF" wp14:editId="256F3E55">
            <wp:extent cx="5274310" cy="5774690"/>
            <wp:effectExtent l="0" t="0" r="2540" b="0"/>
            <wp:docPr id="16860917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091721" name="图片 1686091721"/>
                    <pic:cNvPicPr/>
                  </pic:nvPicPr>
                  <pic:blipFill>
                    <a:blip r:embed="rId6"/>
                    <a:stretch>
                      <a:fillRect/>
                    </a:stretch>
                  </pic:blipFill>
                  <pic:spPr>
                    <a:xfrm>
                      <a:off x="0" y="0"/>
                      <a:ext cx="5274310" cy="5774690"/>
                    </a:xfrm>
                    <a:prstGeom prst="rect">
                      <a:avLst/>
                    </a:prstGeom>
                  </pic:spPr>
                </pic:pic>
              </a:graphicData>
            </a:graphic>
          </wp:inline>
        </w:drawing>
      </w:r>
    </w:p>
    <w:p w14:paraId="1E67F00D" w14:textId="77777777" w:rsidR="006F5FDF" w:rsidRDefault="001939B4" w:rsidP="00B85215">
      <w:pPr>
        <w:rPr>
          <w:rFonts w:ascii="Times New Roman" w:hAnsi="Times New Roman" w:cs="Times New Roman"/>
          <w:b/>
          <w:bCs/>
          <w:sz w:val="24"/>
          <w:szCs w:val="24"/>
        </w:rPr>
      </w:pPr>
      <w:r w:rsidRPr="00EE2A2B">
        <w:rPr>
          <w:rFonts w:ascii="Times New Roman" w:hAnsi="Times New Roman" w:cs="Times New Roman"/>
          <w:b/>
          <w:bCs/>
          <w:sz w:val="24"/>
          <w:szCs w:val="24"/>
        </w:rPr>
        <w:t xml:space="preserve">Supplemental </w:t>
      </w:r>
      <w:r w:rsidR="007E2512" w:rsidRPr="00EE2A2B">
        <w:rPr>
          <w:rFonts w:ascii="Times New Roman" w:hAnsi="Times New Roman" w:cs="Times New Roman"/>
          <w:b/>
          <w:bCs/>
          <w:sz w:val="24"/>
          <w:szCs w:val="24"/>
        </w:rPr>
        <w:t xml:space="preserve">Figure 1. </w:t>
      </w:r>
      <w:r w:rsidR="006F5FDF" w:rsidRPr="006F5FDF">
        <w:rPr>
          <w:rFonts w:ascii="Times New Roman" w:hAnsi="Times New Roman" w:cs="Times New Roman"/>
          <w:b/>
          <w:bCs/>
          <w:sz w:val="24"/>
          <w:szCs w:val="24"/>
        </w:rPr>
        <w:t xml:space="preserve">The ALDH2 rs671 variant enhances hepatocarcinogenesis in a DEN-induced HCC model </w:t>
      </w:r>
    </w:p>
    <w:p w14:paraId="6BBF8A38" w14:textId="6852EE38" w:rsidR="00733305" w:rsidRPr="006F3E78" w:rsidRDefault="00736FAD" w:rsidP="00B85215">
      <w:pPr>
        <w:rPr>
          <w:rFonts w:ascii="Times New Roman" w:hAnsi="Times New Roman" w:cs="Times New Roman"/>
          <w:szCs w:val="21"/>
        </w:rPr>
      </w:pPr>
      <w:r w:rsidRPr="006F3E78">
        <w:rPr>
          <w:rFonts w:ascii="Times New Roman" w:hAnsi="Times New Roman" w:cs="Times New Roman"/>
          <w:b/>
          <w:bCs/>
          <w:szCs w:val="21"/>
        </w:rPr>
        <w:t xml:space="preserve">(A) </w:t>
      </w:r>
      <w:r w:rsidRPr="006F3E78">
        <w:rPr>
          <w:rFonts w:ascii="Times New Roman" w:hAnsi="Times New Roman" w:cs="Times New Roman"/>
          <w:szCs w:val="21"/>
        </w:rPr>
        <w:t xml:space="preserve">Schematic diagram of the DEN-induced HCC model. Wild-type (WT) and </w:t>
      </w:r>
      <w:r w:rsidR="00A50350" w:rsidRPr="006F3E78">
        <w:rPr>
          <w:rFonts w:ascii="Times New Roman" w:hAnsi="Times New Roman" w:cs="Times New Roman"/>
          <w:szCs w:val="21"/>
        </w:rPr>
        <w:t>ALDH2 rs671 knock-in (rs671) mice</w:t>
      </w:r>
      <w:r w:rsidRPr="006F3E78">
        <w:rPr>
          <w:rFonts w:ascii="Times New Roman" w:hAnsi="Times New Roman" w:cs="Times New Roman"/>
          <w:szCs w:val="21"/>
        </w:rPr>
        <w:t xml:space="preserve"> were injected with 50ug/g DEN at 2 weeks of age and sacrificed at 37th week (left). </w:t>
      </w:r>
      <w:r w:rsidR="00721D9C" w:rsidRPr="00721D9C">
        <w:rPr>
          <w:rFonts w:ascii="Times New Roman" w:hAnsi="Times New Roman" w:cs="Times New Roman"/>
          <w:szCs w:val="21"/>
        </w:rPr>
        <w:t xml:space="preserve">Representative images of liver morphology from WT (5 of 8 mice shown) and rs671 (5 of 5 mice shown) groups are presented. </w:t>
      </w:r>
      <w:r w:rsidR="00DE255C" w:rsidRPr="00DE255C">
        <w:rPr>
          <w:rFonts w:ascii="Times New Roman" w:hAnsi="Times New Roman" w:cs="Times New Roman"/>
          <w:szCs w:val="21"/>
        </w:rPr>
        <w:t xml:space="preserve">ALDH2 protein expression in liver tissues was assessed by immunoblotting. GAPDH served as a loading control. </w:t>
      </w:r>
      <w:r w:rsidRPr="006F3E78">
        <w:rPr>
          <w:rFonts w:ascii="Times New Roman" w:hAnsi="Times New Roman" w:cs="Times New Roman"/>
          <w:b/>
          <w:bCs/>
          <w:szCs w:val="21"/>
        </w:rPr>
        <w:t>(</w:t>
      </w:r>
      <w:r w:rsidR="00A50350" w:rsidRPr="006F3E78">
        <w:rPr>
          <w:rFonts w:ascii="Times New Roman" w:hAnsi="Times New Roman" w:cs="Times New Roman"/>
          <w:b/>
          <w:bCs/>
          <w:szCs w:val="21"/>
        </w:rPr>
        <w:t>B</w:t>
      </w:r>
      <w:r w:rsidRPr="006F3E78">
        <w:rPr>
          <w:rFonts w:ascii="Times New Roman" w:hAnsi="Times New Roman" w:cs="Times New Roman"/>
          <w:b/>
          <w:bCs/>
          <w:szCs w:val="21"/>
        </w:rPr>
        <w:t>-</w:t>
      </w:r>
      <w:r w:rsidR="00A50350" w:rsidRPr="006F3E78">
        <w:rPr>
          <w:rFonts w:ascii="Times New Roman" w:hAnsi="Times New Roman" w:cs="Times New Roman"/>
          <w:b/>
          <w:bCs/>
          <w:szCs w:val="21"/>
        </w:rPr>
        <w:t>E</w:t>
      </w:r>
      <w:r w:rsidRPr="006F3E78">
        <w:rPr>
          <w:rFonts w:ascii="Times New Roman" w:hAnsi="Times New Roman" w:cs="Times New Roman"/>
          <w:b/>
          <w:bCs/>
          <w:szCs w:val="21"/>
        </w:rPr>
        <w:t>)</w:t>
      </w:r>
      <w:r w:rsidRPr="006F3E78">
        <w:rPr>
          <w:rFonts w:ascii="Times New Roman" w:hAnsi="Times New Roman" w:cs="Times New Roman"/>
          <w:szCs w:val="21"/>
        </w:rPr>
        <w:t xml:space="preserve"> </w:t>
      </w:r>
      <w:r w:rsidR="00791AD9" w:rsidRPr="006F3E78">
        <w:rPr>
          <w:rFonts w:ascii="Times New Roman" w:hAnsi="Times New Roman" w:cs="Times New Roman"/>
          <w:szCs w:val="21"/>
        </w:rPr>
        <w:t>Quantification of liver-to-body weight ratio (</w:t>
      </w:r>
      <w:r w:rsidR="006F3E78">
        <w:rPr>
          <w:rFonts w:ascii="Times New Roman" w:hAnsi="Times New Roman" w:cs="Times New Roman"/>
          <w:szCs w:val="21"/>
        </w:rPr>
        <w:t>B</w:t>
      </w:r>
      <w:r w:rsidR="00791AD9" w:rsidRPr="006F3E78">
        <w:rPr>
          <w:rFonts w:ascii="Times New Roman" w:hAnsi="Times New Roman" w:cs="Times New Roman"/>
          <w:szCs w:val="21"/>
        </w:rPr>
        <w:t>), total number of visible surface tumors (</w:t>
      </w:r>
      <w:r w:rsidR="006F3E78">
        <w:rPr>
          <w:rFonts w:ascii="Times New Roman" w:hAnsi="Times New Roman" w:cs="Times New Roman"/>
          <w:szCs w:val="21"/>
        </w:rPr>
        <w:t>C</w:t>
      </w:r>
      <w:r w:rsidR="00791AD9" w:rsidRPr="006F3E78">
        <w:rPr>
          <w:rFonts w:ascii="Times New Roman" w:hAnsi="Times New Roman" w:cs="Times New Roman"/>
          <w:szCs w:val="21"/>
        </w:rPr>
        <w:t>), maximum tumor volume(</w:t>
      </w:r>
      <w:r w:rsidR="006F3E78">
        <w:rPr>
          <w:rFonts w:ascii="Times New Roman" w:hAnsi="Times New Roman" w:cs="Times New Roman"/>
          <w:szCs w:val="21"/>
        </w:rPr>
        <w:t>D</w:t>
      </w:r>
      <w:r w:rsidR="00791AD9" w:rsidRPr="006F3E78">
        <w:rPr>
          <w:rFonts w:ascii="Times New Roman" w:hAnsi="Times New Roman" w:cs="Times New Roman"/>
          <w:szCs w:val="21"/>
        </w:rPr>
        <w:t>) and tumor number distribution (</w:t>
      </w:r>
      <w:r w:rsidR="006F3E78">
        <w:rPr>
          <w:rFonts w:ascii="Times New Roman" w:hAnsi="Times New Roman" w:cs="Times New Roman"/>
          <w:szCs w:val="21"/>
        </w:rPr>
        <w:t>E</w:t>
      </w:r>
      <w:r w:rsidR="00791AD9" w:rsidRPr="006F3E78">
        <w:rPr>
          <w:rFonts w:ascii="Times New Roman" w:hAnsi="Times New Roman" w:cs="Times New Roman"/>
          <w:szCs w:val="21"/>
        </w:rPr>
        <w:t>)</w:t>
      </w:r>
      <w:r w:rsidR="00CB6764">
        <w:rPr>
          <w:rFonts w:ascii="Times New Roman" w:hAnsi="Times New Roman" w:cs="Times New Roman"/>
          <w:szCs w:val="21"/>
        </w:rPr>
        <w:t xml:space="preserve"> </w:t>
      </w:r>
      <w:r w:rsidR="00CB6764" w:rsidRPr="00CB6764">
        <w:rPr>
          <w:rFonts w:ascii="Times New Roman" w:hAnsi="Times New Roman" w:cs="Times New Roman"/>
          <w:szCs w:val="21"/>
        </w:rPr>
        <w:t xml:space="preserve">in WT (n = </w:t>
      </w:r>
      <w:r w:rsidR="0021774E">
        <w:rPr>
          <w:rFonts w:ascii="Times New Roman" w:hAnsi="Times New Roman" w:cs="Times New Roman"/>
          <w:szCs w:val="21"/>
        </w:rPr>
        <w:t>8</w:t>
      </w:r>
      <w:r w:rsidR="00CB6764" w:rsidRPr="00CB6764">
        <w:rPr>
          <w:rFonts w:ascii="Times New Roman" w:hAnsi="Times New Roman" w:cs="Times New Roman"/>
          <w:szCs w:val="21"/>
        </w:rPr>
        <w:t xml:space="preserve">) and AKO (n = </w:t>
      </w:r>
      <w:r w:rsidR="0021774E">
        <w:rPr>
          <w:rFonts w:ascii="Times New Roman" w:hAnsi="Times New Roman" w:cs="Times New Roman"/>
          <w:szCs w:val="21"/>
        </w:rPr>
        <w:t>5</w:t>
      </w:r>
      <w:r w:rsidR="00CB6764" w:rsidRPr="00CB6764">
        <w:rPr>
          <w:rFonts w:ascii="Times New Roman" w:hAnsi="Times New Roman" w:cs="Times New Roman"/>
          <w:szCs w:val="21"/>
        </w:rPr>
        <w:t>) mice.</w:t>
      </w:r>
      <w:r w:rsidR="003B4657" w:rsidRPr="003B4657">
        <w:rPr>
          <w:b/>
          <w:bCs/>
        </w:rPr>
        <w:t xml:space="preserve"> </w:t>
      </w:r>
      <w:r w:rsidR="003B4657" w:rsidRPr="003B4657">
        <w:rPr>
          <w:rFonts w:ascii="Times New Roman" w:hAnsi="Times New Roman" w:cs="Times New Roman"/>
          <w:b/>
          <w:bCs/>
          <w:szCs w:val="21"/>
        </w:rPr>
        <w:t>(F)</w:t>
      </w:r>
      <w:r w:rsidR="003B4657" w:rsidRPr="003B4657">
        <w:rPr>
          <w:rFonts w:ascii="Times New Roman" w:hAnsi="Times New Roman" w:cs="Times New Roman"/>
          <w:szCs w:val="21"/>
        </w:rPr>
        <w:t xml:space="preserve"> </w:t>
      </w:r>
      <w:r w:rsidR="003B4657">
        <w:rPr>
          <w:rFonts w:ascii="Times New Roman" w:hAnsi="Times New Roman" w:cs="Times New Roman" w:hint="eastAsia"/>
          <w:szCs w:val="21"/>
        </w:rPr>
        <w:t>I</w:t>
      </w:r>
      <w:r w:rsidR="003B4657" w:rsidRPr="003B4657">
        <w:rPr>
          <w:rFonts w:ascii="Times New Roman" w:hAnsi="Times New Roman" w:cs="Times New Roman"/>
          <w:szCs w:val="21"/>
        </w:rPr>
        <w:t>mages of livers from WT and ALDH2 knockout (AKO) mice at 37 weeks post-DEN injection. Each image represents an individual mouse liver.</w:t>
      </w:r>
      <w:r w:rsidR="00C61345">
        <w:rPr>
          <w:rFonts w:ascii="Times New Roman" w:hAnsi="Times New Roman" w:cs="Times New Roman" w:hint="eastAsia"/>
          <w:szCs w:val="21"/>
        </w:rPr>
        <w:t xml:space="preserve"> </w:t>
      </w:r>
      <w:r w:rsidR="00C61345" w:rsidRPr="00C61345">
        <w:rPr>
          <w:rFonts w:ascii="Times New Roman" w:hAnsi="Times New Roman" w:cs="Times New Roman"/>
          <w:szCs w:val="21"/>
        </w:rPr>
        <w:t>Statistical comparisons were performed using two-tailed Student’s t test. All data are presented as mean ± SD.*p &lt; 0.05.</w:t>
      </w:r>
    </w:p>
    <w:p w14:paraId="11E1E317" w14:textId="12C542B7" w:rsidR="00D10896" w:rsidRDefault="00D10896">
      <w:pPr>
        <w:widowControl/>
        <w:jc w:val="left"/>
        <w:rPr>
          <w:rFonts w:ascii="Times New Roman" w:eastAsia="宋体" w:hAnsi="Times New Roman" w:cs="Times New Roman"/>
          <w:sz w:val="24"/>
          <w:szCs w:val="24"/>
        </w:rPr>
      </w:pPr>
      <w:r>
        <w:rPr>
          <w:rFonts w:ascii="Times New Roman" w:eastAsia="宋体" w:hAnsi="Times New Roman" w:cs="Times New Roman"/>
          <w:sz w:val="24"/>
          <w:szCs w:val="24"/>
        </w:rPr>
        <w:br w:type="page"/>
      </w:r>
    </w:p>
    <w:p w14:paraId="196A8F84" w14:textId="42295AA7" w:rsidR="003146C9" w:rsidRDefault="00494AFD" w:rsidP="00C91AD6">
      <w:pPr>
        <w:rPr>
          <w:rFonts w:ascii="Times New Roman" w:eastAsia="宋体" w:hAnsi="Times New Roman" w:cs="Times New Roman"/>
          <w:sz w:val="24"/>
          <w:szCs w:val="24"/>
        </w:rPr>
      </w:pPr>
      <w:r>
        <w:rPr>
          <w:rFonts w:ascii="Times New Roman" w:eastAsia="宋体" w:hAnsi="Times New Roman" w:cs="Times New Roman"/>
          <w:noProof/>
          <w:sz w:val="24"/>
          <w:szCs w:val="24"/>
        </w:rPr>
        <w:lastRenderedPageBreak/>
        <w:drawing>
          <wp:inline distT="0" distB="0" distL="0" distR="0" wp14:anchorId="4787823F" wp14:editId="34DEA9D6">
            <wp:extent cx="5274310" cy="4972685"/>
            <wp:effectExtent l="0" t="0" r="2540" b="0"/>
            <wp:docPr id="1994605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60516" name="图片 199460516"/>
                    <pic:cNvPicPr/>
                  </pic:nvPicPr>
                  <pic:blipFill>
                    <a:blip r:embed="rId7"/>
                    <a:stretch>
                      <a:fillRect/>
                    </a:stretch>
                  </pic:blipFill>
                  <pic:spPr>
                    <a:xfrm>
                      <a:off x="0" y="0"/>
                      <a:ext cx="5274310" cy="4972685"/>
                    </a:xfrm>
                    <a:prstGeom prst="rect">
                      <a:avLst/>
                    </a:prstGeom>
                  </pic:spPr>
                </pic:pic>
              </a:graphicData>
            </a:graphic>
          </wp:inline>
        </w:drawing>
      </w:r>
    </w:p>
    <w:p w14:paraId="750C2759" w14:textId="2237DD39" w:rsidR="000E4278" w:rsidRPr="00D0507D" w:rsidRDefault="000E4278" w:rsidP="004B012D">
      <w:pPr>
        <w:rPr>
          <w:rFonts w:ascii="Times New Roman" w:hAnsi="Times New Roman" w:cs="Times New Roman"/>
          <w:b/>
          <w:bCs/>
          <w:sz w:val="24"/>
          <w:szCs w:val="24"/>
        </w:rPr>
      </w:pPr>
      <w:r w:rsidRPr="00EE2A2B">
        <w:rPr>
          <w:rFonts w:ascii="Times New Roman" w:hAnsi="Times New Roman" w:cs="Times New Roman"/>
          <w:b/>
          <w:bCs/>
          <w:sz w:val="24"/>
          <w:szCs w:val="24"/>
        </w:rPr>
        <w:t xml:space="preserve">Supplemental Figure </w:t>
      </w:r>
      <w:r>
        <w:rPr>
          <w:rFonts w:ascii="Times New Roman" w:hAnsi="Times New Roman" w:cs="Times New Roman"/>
          <w:b/>
          <w:bCs/>
          <w:sz w:val="24"/>
          <w:szCs w:val="24"/>
        </w:rPr>
        <w:t>2.</w:t>
      </w:r>
      <w:r w:rsidR="007B016B" w:rsidRPr="007B016B">
        <w:t xml:space="preserve"> </w:t>
      </w:r>
      <w:r w:rsidR="003E6128" w:rsidRPr="003E6128">
        <w:rPr>
          <w:rFonts w:ascii="Times New Roman" w:hAnsi="Times New Roman" w:cs="Times New Roman"/>
          <w:b/>
          <w:bCs/>
          <w:sz w:val="24"/>
          <w:szCs w:val="24"/>
        </w:rPr>
        <w:t>ALDH2 deficiency promotes glucose metabolism</w:t>
      </w:r>
      <w:r w:rsidR="00611814">
        <w:rPr>
          <w:rFonts w:ascii="Times New Roman" w:hAnsi="Times New Roman" w:cs="Times New Roman" w:hint="eastAsia"/>
          <w:b/>
          <w:bCs/>
          <w:sz w:val="24"/>
          <w:szCs w:val="24"/>
        </w:rPr>
        <w:t xml:space="preserve"> in vivo and in vitro</w:t>
      </w:r>
      <w:r w:rsidR="00270010" w:rsidRPr="00270010">
        <w:rPr>
          <w:b/>
          <w:bCs/>
        </w:rPr>
        <w:t xml:space="preserve"> </w:t>
      </w:r>
    </w:p>
    <w:p w14:paraId="5B704C1A" w14:textId="67C514B1" w:rsidR="000370A5" w:rsidRPr="000370A5" w:rsidRDefault="000370A5" w:rsidP="000370A5">
      <w:pPr>
        <w:rPr>
          <w:rFonts w:ascii="Times New Roman" w:hAnsi="Times New Roman" w:cs="Times New Roman"/>
          <w:szCs w:val="21"/>
        </w:rPr>
      </w:pPr>
      <w:r w:rsidRPr="000370A5">
        <w:rPr>
          <w:rFonts w:ascii="Times New Roman" w:hAnsi="Times New Roman" w:cs="Times New Roman"/>
          <w:b/>
          <w:bCs/>
          <w:szCs w:val="21"/>
        </w:rPr>
        <w:t xml:space="preserve">(A–B) </w:t>
      </w:r>
      <w:r w:rsidRPr="000370A5">
        <w:rPr>
          <w:rFonts w:ascii="Times New Roman" w:hAnsi="Times New Roman" w:cs="Times New Roman"/>
          <w:szCs w:val="21"/>
        </w:rPr>
        <w:t>Fractional enrichment of ¹³C-labeled TCA cycle intermediates and associated amino acids—including citrate, proline, fumarate, malate, aspartate, and glutamate—in liver tissues from WT and ALDH2 knockout (AKO) mice (A), and WT and ALDH2 rs671 knock-in mice (B) following [U-¹³C₆]-glucose tail vein injection.</w:t>
      </w:r>
      <w:r>
        <w:rPr>
          <w:rFonts w:ascii="Times New Roman" w:hAnsi="Times New Roman" w:cs="Times New Roman" w:hint="eastAsia"/>
          <w:szCs w:val="21"/>
        </w:rPr>
        <w:t xml:space="preserve"> </w:t>
      </w:r>
      <w:r w:rsidRPr="000370A5">
        <w:rPr>
          <w:rFonts w:ascii="Times New Roman" w:hAnsi="Times New Roman" w:cs="Times New Roman"/>
          <w:b/>
          <w:bCs/>
          <w:szCs w:val="21"/>
        </w:rPr>
        <w:t>(C) S</w:t>
      </w:r>
      <w:r w:rsidRPr="000370A5">
        <w:rPr>
          <w:rFonts w:ascii="Times New Roman" w:hAnsi="Times New Roman" w:cs="Times New Roman"/>
          <w:szCs w:val="21"/>
        </w:rPr>
        <w:t>chematic of in vitro [U-¹³C₆]-glucose tracing in HCC cells transduced with control (sh-NC) or ALDH2 knockdown (sh-ALDH2) constructs. Culture media and cells were collected after labeling for mass spectrometry–based isotopic analysis.</w:t>
      </w:r>
      <w:r>
        <w:rPr>
          <w:rFonts w:ascii="Times New Roman" w:hAnsi="Times New Roman" w:cs="Times New Roman" w:hint="eastAsia"/>
          <w:b/>
          <w:bCs/>
          <w:szCs w:val="21"/>
        </w:rPr>
        <w:t xml:space="preserve"> </w:t>
      </w:r>
      <w:r w:rsidRPr="000370A5">
        <w:rPr>
          <w:rFonts w:ascii="Times New Roman" w:hAnsi="Times New Roman" w:cs="Times New Roman"/>
          <w:b/>
          <w:bCs/>
          <w:szCs w:val="21"/>
        </w:rPr>
        <w:t xml:space="preserve">(D) </w:t>
      </w:r>
      <w:r w:rsidRPr="000370A5">
        <w:rPr>
          <w:rFonts w:ascii="Times New Roman" w:hAnsi="Times New Roman" w:cs="Times New Roman"/>
          <w:szCs w:val="21"/>
        </w:rPr>
        <w:t>Fractional enrichment of ¹³C-labeled pyruvate and lactate in the culture medium of sh-NC and sh-ALDH2 HCC cells.</w:t>
      </w:r>
      <w:r>
        <w:rPr>
          <w:rFonts w:ascii="Times New Roman" w:hAnsi="Times New Roman" w:cs="Times New Roman" w:hint="eastAsia"/>
          <w:b/>
          <w:bCs/>
          <w:szCs w:val="21"/>
        </w:rPr>
        <w:t xml:space="preserve"> </w:t>
      </w:r>
      <w:r w:rsidRPr="000370A5">
        <w:rPr>
          <w:rFonts w:ascii="Times New Roman" w:hAnsi="Times New Roman" w:cs="Times New Roman"/>
          <w:b/>
          <w:bCs/>
          <w:szCs w:val="21"/>
        </w:rPr>
        <w:t>(E) I</w:t>
      </w:r>
      <w:r w:rsidRPr="000370A5">
        <w:rPr>
          <w:rFonts w:ascii="Times New Roman" w:hAnsi="Times New Roman" w:cs="Times New Roman"/>
          <w:szCs w:val="21"/>
        </w:rPr>
        <w:t>ntracellular ¹³C-labeling of glycolytic and TCA cycle–related metabolites—including pyruvate, lactate, alanine, citrate, proline, fumarate, malate, aspartate, and glutamate—in sh-NC and sh-ALDH2 cells cultured with [U-¹³C₆]-glucose.</w:t>
      </w:r>
      <w:r>
        <w:rPr>
          <w:rFonts w:ascii="Times New Roman" w:hAnsi="Times New Roman" w:cs="Times New Roman" w:hint="eastAsia"/>
          <w:b/>
          <w:bCs/>
          <w:szCs w:val="21"/>
        </w:rPr>
        <w:t xml:space="preserve"> </w:t>
      </w:r>
      <w:r w:rsidRPr="000370A5">
        <w:rPr>
          <w:rFonts w:ascii="Times New Roman" w:hAnsi="Times New Roman" w:cs="Times New Roman"/>
          <w:szCs w:val="21"/>
        </w:rPr>
        <w:t xml:space="preserve">Statistical comparisons were performed using two-tailed Student’s </w:t>
      </w:r>
      <w:r w:rsidRPr="000370A5">
        <w:rPr>
          <w:rFonts w:ascii="Times New Roman" w:hAnsi="Times New Roman" w:cs="Times New Roman"/>
          <w:i/>
          <w:iCs/>
          <w:szCs w:val="21"/>
        </w:rPr>
        <w:t>t</w:t>
      </w:r>
      <w:r w:rsidRPr="000370A5">
        <w:rPr>
          <w:rFonts w:ascii="Times New Roman" w:hAnsi="Times New Roman" w:cs="Times New Roman"/>
          <w:szCs w:val="21"/>
        </w:rPr>
        <w:t xml:space="preserve">-test. Data are presented as mean ± SD. </w:t>
      </w:r>
      <w:r w:rsidR="0049353B" w:rsidRPr="00C61345">
        <w:rPr>
          <w:rFonts w:ascii="Times New Roman" w:hAnsi="Times New Roman" w:cs="Times New Roman"/>
          <w:szCs w:val="21"/>
        </w:rPr>
        <w:t>*p &lt; 0.05, **p &lt; 0.01, ***p &lt; 0.001</w:t>
      </w:r>
      <w:r w:rsidRPr="000370A5">
        <w:rPr>
          <w:rFonts w:ascii="Times New Roman" w:hAnsi="Times New Roman" w:cs="Times New Roman"/>
          <w:szCs w:val="21"/>
        </w:rPr>
        <w:t>.</w:t>
      </w:r>
    </w:p>
    <w:p w14:paraId="5CA6C770" w14:textId="5A0DC98C" w:rsidR="00E95F52" w:rsidRDefault="00E95F52" w:rsidP="000E4278">
      <w:pPr>
        <w:rPr>
          <w:rFonts w:ascii="Times New Roman" w:hAnsi="Times New Roman" w:cs="Times New Roman"/>
          <w:b/>
          <w:bCs/>
          <w:szCs w:val="21"/>
        </w:rPr>
      </w:pPr>
    </w:p>
    <w:p w14:paraId="5DF9E7B5" w14:textId="77777777" w:rsidR="00E95F52" w:rsidRDefault="00E95F52">
      <w:pPr>
        <w:widowControl/>
        <w:jc w:val="left"/>
        <w:rPr>
          <w:rFonts w:ascii="Times New Roman" w:hAnsi="Times New Roman" w:cs="Times New Roman"/>
          <w:b/>
          <w:bCs/>
          <w:szCs w:val="21"/>
        </w:rPr>
      </w:pPr>
      <w:r>
        <w:rPr>
          <w:rFonts w:ascii="Times New Roman" w:hAnsi="Times New Roman" w:cs="Times New Roman"/>
          <w:b/>
          <w:bCs/>
          <w:szCs w:val="21"/>
        </w:rPr>
        <w:br w:type="page"/>
      </w:r>
    </w:p>
    <w:p w14:paraId="20683D8B" w14:textId="59720507" w:rsidR="00D51ECD" w:rsidRDefault="00790F0D" w:rsidP="000E4278">
      <w:pPr>
        <w:rPr>
          <w:rFonts w:ascii="Times New Roman" w:hAnsi="Times New Roman" w:cs="Times New Roman"/>
          <w:b/>
          <w:bCs/>
          <w:szCs w:val="21"/>
        </w:rPr>
      </w:pPr>
      <w:r>
        <w:rPr>
          <w:rFonts w:ascii="Times New Roman" w:hAnsi="Times New Roman" w:cs="Times New Roman"/>
          <w:b/>
          <w:bCs/>
          <w:noProof/>
          <w:szCs w:val="21"/>
        </w:rPr>
        <w:lastRenderedPageBreak/>
        <w:drawing>
          <wp:inline distT="0" distB="0" distL="0" distR="0" wp14:anchorId="0637C0D4" wp14:editId="2F037433">
            <wp:extent cx="5274310" cy="6525260"/>
            <wp:effectExtent l="0" t="0" r="2540" b="8890"/>
            <wp:docPr id="18451277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127724" name="图片 1845127724"/>
                    <pic:cNvPicPr/>
                  </pic:nvPicPr>
                  <pic:blipFill>
                    <a:blip r:embed="rId8"/>
                    <a:stretch>
                      <a:fillRect/>
                    </a:stretch>
                  </pic:blipFill>
                  <pic:spPr>
                    <a:xfrm>
                      <a:off x="0" y="0"/>
                      <a:ext cx="5274310" cy="6525260"/>
                    </a:xfrm>
                    <a:prstGeom prst="rect">
                      <a:avLst/>
                    </a:prstGeom>
                  </pic:spPr>
                </pic:pic>
              </a:graphicData>
            </a:graphic>
          </wp:inline>
        </w:drawing>
      </w:r>
    </w:p>
    <w:p w14:paraId="003E3690" w14:textId="5E6E7692" w:rsidR="00EE101E" w:rsidRDefault="00BE5C82" w:rsidP="000E4278">
      <w:pPr>
        <w:rPr>
          <w:rFonts w:ascii="Times New Roman" w:hAnsi="Times New Roman" w:cs="Times New Roman"/>
          <w:b/>
          <w:bCs/>
          <w:szCs w:val="21"/>
        </w:rPr>
      </w:pPr>
      <w:r w:rsidRPr="00EE2A2B">
        <w:rPr>
          <w:rFonts w:ascii="Times New Roman" w:hAnsi="Times New Roman" w:cs="Times New Roman"/>
          <w:b/>
          <w:bCs/>
          <w:sz w:val="24"/>
          <w:szCs w:val="24"/>
        </w:rPr>
        <w:t xml:space="preserve">Supplemental Figure </w:t>
      </w:r>
      <w:r>
        <w:rPr>
          <w:rFonts w:ascii="Times New Roman" w:hAnsi="Times New Roman" w:cs="Times New Roman" w:hint="eastAsia"/>
          <w:b/>
          <w:bCs/>
          <w:sz w:val="24"/>
          <w:szCs w:val="24"/>
        </w:rPr>
        <w:t xml:space="preserve">3. </w:t>
      </w:r>
      <w:r w:rsidR="00F80D63" w:rsidRPr="00F80D63">
        <w:rPr>
          <w:rFonts w:ascii="Times New Roman" w:hAnsi="Times New Roman" w:cs="Times New Roman"/>
          <w:b/>
          <w:bCs/>
          <w:szCs w:val="21"/>
        </w:rPr>
        <w:t>ALDH2 loss increases GLUT1 protein stability and plasma membrane localization in HCC</w:t>
      </w:r>
      <w:r w:rsidR="00EE101E" w:rsidRPr="00EE101E">
        <w:rPr>
          <w:rFonts w:ascii="Times New Roman" w:hAnsi="Times New Roman" w:cs="Times New Roman"/>
          <w:b/>
          <w:bCs/>
          <w:szCs w:val="21"/>
        </w:rPr>
        <w:t>.</w:t>
      </w:r>
    </w:p>
    <w:p w14:paraId="44B9CC13" w14:textId="3A7658D5" w:rsidR="00817FC8" w:rsidRDefault="00817FC8" w:rsidP="00817FC8">
      <w:pPr>
        <w:rPr>
          <w:rFonts w:ascii="Times New Roman" w:hAnsi="Times New Roman" w:cs="Times New Roman"/>
          <w:szCs w:val="21"/>
        </w:rPr>
      </w:pPr>
      <w:r w:rsidRPr="00817FC8">
        <w:rPr>
          <w:rFonts w:ascii="Times New Roman" w:hAnsi="Times New Roman" w:cs="Times New Roman"/>
          <w:b/>
          <w:bCs/>
          <w:szCs w:val="21"/>
        </w:rPr>
        <w:t>(</w:t>
      </w:r>
      <w:r w:rsidRPr="00817FC8">
        <w:rPr>
          <w:rFonts w:ascii="Times New Roman" w:hAnsi="Times New Roman" w:cs="Times New Roman" w:hint="eastAsia"/>
          <w:b/>
          <w:bCs/>
          <w:szCs w:val="21"/>
        </w:rPr>
        <w:t>A</w:t>
      </w:r>
      <w:r w:rsidRPr="00817FC8">
        <w:rPr>
          <w:rFonts w:ascii="Times New Roman" w:hAnsi="Times New Roman" w:cs="Times New Roman"/>
          <w:b/>
          <w:bCs/>
          <w:szCs w:val="21"/>
        </w:rPr>
        <w:t>)</w:t>
      </w:r>
      <w:r w:rsidRPr="00817FC8">
        <w:rPr>
          <w:rFonts w:ascii="Times New Roman" w:hAnsi="Times New Roman" w:cs="Times New Roman" w:hint="eastAsia"/>
          <w:b/>
          <w:bCs/>
          <w:szCs w:val="21"/>
        </w:rPr>
        <w:t xml:space="preserve"> </w:t>
      </w:r>
      <w:r w:rsidR="004C06D8" w:rsidRPr="004C06D8">
        <w:rPr>
          <w:rFonts w:ascii="Times New Roman" w:hAnsi="Times New Roman" w:cs="Times New Roman"/>
          <w:szCs w:val="21"/>
        </w:rPr>
        <w:t>Immunoblot analysis of proteins related to glucose metabolism in liver and tumor tissues from wild-type (WT) and ALDH2 knockout (AKO) mice.</w:t>
      </w:r>
      <w:r w:rsidR="00811E44" w:rsidRPr="00E94CFD">
        <w:rPr>
          <w:rFonts w:ascii="Times New Roman" w:hAnsi="Times New Roman" w:cs="Times New Roman"/>
          <w:b/>
          <w:bCs/>
          <w:szCs w:val="21"/>
        </w:rPr>
        <w:t xml:space="preserve"> </w:t>
      </w:r>
      <w:r w:rsidR="009D0CCE" w:rsidRPr="00E94CFD">
        <w:rPr>
          <w:rFonts w:ascii="Times New Roman" w:hAnsi="Times New Roman" w:cs="Times New Roman"/>
          <w:b/>
          <w:bCs/>
          <w:szCs w:val="21"/>
        </w:rPr>
        <w:t>(B)</w:t>
      </w:r>
      <w:r w:rsidR="009D0CCE" w:rsidRPr="00E94CFD">
        <w:rPr>
          <w:rFonts w:ascii="Times New Roman" w:hAnsi="Times New Roman" w:cs="Times New Roman"/>
          <w:szCs w:val="21"/>
        </w:rPr>
        <w:t xml:space="preserve"> </w:t>
      </w:r>
      <w:r w:rsidR="00DB76E2" w:rsidRPr="00DB76E2">
        <w:rPr>
          <w:rFonts w:ascii="Times New Roman" w:hAnsi="Times New Roman" w:cs="Times New Roman"/>
          <w:i/>
          <w:iCs/>
          <w:szCs w:val="21"/>
        </w:rPr>
        <w:t>Slc2a1</w:t>
      </w:r>
      <w:r w:rsidR="00DB76E2" w:rsidRPr="00DB76E2">
        <w:rPr>
          <w:rFonts w:ascii="Times New Roman" w:hAnsi="Times New Roman" w:cs="Times New Roman"/>
          <w:szCs w:val="21"/>
        </w:rPr>
        <w:t xml:space="preserve"> mRNA levels in liver tissues from WT, AKO, and ALDH2 rs671 knock-in mice, measured by </w:t>
      </w:r>
      <w:proofErr w:type="spellStart"/>
      <w:r w:rsidR="00DB76E2" w:rsidRPr="00DB76E2">
        <w:rPr>
          <w:rFonts w:ascii="Times New Roman" w:hAnsi="Times New Roman" w:cs="Times New Roman"/>
          <w:szCs w:val="21"/>
        </w:rPr>
        <w:t>qRT</w:t>
      </w:r>
      <w:proofErr w:type="spellEnd"/>
      <w:r w:rsidR="00DB76E2" w:rsidRPr="00DB76E2">
        <w:rPr>
          <w:rFonts w:ascii="Times New Roman" w:hAnsi="Times New Roman" w:cs="Times New Roman"/>
          <w:szCs w:val="21"/>
        </w:rPr>
        <w:t>-PCR.</w:t>
      </w:r>
      <w:r w:rsidR="00DB76E2" w:rsidRPr="00DB76E2">
        <w:rPr>
          <w:rFonts w:ascii="Times New Roman" w:hAnsi="Times New Roman" w:cs="Times New Roman"/>
          <w:b/>
          <w:bCs/>
          <w:szCs w:val="21"/>
        </w:rPr>
        <w:t xml:space="preserve"> </w:t>
      </w:r>
      <w:r w:rsidR="009D0CCE" w:rsidRPr="00E94CFD">
        <w:rPr>
          <w:rFonts w:ascii="Times New Roman" w:hAnsi="Times New Roman" w:cs="Times New Roman"/>
          <w:b/>
          <w:bCs/>
          <w:szCs w:val="21"/>
        </w:rPr>
        <w:t>(C)</w:t>
      </w:r>
      <w:r w:rsidR="009D0CCE" w:rsidRPr="00E94CFD">
        <w:rPr>
          <w:rFonts w:ascii="Times New Roman" w:hAnsi="Times New Roman" w:cs="Times New Roman"/>
          <w:szCs w:val="21"/>
        </w:rPr>
        <w:t xml:space="preserve"> </w:t>
      </w:r>
      <w:r w:rsidR="0060443B" w:rsidRPr="0060443B">
        <w:rPr>
          <w:rFonts w:ascii="Times New Roman" w:hAnsi="Times New Roman" w:cs="Times New Roman"/>
          <w:i/>
          <w:iCs/>
          <w:szCs w:val="21"/>
        </w:rPr>
        <w:t>Slc2a1</w:t>
      </w:r>
      <w:r w:rsidR="0060443B" w:rsidRPr="0060443B">
        <w:rPr>
          <w:rFonts w:ascii="Times New Roman" w:hAnsi="Times New Roman" w:cs="Times New Roman"/>
          <w:szCs w:val="21"/>
        </w:rPr>
        <w:t xml:space="preserve"> transcript levels in LPC-H12 and Hepa1-6 cells stably expressing sh-ALDH2 or control shRNA, analyzed by </w:t>
      </w:r>
      <w:proofErr w:type="spellStart"/>
      <w:r w:rsidR="0060443B" w:rsidRPr="0060443B">
        <w:rPr>
          <w:rFonts w:ascii="Times New Roman" w:hAnsi="Times New Roman" w:cs="Times New Roman"/>
          <w:szCs w:val="21"/>
        </w:rPr>
        <w:t>qRT</w:t>
      </w:r>
      <w:proofErr w:type="spellEnd"/>
      <w:r w:rsidR="0060443B" w:rsidRPr="0060443B">
        <w:rPr>
          <w:rFonts w:ascii="Times New Roman" w:hAnsi="Times New Roman" w:cs="Times New Roman"/>
          <w:szCs w:val="21"/>
        </w:rPr>
        <w:t>-PCR.</w:t>
      </w:r>
      <w:r w:rsidR="00DF5976" w:rsidRPr="00E94CFD">
        <w:rPr>
          <w:szCs w:val="21"/>
        </w:rPr>
        <w:t xml:space="preserve"> </w:t>
      </w:r>
      <w:r w:rsidR="00C80C46" w:rsidRPr="00E94CFD">
        <w:rPr>
          <w:rFonts w:ascii="Times New Roman" w:hAnsi="Times New Roman" w:cs="Times New Roman"/>
          <w:b/>
          <w:bCs/>
          <w:szCs w:val="21"/>
        </w:rPr>
        <w:t>(</w:t>
      </w:r>
      <w:r w:rsidR="00C80C46" w:rsidRPr="00E94CFD">
        <w:rPr>
          <w:rFonts w:ascii="Times New Roman" w:hAnsi="Times New Roman" w:cs="Times New Roman" w:hint="eastAsia"/>
          <w:b/>
          <w:bCs/>
          <w:szCs w:val="21"/>
        </w:rPr>
        <w:t>D</w:t>
      </w:r>
      <w:r w:rsidR="00C80C46" w:rsidRPr="00E94CFD">
        <w:rPr>
          <w:rFonts w:ascii="Times New Roman" w:hAnsi="Times New Roman" w:cs="Times New Roman"/>
          <w:b/>
          <w:bCs/>
          <w:szCs w:val="21"/>
        </w:rPr>
        <w:t xml:space="preserve">) </w:t>
      </w:r>
      <w:r w:rsidR="0060443B" w:rsidRPr="0060443B">
        <w:rPr>
          <w:rFonts w:ascii="Times New Roman" w:hAnsi="Times New Roman" w:cs="Times New Roman"/>
          <w:szCs w:val="21"/>
        </w:rPr>
        <w:t>Immunoblot analysis of ALDH2 and GLUT1 expression in tumor tissues from human HCC patients stratified by ALDH2 genotype (WT vs rs671), corresponding to Fig. 3D–E.</w:t>
      </w:r>
      <w:r w:rsidR="0060443B" w:rsidRPr="0060443B">
        <w:rPr>
          <w:rFonts w:ascii="Times New Roman" w:hAnsi="Times New Roman" w:cs="Times New Roman"/>
          <w:b/>
          <w:bCs/>
          <w:szCs w:val="21"/>
        </w:rPr>
        <w:t xml:space="preserve"> </w:t>
      </w:r>
      <w:r w:rsidR="00C42FE1" w:rsidRPr="00E94CFD">
        <w:rPr>
          <w:rFonts w:ascii="Times New Roman" w:hAnsi="Times New Roman" w:cs="Times New Roman"/>
          <w:b/>
          <w:bCs/>
          <w:szCs w:val="21"/>
        </w:rPr>
        <w:t>(</w:t>
      </w:r>
      <w:r w:rsidR="00C42FE1" w:rsidRPr="00E94CFD">
        <w:rPr>
          <w:rFonts w:ascii="Times New Roman" w:hAnsi="Times New Roman" w:cs="Times New Roman" w:hint="eastAsia"/>
          <w:b/>
          <w:bCs/>
          <w:szCs w:val="21"/>
        </w:rPr>
        <w:t>E</w:t>
      </w:r>
      <w:r w:rsidR="00C42FE1" w:rsidRPr="00E94CFD">
        <w:rPr>
          <w:rFonts w:ascii="Times New Roman" w:hAnsi="Times New Roman" w:cs="Times New Roman"/>
          <w:b/>
          <w:bCs/>
          <w:szCs w:val="21"/>
        </w:rPr>
        <w:t>)</w:t>
      </w:r>
      <w:r w:rsidR="00C42FE1" w:rsidRPr="00E94CFD">
        <w:rPr>
          <w:rFonts w:ascii="Times New Roman" w:hAnsi="Times New Roman" w:cs="Times New Roman"/>
          <w:szCs w:val="21"/>
        </w:rPr>
        <w:t xml:space="preserve">Analysis of </w:t>
      </w:r>
      <w:r w:rsidR="00C42FE1" w:rsidRPr="00E94CFD">
        <w:rPr>
          <w:rFonts w:ascii="Times New Roman" w:hAnsi="Times New Roman" w:cs="Times New Roman"/>
          <w:i/>
          <w:iCs/>
          <w:szCs w:val="21"/>
        </w:rPr>
        <w:t>SLC2A1</w:t>
      </w:r>
      <w:r w:rsidR="00C42FE1" w:rsidRPr="00E94CFD">
        <w:rPr>
          <w:rFonts w:ascii="Times New Roman" w:hAnsi="Times New Roman" w:cs="Times New Roman"/>
          <w:szCs w:val="21"/>
        </w:rPr>
        <w:t xml:space="preserve"> mRNA expression in HCC tumors versus normal liver tissues using the TCGA-LIHC dataset (n = </w:t>
      </w:r>
      <w:r w:rsidR="00C42FE1" w:rsidRPr="00E94CFD">
        <w:rPr>
          <w:rFonts w:ascii="Times New Roman" w:hAnsi="Times New Roman" w:cs="Times New Roman" w:hint="eastAsia"/>
          <w:szCs w:val="21"/>
        </w:rPr>
        <w:t>225</w:t>
      </w:r>
      <w:r w:rsidR="00C42FE1" w:rsidRPr="00E94CFD">
        <w:rPr>
          <w:rFonts w:ascii="Times New Roman" w:hAnsi="Times New Roman" w:cs="Times New Roman"/>
          <w:szCs w:val="21"/>
        </w:rPr>
        <w:t xml:space="preserve"> tumors, n = </w:t>
      </w:r>
      <w:r w:rsidR="00C42FE1" w:rsidRPr="00E94CFD">
        <w:rPr>
          <w:rFonts w:ascii="Times New Roman" w:hAnsi="Times New Roman" w:cs="Times New Roman" w:hint="eastAsia"/>
          <w:szCs w:val="21"/>
        </w:rPr>
        <w:t>371</w:t>
      </w:r>
      <w:r w:rsidR="00C42FE1" w:rsidRPr="00E94CFD">
        <w:rPr>
          <w:rFonts w:ascii="Times New Roman" w:hAnsi="Times New Roman" w:cs="Times New Roman"/>
          <w:szCs w:val="21"/>
        </w:rPr>
        <w:t xml:space="preserve"> normal).</w:t>
      </w:r>
      <w:r w:rsidR="003B4E00" w:rsidRPr="00E94CFD">
        <w:rPr>
          <w:rFonts w:ascii="Times New Roman" w:eastAsia="宋体" w:hAnsi="Times New Roman" w:cs="Times New Roman"/>
          <w:b/>
          <w:bCs/>
          <w:color w:val="000000"/>
          <w:kern w:val="0"/>
          <w:szCs w:val="21"/>
        </w:rPr>
        <w:t xml:space="preserve"> (</w:t>
      </w:r>
      <w:r w:rsidR="003B4E00" w:rsidRPr="00E94CFD">
        <w:rPr>
          <w:rFonts w:ascii="Times New Roman" w:eastAsia="宋体" w:hAnsi="Times New Roman" w:cs="Times New Roman" w:hint="eastAsia"/>
          <w:b/>
          <w:bCs/>
          <w:color w:val="000000"/>
          <w:kern w:val="0"/>
          <w:szCs w:val="21"/>
        </w:rPr>
        <w:t>F</w:t>
      </w:r>
      <w:r w:rsidR="003B4E00" w:rsidRPr="00E94CFD">
        <w:rPr>
          <w:rFonts w:ascii="Times New Roman" w:eastAsia="宋体" w:hAnsi="Times New Roman" w:cs="Times New Roman"/>
          <w:b/>
          <w:bCs/>
          <w:color w:val="000000"/>
          <w:kern w:val="0"/>
          <w:szCs w:val="21"/>
        </w:rPr>
        <w:t>)</w:t>
      </w:r>
      <w:r w:rsidR="003B4E00" w:rsidRPr="00E94CFD">
        <w:rPr>
          <w:rFonts w:ascii="Times New Roman" w:eastAsia="宋体" w:hAnsi="Times New Roman" w:cs="Times New Roman" w:hint="eastAsia"/>
          <w:b/>
          <w:bCs/>
          <w:color w:val="000000"/>
          <w:kern w:val="0"/>
          <w:szCs w:val="21"/>
        </w:rPr>
        <w:t xml:space="preserve"> </w:t>
      </w:r>
      <w:r w:rsidR="003B4E00" w:rsidRPr="00E94CFD">
        <w:rPr>
          <w:rFonts w:ascii="Times New Roman" w:eastAsia="宋体" w:hAnsi="Times New Roman" w:cs="Times New Roman" w:hint="eastAsia"/>
          <w:color w:val="000000"/>
          <w:kern w:val="0"/>
          <w:szCs w:val="21"/>
        </w:rPr>
        <w:t xml:space="preserve">Immunofluorescence staining </w:t>
      </w:r>
      <w:r w:rsidR="008B566D">
        <w:rPr>
          <w:rFonts w:ascii="Times New Roman" w:eastAsia="宋体" w:hAnsi="Times New Roman" w:cs="Times New Roman" w:hint="eastAsia"/>
          <w:color w:val="000000"/>
          <w:kern w:val="0"/>
          <w:szCs w:val="21"/>
        </w:rPr>
        <w:t>of</w:t>
      </w:r>
      <w:r w:rsidR="003B4E00" w:rsidRPr="00E94CFD">
        <w:rPr>
          <w:rFonts w:ascii="Times New Roman" w:eastAsia="宋体" w:hAnsi="Times New Roman" w:cs="Times New Roman" w:hint="eastAsia"/>
          <w:color w:val="000000"/>
          <w:kern w:val="0"/>
          <w:szCs w:val="21"/>
        </w:rPr>
        <w:t xml:space="preserve"> endogenous GLUT1 cellular localization </w:t>
      </w:r>
      <w:r w:rsidR="00831CCB" w:rsidRPr="00831CCB">
        <w:rPr>
          <w:rFonts w:ascii="Times New Roman" w:eastAsia="宋体" w:hAnsi="Times New Roman" w:cs="Times New Roman"/>
          <w:color w:val="000000"/>
          <w:kern w:val="0"/>
          <w:szCs w:val="21"/>
        </w:rPr>
        <w:t xml:space="preserve">in LPC-H12 cells stably expressing sh-ALDH2 or control </w:t>
      </w:r>
      <w:r w:rsidR="00831CCB" w:rsidRPr="00831CCB">
        <w:rPr>
          <w:rFonts w:ascii="Times New Roman" w:eastAsia="宋体" w:hAnsi="Times New Roman" w:cs="Times New Roman"/>
          <w:color w:val="000000"/>
          <w:kern w:val="0"/>
          <w:szCs w:val="21"/>
        </w:rPr>
        <w:lastRenderedPageBreak/>
        <w:t>shRNA</w:t>
      </w:r>
      <w:r w:rsidR="00831CCB">
        <w:rPr>
          <w:rFonts w:ascii="Times New Roman" w:eastAsia="宋体" w:hAnsi="Times New Roman" w:cs="Times New Roman" w:hint="eastAsia"/>
          <w:color w:val="000000"/>
          <w:kern w:val="0"/>
          <w:szCs w:val="21"/>
        </w:rPr>
        <w:t>.</w:t>
      </w:r>
      <w:r w:rsidR="003B4E00" w:rsidRPr="00E94CFD">
        <w:rPr>
          <w:rFonts w:ascii="Times New Roman" w:eastAsia="宋体" w:hAnsi="Times New Roman" w:cs="Times New Roman" w:hint="eastAsia"/>
          <w:color w:val="000000"/>
          <w:kern w:val="0"/>
          <w:szCs w:val="21"/>
        </w:rPr>
        <w:t xml:space="preserve"> Scale bar, 10uM.</w:t>
      </w:r>
      <w:bookmarkStart w:id="0" w:name="_Hlk159938547"/>
      <w:r w:rsidR="00E94CFD" w:rsidRPr="00E94CFD">
        <w:rPr>
          <w:rFonts w:ascii="Times New Roman" w:eastAsia="宋体" w:hAnsi="Times New Roman" w:cs="Times New Roman"/>
          <w:b/>
          <w:bCs/>
          <w:szCs w:val="21"/>
        </w:rPr>
        <w:t xml:space="preserve"> (</w:t>
      </w:r>
      <w:r w:rsidR="00E94CFD" w:rsidRPr="00E94CFD">
        <w:rPr>
          <w:rFonts w:ascii="Times New Roman" w:eastAsia="宋体" w:hAnsi="Times New Roman" w:cs="Times New Roman" w:hint="eastAsia"/>
          <w:b/>
          <w:bCs/>
          <w:szCs w:val="21"/>
        </w:rPr>
        <w:t>G</w:t>
      </w:r>
      <w:r w:rsidR="00E94CFD" w:rsidRPr="00E94CFD">
        <w:rPr>
          <w:rFonts w:ascii="Times New Roman" w:eastAsia="宋体" w:hAnsi="Times New Roman" w:cs="Times New Roman"/>
          <w:b/>
          <w:bCs/>
          <w:szCs w:val="21"/>
        </w:rPr>
        <w:t>)</w:t>
      </w:r>
      <w:r w:rsidR="00E94CFD" w:rsidRPr="00E94CFD">
        <w:rPr>
          <w:rFonts w:ascii="Times New Roman" w:eastAsia="宋体" w:hAnsi="Times New Roman" w:cs="Times New Roman"/>
          <w:szCs w:val="21"/>
        </w:rPr>
        <w:t xml:space="preserve"> </w:t>
      </w:r>
      <w:bookmarkEnd w:id="0"/>
      <w:r w:rsidR="00D435CB" w:rsidRPr="00D435CB">
        <w:rPr>
          <w:rFonts w:ascii="Times New Roman" w:eastAsia="宋体" w:hAnsi="Times New Roman" w:cs="Times New Roman"/>
          <w:szCs w:val="21"/>
        </w:rPr>
        <w:t>Subcellular fractionation analysis of GLUT1 in LPC-H12 cells. Plasma membrane (PM) and intracellular membrane (ICM) fractions were analyzed by immunoblotting. ATP1A1 and GAPDH served as PM and cytosolic markers, respectively; WCL, whole cell lysate.</w:t>
      </w:r>
      <w:r w:rsidR="00D435CB" w:rsidRPr="00D435CB">
        <w:rPr>
          <w:rFonts w:ascii="Times New Roman" w:eastAsia="宋体" w:hAnsi="Times New Roman" w:cs="Times New Roman"/>
          <w:b/>
          <w:bCs/>
          <w:szCs w:val="21"/>
        </w:rPr>
        <w:t xml:space="preserve"> </w:t>
      </w:r>
      <w:r w:rsidR="00A76D93" w:rsidRPr="00A76D93">
        <w:rPr>
          <w:rFonts w:ascii="Times New Roman" w:hAnsi="Times New Roman" w:cs="Times New Roman"/>
          <w:b/>
          <w:bCs/>
          <w:szCs w:val="21"/>
        </w:rPr>
        <w:t>(</w:t>
      </w:r>
      <w:r w:rsidR="00A76D93" w:rsidRPr="00A76D93">
        <w:rPr>
          <w:rFonts w:ascii="Times New Roman" w:hAnsi="Times New Roman" w:cs="Times New Roman" w:hint="eastAsia"/>
          <w:b/>
          <w:bCs/>
          <w:szCs w:val="21"/>
        </w:rPr>
        <w:t>H</w:t>
      </w:r>
      <w:r w:rsidR="00A76D93" w:rsidRPr="00A76D93">
        <w:rPr>
          <w:rFonts w:ascii="Times New Roman" w:hAnsi="Times New Roman" w:cs="Times New Roman"/>
          <w:b/>
          <w:bCs/>
          <w:szCs w:val="21"/>
        </w:rPr>
        <w:t xml:space="preserve">) </w:t>
      </w:r>
      <w:r w:rsidR="00943221" w:rsidRPr="00943221">
        <w:rPr>
          <w:rFonts w:ascii="Times New Roman" w:hAnsi="Times New Roman" w:cs="Times New Roman"/>
          <w:szCs w:val="21"/>
        </w:rPr>
        <w:t>Kaplan–Meier overall survival of HCC patients stratified by high versus low GLUT1 expression using the GEPIA platform (TCGA-LIHC cohort).</w:t>
      </w:r>
      <w:r w:rsidR="00A76D93" w:rsidRPr="00A76D93">
        <w:rPr>
          <w:rFonts w:ascii="Times New Roman" w:hAnsi="Times New Roman" w:cs="Times New Roman"/>
          <w:szCs w:val="21"/>
        </w:rPr>
        <w:t xml:space="preserve"> </w:t>
      </w:r>
      <w:r w:rsidR="00CB0DE1" w:rsidRPr="00CB0DE1">
        <w:rPr>
          <w:rFonts w:ascii="Times New Roman" w:hAnsi="Times New Roman" w:cs="Times New Roman"/>
          <w:b/>
          <w:bCs/>
          <w:szCs w:val="21"/>
        </w:rPr>
        <w:t>(I)</w:t>
      </w:r>
      <w:r w:rsidR="00CB0DE1" w:rsidRPr="00CB0DE1">
        <w:rPr>
          <w:rFonts w:ascii="Times New Roman" w:hAnsi="Times New Roman" w:cs="Times New Roman"/>
          <w:szCs w:val="21"/>
        </w:rPr>
        <w:t xml:space="preserve"> GLUT1 knockdown reduces cell proliferation. LPC-H12 parental cells were transfected with four independent siRNAs targeting GLUT1 (si-glut1-1 to si-glut1-4) or negative control (</w:t>
      </w:r>
      <w:proofErr w:type="spellStart"/>
      <w:r w:rsidR="00CB0DE1" w:rsidRPr="00CB0DE1">
        <w:rPr>
          <w:rFonts w:ascii="Times New Roman" w:hAnsi="Times New Roman" w:cs="Times New Roman"/>
          <w:szCs w:val="21"/>
        </w:rPr>
        <w:t>si</w:t>
      </w:r>
      <w:proofErr w:type="spellEnd"/>
      <w:r w:rsidR="00CB0DE1" w:rsidRPr="00CB0DE1">
        <w:rPr>
          <w:rFonts w:ascii="Times New Roman" w:hAnsi="Times New Roman" w:cs="Times New Roman"/>
          <w:szCs w:val="21"/>
        </w:rPr>
        <w:t xml:space="preserve">-NC). Cell numbers were quantified at indicated time points. Representative immunoblot shows knockdown efficiency. </w:t>
      </w:r>
      <w:r w:rsidR="00206CFC" w:rsidRPr="00206CFC">
        <w:rPr>
          <w:rFonts w:ascii="Times New Roman" w:hAnsi="Times New Roman" w:cs="Times New Roman"/>
          <w:b/>
          <w:bCs/>
          <w:szCs w:val="21"/>
        </w:rPr>
        <w:t>(J)</w:t>
      </w:r>
      <w:r w:rsidR="00206CFC" w:rsidRPr="00206CFC">
        <w:rPr>
          <w:rFonts w:ascii="Times New Roman" w:hAnsi="Times New Roman" w:cs="Times New Roman"/>
          <w:szCs w:val="21"/>
        </w:rPr>
        <w:t xml:space="preserve"> Dose-dependent inhibition of cell proliferation by the selective GLUT1 inhibitor BAY-876. LPC-H12 cells were treated with the indicated concentrations of BAY-876 or DMSO. Cell numbers were measured over 96 hours. </w:t>
      </w:r>
      <w:r w:rsidR="00A76D93" w:rsidRPr="000370A5">
        <w:rPr>
          <w:rFonts w:ascii="Times New Roman" w:hAnsi="Times New Roman" w:cs="Times New Roman"/>
          <w:szCs w:val="21"/>
        </w:rPr>
        <w:t xml:space="preserve">Statistical comparisons were performed using </w:t>
      </w:r>
      <w:r w:rsidR="00A83900" w:rsidRPr="000370A5">
        <w:rPr>
          <w:rFonts w:ascii="Times New Roman" w:hAnsi="Times New Roman" w:cs="Times New Roman"/>
          <w:szCs w:val="21"/>
        </w:rPr>
        <w:t>a two</w:t>
      </w:r>
      <w:r w:rsidR="00A76D93" w:rsidRPr="000370A5">
        <w:rPr>
          <w:rFonts w:ascii="Times New Roman" w:hAnsi="Times New Roman" w:cs="Times New Roman"/>
          <w:szCs w:val="21"/>
        </w:rPr>
        <w:t xml:space="preserve">-tailed Student’s </w:t>
      </w:r>
      <w:r w:rsidR="00A76D93" w:rsidRPr="000370A5">
        <w:rPr>
          <w:rFonts w:ascii="Times New Roman" w:hAnsi="Times New Roman" w:cs="Times New Roman"/>
          <w:i/>
          <w:iCs/>
          <w:szCs w:val="21"/>
        </w:rPr>
        <w:t>t</w:t>
      </w:r>
      <w:r w:rsidR="00A76D93" w:rsidRPr="000370A5">
        <w:rPr>
          <w:rFonts w:ascii="Times New Roman" w:hAnsi="Times New Roman" w:cs="Times New Roman"/>
          <w:szCs w:val="21"/>
        </w:rPr>
        <w:t xml:space="preserve">-test. Data are presented as mean ± SD. </w:t>
      </w:r>
      <w:r w:rsidR="0049353B" w:rsidRPr="00C61345">
        <w:rPr>
          <w:rFonts w:ascii="Times New Roman" w:hAnsi="Times New Roman" w:cs="Times New Roman"/>
          <w:szCs w:val="21"/>
        </w:rPr>
        <w:t>*p &lt; 0.05, **p &lt; 0.01, ***p &lt; 0.001</w:t>
      </w:r>
      <w:r w:rsidR="00A76D93" w:rsidRPr="000370A5">
        <w:rPr>
          <w:rFonts w:ascii="Times New Roman" w:hAnsi="Times New Roman" w:cs="Times New Roman"/>
          <w:szCs w:val="21"/>
        </w:rPr>
        <w:t>.</w:t>
      </w:r>
    </w:p>
    <w:p w14:paraId="44D47308" w14:textId="0192AC27" w:rsidR="001333DA" w:rsidRDefault="001333DA">
      <w:pPr>
        <w:widowControl/>
        <w:jc w:val="left"/>
        <w:rPr>
          <w:rFonts w:ascii="Times New Roman" w:hAnsi="Times New Roman" w:cs="Times New Roman"/>
          <w:szCs w:val="21"/>
        </w:rPr>
      </w:pPr>
      <w:r>
        <w:rPr>
          <w:rFonts w:ascii="Times New Roman" w:hAnsi="Times New Roman" w:cs="Times New Roman"/>
          <w:szCs w:val="21"/>
        </w:rPr>
        <w:br w:type="page"/>
      </w:r>
    </w:p>
    <w:p w14:paraId="3F391FF0" w14:textId="574B499A" w:rsidR="00C65EAF" w:rsidRDefault="001F6491">
      <w:pPr>
        <w:widowControl/>
        <w:jc w:val="left"/>
        <w:rPr>
          <w:rFonts w:ascii="Times New Roman" w:hAnsi="Times New Roman" w:cs="Times New Roman"/>
          <w:szCs w:val="21"/>
        </w:rPr>
      </w:pPr>
      <w:r>
        <w:rPr>
          <w:rFonts w:ascii="Times New Roman" w:hAnsi="Times New Roman" w:cs="Times New Roman"/>
          <w:noProof/>
          <w:szCs w:val="21"/>
        </w:rPr>
        <w:lastRenderedPageBreak/>
        <w:drawing>
          <wp:inline distT="0" distB="0" distL="0" distR="0" wp14:anchorId="7E536E96" wp14:editId="54A19AE9">
            <wp:extent cx="5274310" cy="4440555"/>
            <wp:effectExtent l="0" t="0" r="2540" b="0"/>
            <wp:docPr id="4422899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289997" name="图片 442289997"/>
                    <pic:cNvPicPr/>
                  </pic:nvPicPr>
                  <pic:blipFill>
                    <a:blip r:embed="rId9"/>
                    <a:stretch>
                      <a:fillRect/>
                    </a:stretch>
                  </pic:blipFill>
                  <pic:spPr>
                    <a:xfrm>
                      <a:off x="0" y="0"/>
                      <a:ext cx="5274310" cy="4440555"/>
                    </a:xfrm>
                    <a:prstGeom prst="rect">
                      <a:avLst/>
                    </a:prstGeom>
                  </pic:spPr>
                </pic:pic>
              </a:graphicData>
            </a:graphic>
          </wp:inline>
        </w:drawing>
      </w:r>
    </w:p>
    <w:p w14:paraId="54335A6A" w14:textId="5E3D337F" w:rsidR="00C65EAF" w:rsidRDefault="00C65EAF" w:rsidP="00C65EAF">
      <w:pPr>
        <w:rPr>
          <w:rFonts w:ascii="Times New Roman" w:hAnsi="Times New Roman" w:cs="Times New Roman"/>
          <w:b/>
          <w:bCs/>
          <w:sz w:val="24"/>
          <w:szCs w:val="24"/>
        </w:rPr>
      </w:pPr>
      <w:r w:rsidRPr="00974CEA">
        <w:rPr>
          <w:rFonts w:ascii="Times New Roman" w:hAnsi="Times New Roman" w:cs="Times New Roman"/>
          <w:b/>
          <w:bCs/>
          <w:sz w:val="24"/>
          <w:szCs w:val="24"/>
        </w:rPr>
        <w:t xml:space="preserve">Supplemental Figure </w:t>
      </w:r>
      <w:r w:rsidR="00BE5C82">
        <w:rPr>
          <w:rFonts w:ascii="Times New Roman" w:hAnsi="Times New Roman" w:cs="Times New Roman" w:hint="eastAsia"/>
          <w:b/>
          <w:bCs/>
          <w:sz w:val="24"/>
          <w:szCs w:val="24"/>
        </w:rPr>
        <w:t>4</w:t>
      </w:r>
      <w:r w:rsidRPr="00974CEA">
        <w:rPr>
          <w:rFonts w:ascii="Times New Roman" w:hAnsi="Times New Roman" w:cs="Times New Roman"/>
          <w:b/>
          <w:bCs/>
          <w:sz w:val="24"/>
          <w:szCs w:val="24"/>
        </w:rPr>
        <w:t>.</w:t>
      </w:r>
      <w:r>
        <w:rPr>
          <w:rFonts w:ascii="Times New Roman" w:hAnsi="Times New Roman" w:cs="Times New Roman"/>
          <w:b/>
          <w:bCs/>
          <w:sz w:val="24"/>
          <w:szCs w:val="24"/>
        </w:rPr>
        <w:t xml:space="preserve"> </w:t>
      </w:r>
      <w:r w:rsidR="007215BF" w:rsidRPr="007215BF">
        <w:rPr>
          <w:rFonts w:ascii="Times New Roman" w:hAnsi="Times New Roman" w:cs="Times New Roman"/>
          <w:b/>
          <w:bCs/>
          <w:sz w:val="24"/>
          <w:szCs w:val="24"/>
        </w:rPr>
        <w:t>ALDH2 promotes GLUT1 ubiquitination through direct protein–protein interaction</w:t>
      </w:r>
      <w:r>
        <w:rPr>
          <w:rFonts w:ascii="Times New Roman" w:hAnsi="Times New Roman" w:cs="Times New Roman"/>
          <w:b/>
          <w:bCs/>
          <w:sz w:val="24"/>
          <w:szCs w:val="24"/>
        </w:rPr>
        <w:t>.</w:t>
      </w:r>
      <w:r>
        <w:rPr>
          <w:rFonts w:ascii="Times New Roman" w:hAnsi="Times New Roman" w:cs="Times New Roman" w:hint="eastAsia"/>
          <w:b/>
          <w:bCs/>
          <w:sz w:val="24"/>
          <w:szCs w:val="24"/>
        </w:rPr>
        <w:t xml:space="preserve"> </w:t>
      </w:r>
    </w:p>
    <w:p w14:paraId="512072D8" w14:textId="54751961" w:rsidR="00C65EAF" w:rsidRPr="00C65EAF" w:rsidRDefault="00C65EAF" w:rsidP="00C65EAF">
      <w:pPr>
        <w:rPr>
          <w:rFonts w:ascii="Times New Roman" w:hAnsi="Times New Roman" w:cs="Times New Roman"/>
          <w:szCs w:val="21"/>
        </w:rPr>
      </w:pPr>
      <w:bookmarkStart w:id="1" w:name="OLE_LINK2"/>
      <w:r w:rsidRPr="00C65EAF">
        <w:rPr>
          <w:rFonts w:ascii="Times New Roman" w:eastAsia="宋体" w:hAnsi="Times New Roman" w:cs="Times New Roman"/>
          <w:b/>
          <w:bCs/>
          <w:szCs w:val="21"/>
        </w:rPr>
        <w:t>(</w:t>
      </w:r>
      <w:r w:rsidRPr="00C65EAF">
        <w:rPr>
          <w:rFonts w:ascii="Times New Roman" w:eastAsia="宋体" w:hAnsi="Times New Roman" w:cs="Times New Roman" w:hint="eastAsia"/>
          <w:b/>
          <w:bCs/>
          <w:szCs w:val="21"/>
        </w:rPr>
        <w:t>A</w:t>
      </w:r>
      <w:r w:rsidRPr="00C65EAF">
        <w:rPr>
          <w:rFonts w:ascii="Times New Roman" w:eastAsia="宋体" w:hAnsi="Times New Roman" w:cs="Times New Roman"/>
          <w:b/>
          <w:bCs/>
          <w:szCs w:val="21"/>
        </w:rPr>
        <w:t>)</w:t>
      </w:r>
      <w:bookmarkEnd w:id="1"/>
      <w:r w:rsidRPr="00C65EAF">
        <w:rPr>
          <w:rFonts w:ascii="Times New Roman" w:eastAsia="宋体" w:hAnsi="Times New Roman" w:cs="Times New Roman" w:hint="eastAsia"/>
          <w:b/>
          <w:bCs/>
          <w:szCs w:val="21"/>
        </w:rPr>
        <w:t xml:space="preserve"> </w:t>
      </w:r>
      <w:r w:rsidR="0040054F" w:rsidRPr="0040054F">
        <w:rPr>
          <w:rFonts w:ascii="Times New Roman" w:hAnsi="Times New Roman" w:cs="Times New Roman"/>
          <w:szCs w:val="21"/>
        </w:rPr>
        <w:t>Schematic illustration of major cellular protein degradation pathways, including proteasomal and lysosomal routes</w:t>
      </w:r>
      <w:r w:rsidRPr="00C65EAF">
        <w:rPr>
          <w:rFonts w:ascii="Times New Roman" w:hAnsi="Times New Roman" w:cs="Times New Roman"/>
          <w:szCs w:val="21"/>
        </w:rPr>
        <w:t>.</w:t>
      </w:r>
      <w:r w:rsidRPr="00C65EAF">
        <w:rPr>
          <w:rFonts w:ascii="Times New Roman" w:hAnsi="Times New Roman" w:cs="Times New Roman" w:hint="eastAsia"/>
          <w:szCs w:val="21"/>
        </w:rPr>
        <w:t xml:space="preserve"> </w:t>
      </w:r>
      <w:r w:rsidRPr="00C65EAF">
        <w:rPr>
          <w:rFonts w:ascii="Times New Roman" w:eastAsia="宋体" w:hAnsi="Times New Roman" w:cs="Times New Roman"/>
          <w:b/>
          <w:bCs/>
          <w:szCs w:val="21"/>
        </w:rPr>
        <w:t>(</w:t>
      </w:r>
      <w:r w:rsidRPr="00C65EAF">
        <w:rPr>
          <w:rFonts w:ascii="Times New Roman" w:eastAsia="宋体" w:hAnsi="Times New Roman" w:cs="Times New Roman" w:hint="eastAsia"/>
          <w:b/>
          <w:bCs/>
          <w:szCs w:val="21"/>
        </w:rPr>
        <w:t>B</w:t>
      </w:r>
      <w:r w:rsidRPr="00C65EAF">
        <w:rPr>
          <w:rFonts w:ascii="Times New Roman" w:eastAsia="宋体" w:hAnsi="Times New Roman" w:cs="Times New Roman"/>
          <w:b/>
          <w:bCs/>
          <w:szCs w:val="21"/>
        </w:rPr>
        <w:t xml:space="preserve">) </w:t>
      </w:r>
      <w:r w:rsidR="007B77E5" w:rsidRPr="007B77E5">
        <w:rPr>
          <w:rFonts w:ascii="Times New Roman" w:eastAsia="宋体" w:hAnsi="Times New Roman" w:cs="Times New Roman"/>
          <w:szCs w:val="21"/>
        </w:rPr>
        <w:t>Representatives immunoblot (top) and quantification (bottom) of GLUT1 protein levels in LPC-H12 cells treated with cycloheximide (CHX) following ALDH2 knockdown, with or without MG132 (10 μM) or chloroquine (CQ, 20 μM) for 6 hours.</w:t>
      </w:r>
      <w:r w:rsidR="007B77E5" w:rsidRPr="007B77E5">
        <w:rPr>
          <w:rFonts w:ascii="Times New Roman" w:eastAsia="宋体" w:hAnsi="Times New Roman" w:cs="Times New Roman"/>
          <w:b/>
          <w:bCs/>
          <w:szCs w:val="21"/>
        </w:rPr>
        <w:t xml:space="preserve"> </w:t>
      </w:r>
      <w:r w:rsidRPr="00C65EAF">
        <w:rPr>
          <w:rFonts w:ascii="Times New Roman" w:eastAsia="宋体" w:hAnsi="Times New Roman" w:cs="Times New Roman"/>
          <w:b/>
          <w:bCs/>
          <w:szCs w:val="21"/>
        </w:rPr>
        <w:t>(</w:t>
      </w:r>
      <w:r w:rsidRPr="00C65EAF">
        <w:rPr>
          <w:rFonts w:ascii="Times New Roman" w:eastAsia="宋体" w:hAnsi="Times New Roman" w:cs="Times New Roman" w:hint="eastAsia"/>
          <w:b/>
          <w:bCs/>
          <w:szCs w:val="21"/>
        </w:rPr>
        <w:t>C</w:t>
      </w:r>
      <w:r w:rsidRPr="00C65EAF">
        <w:rPr>
          <w:rFonts w:ascii="Times New Roman" w:eastAsia="宋体" w:hAnsi="Times New Roman" w:cs="Times New Roman"/>
          <w:b/>
          <w:bCs/>
          <w:szCs w:val="21"/>
        </w:rPr>
        <w:t>)</w:t>
      </w:r>
      <w:r w:rsidRPr="00C65EAF">
        <w:rPr>
          <w:rFonts w:ascii="Times New Roman" w:eastAsia="宋体" w:hAnsi="Times New Roman" w:cs="Times New Roman"/>
          <w:szCs w:val="21"/>
        </w:rPr>
        <w:t xml:space="preserve"> </w:t>
      </w:r>
      <w:r w:rsidR="00427E0D" w:rsidRPr="00427E0D">
        <w:rPr>
          <w:rFonts w:ascii="Times New Roman" w:eastAsia="宋体" w:hAnsi="Times New Roman" w:cs="Times New Roman"/>
          <w:szCs w:val="21"/>
        </w:rPr>
        <w:t>Endogenous ubiquitination of GLUT1 in LPC-H12 cells with or without ALDH2 knockdown, assessed by immunoprecipitation using an anti-GLUT1 antibody.</w:t>
      </w:r>
      <w:r w:rsidRPr="00C65EAF">
        <w:rPr>
          <w:rFonts w:ascii="Times New Roman" w:eastAsia="宋体" w:hAnsi="Times New Roman" w:cs="Times New Roman"/>
          <w:szCs w:val="21"/>
        </w:rPr>
        <w:t xml:space="preserve"> </w:t>
      </w:r>
      <w:r w:rsidRPr="00C65EAF">
        <w:rPr>
          <w:rFonts w:ascii="Times New Roman" w:hAnsi="Times New Roman" w:cs="Times New Roman"/>
          <w:b/>
          <w:bCs/>
          <w:szCs w:val="21"/>
        </w:rPr>
        <w:t>(</w:t>
      </w:r>
      <w:r w:rsidRPr="00C65EAF">
        <w:rPr>
          <w:rFonts w:ascii="Times New Roman" w:hAnsi="Times New Roman" w:cs="Times New Roman" w:hint="eastAsia"/>
          <w:b/>
          <w:bCs/>
          <w:szCs w:val="21"/>
        </w:rPr>
        <w:t>D</w:t>
      </w:r>
      <w:r w:rsidRPr="00C65EAF">
        <w:rPr>
          <w:rFonts w:ascii="Times New Roman" w:hAnsi="Times New Roman" w:cs="Times New Roman"/>
          <w:b/>
          <w:bCs/>
          <w:szCs w:val="21"/>
        </w:rPr>
        <w:t xml:space="preserve">) </w:t>
      </w:r>
      <w:r w:rsidR="00427E0D" w:rsidRPr="00427E0D">
        <w:rPr>
          <w:rFonts w:ascii="Times New Roman" w:hAnsi="Times New Roman" w:cs="Times New Roman"/>
          <w:szCs w:val="21"/>
        </w:rPr>
        <w:t>Co-</w:t>
      </w:r>
      <w:r w:rsidR="00273C20">
        <w:rPr>
          <w:rFonts w:ascii="Times New Roman" w:hAnsi="Times New Roman" w:cs="Times New Roman" w:hint="eastAsia"/>
          <w:szCs w:val="21"/>
        </w:rPr>
        <w:t>IP</w:t>
      </w:r>
      <w:r w:rsidR="00427E0D" w:rsidRPr="00427E0D">
        <w:rPr>
          <w:rFonts w:ascii="Times New Roman" w:hAnsi="Times New Roman" w:cs="Times New Roman"/>
          <w:szCs w:val="21"/>
        </w:rPr>
        <w:t xml:space="preserve"> of MYC-tagged ALDH2 and V5-tagged GLUT1 in 293T cells</w:t>
      </w:r>
      <w:r w:rsidR="00273C20">
        <w:rPr>
          <w:rFonts w:ascii="Times New Roman" w:hAnsi="Times New Roman" w:cs="Times New Roman" w:hint="eastAsia"/>
          <w:szCs w:val="21"/>
        </w:rPr>
        <w:t>.</w:t>
      </w:r>
      <w:r w:rsidR="004529B8" w:rsidRPr="004529B8">
        <w:rPr>
          <w:rFonts w:ascii="Times New Roman" w:hAnsi="Times New Roman" w:cs="Times New Roman"/>
          <w:szCs w:val="21"/>
        </w:rPr>
        <w:t xml:space="preserve"> </w:t>
      </w:r>
      <w:r w:rsidR="002C427D" w:rsidRPr="00C65EAF">
        <w:rPr>
          <w:rFonts w:ascii="Times New Roman" w:eastAsia="宋体" w:hAnsi="Times New Roman" w:cs="Times New Roman"/>
          <w:b/>
          <w:bCs/>
          <w:szCs w:val="21"/>
        </w:rPr>
        <w:t>(</w:t>
      </w:r>
      <w:r w:rsidR="002C427D" w:rsidRPr="00C65EAF">
        <w:rPr>
          <w:rFonts w:ascii="Times New Roman" w:eastAsia="宋体" w:hAnsi="Times New Roman" w:cs="Times New Roman" w:hint="eastAsia"/>
          <w:b/>
          <w:bCs/>
          <w:szCs w:val="21"/>
        </w:rPr>
        <w:t>E</w:t>
      </w:r>
      <w:r w:rsidR="002C427D" w:rsidRPr="00C65EAF">
        <w:rPr>
          <w:rFonts w:ascii="Times New Roman" w:eastAsia="宋体" w:hAnsi="Times New Roman" w:cs="Times New Roman"/>
          <w:b/>
          <w:bCs/>
          <w:szCs w:val="21"/>
        </w:rPr>
        <w:t>)</w:t>
      </w:r>
      <w:r w:rsidR="002C427D">
        <w:rPr>
          <w:rFonts w:ascii="Times New Roman" w:eastAsia="宋体" w:hAnsi="Times New Roman" w:cs="Times New Roman" w:hint="eastAsia"/>
          <w:b/>
          <w:bCs/>
          <w:szCs w:val="21"/>
        </w:rPr>
        <w:t xml:space="preserve"> </w:t>
      </w:r>
      <w:r w:rsidR="00273C20" w:rsidRPr="00273C20">
        <w:rPr>
          <w:rFonts w:ascii="Times New Roman" w:hAnsi="Times New Roman" w:cs="Times New Roman"/>
          <w:szCs w:val="21"/>
        </w:rPr>
        <w:t>Co-</w:t>
      </w:r>
      <w:r w:rsidR="00273C20">
        <w:rPr>
          <w:rFonts w:ascii="Times New Roman" w:hAnsi="Times New Roman" w:cs="Times New Roman" w:hint="eastAsia"/>
          <w:szCs w:val="21"/>
        </w:rPr>
        <w:t>IP</w:t>
      </w:r>
      <w:r w:rsidR="00273C20" w:rsidRPr="00273C20">
        <w:rPr>
          <w:rFonts w:ascii="Times New Roman" w:hAnsi="Times New Roman" w:cs="Times New Roman"/>
          <w:szCs w:val="21"/>
        </w:rPr>
        <w:t xml:space="preserve"> of V5-tagged GLUT1 with Flag-tagged ALDH2 rs671 in 293T cells</w:t>
      </w:r>
      <w:r w:rsidR="00273C20">
        <w:rPr>
          <w:rFonts w:ascii="Times New Roman" w:hAnsi="Times New Roman" w:cs="Times New Roman" w:hint="eastAsia"/>
          <w:szCs w:val="21"/>
        </w:rPr>
        <w:t>.</w:t>
      </w:r>
      <w:r w:rsidRPr="00C65EAF">
        <w:rPr>
          <w:rFonts w:ascii="Times New Roman" w:eastAsia="宋体" w:hAnsi="Times New Roman" w:cs="Times New Roman"/>
          <w:b/>
          <w:bCs/>
          <w:szCs w:val="21"/>
        </w:rPr>
        <w:t xml:space="preserve"> (</w:t>
      </w:r>
      <w:r w:rsidR="002C427D">
        <w:rPr>
          <w:rFonts w:ascii="Times New Roman" w:eastAsia="宋体" w:hAnsi="Times New Roman" w:cs="Times New Roman" w:hint="eastAsia"/>
          <w:b/>
          <w:bCs/>
          <w:szCs w:val="21"/>
        </w:rPr>
        <w:t>F</w:t>
      </w:r>
      <w:r w:rsidRPr="00C65EAF">
        <w:rPr>
          <w:rFonts w:ascii="Times New Roman" w:eastAsia="宋体" w:hAnsi="Times New Roman" w:cs="Times New Roman"/>
          <w:b/>
          <w:bCs/>
          <w:szCs w:val="21"/>
        </w:rPr>
        <w:t xml:space="preserve">) </w:t>
      </w:r>
      <w:r w:rsidRPr="00C65EAF">
        <w:rPr>
          <w:rFonts w:ascii="Times New Roman" w:eastAsia="宋体" w:hAnsi="Times New Roman" w:cs="Times New Roman"/>
          <w:szCs w:val="21"/>
        </w:rPr>
        <w:t>Co-</w:t>
      </w:r>
      <w:r w:rsidR="00273C20">
        <w:rPr>
          <w:rFonts w:ascii="Times New Roman" w:eastAsia="宋体" w:hAnsi="Times New Roman" w:cs="Times New Roman" w:hint="eastAsia"/>
          <w:szCs w:val="21"/>
        </w:rPr>
        <w:t>IP</w:t>
      </w:r>
      <w:r w:rsidRPr="00C65EAF">
        <w:rPr>
          <w:rFonts w:ascii="Times New Roman" w:eastAsia="宋体" w:hAnsi="Times New Roman" w:cs="Times New Roman"/>
          <w:szCs w:val="21"/>
        </w:rPr>
        <w:t xml:space="preserve"> of endogenous GLUT1 and ALDH2 in LPC-H12 cells.</w:t>
      </w:r>
      <w:r w:rsidRPr="00C65EAF">
        <w:rPr>
          <w:rFonts w:ascii="Times New Roman" w:eastAsia="宋体" w:hAnsi="Times New Roman" w:cs="Times New Roman" w:hint="eastAsia"/>
          <w:szCs w:val="21"/>
        </w:rPr>
        <w:t xml:space="preserve"> </w:t>
      </w:r>
      <w:r w:rsidR="00DA4453" w:rsidRPr="00DA4453">
        <w:rPr>
          <w:rFonts w:ascii="Times New Roman" w:eastAsia="宋体" w:hAnsi="Times New Roman" w:cs="Times New Roman"/>
          <w:color w:val="000000"/>
          <w:kern w:val="0"/>
          <w:szCs w:val="21"/>
        </w:rPr>
        <w:t>Statistical comparisons were performed using a two-tailed Student’s t test. Data are presented as mean ± SD. *p &lt; 0.05</w:t>
      </w:r>
      <w:r w:rsidRPr="00C65EAF">
        <w:rPr>
          <w:rFonts w:ascii="Times New Roman" w:eastAsia="宋体" w:hAnsi="Times New Roman" w:cs="Times New Roman" w:hint="eastAsia"/>
          <w:szCs w:val="21"/>
        </w:rPr>
        <w:t>.</w:t>
      </w:r>
    </w:p>
    <w:p w14:paraId="64E2963E" w14:textId="77777777" w:rsidR="00C65EAF" w:rsidRPr="000654DD" w:rsidRDefault="00C65EAF" w:rsidP="00C65EAF">
      <w:pPr>
        <w:rPr>
          <w:rFonts w:ascii="Times New Roman" w:hAnsi="Times New Roman" w:cs="Times New Roman"/>
          <w:b/>
          <w:bCs/>
          <w:color w:val="FF0000"/>
          <w:sz w:val="24"/>
          <w:szCs w:val="24"/>
        </w:rPr>
      </w:pPr>
    </w:p>
    <w:p w14:paraId="72E2F5F5" w14:textId="6A4CACA8" w:rsidR="00285E7B" w:rsidRDefault="00285E7B">
      <w:pPr>
        <w:widowControl/>
        <w:jc w:val="left"/>
        <w:rPr>
          <w:rFonts w:ascii="Times New Roman" w:hAnsi="Times New Roman" w:cs="Times New Roman"/>
          <w:szCs w:val="21"/>
        </w:rPr>
      </w:pPr>
      <w:r>
        <w:rPr>
          <w:rFonts w:ascii="Times New Roman" w:hAnsi="Times New Roman" w:cs="Times New Roman"/>
          <w:szCs w:val="21"/>
        </w:rPr>
        <w:br w:type="page"/>
      </w:r>
    </w:p>
    <w:p w14:paraId="1A8893BB" w14:textId="5B66FC14" w:rsidR="001333DA" w:rsidRDefault="007156A7" w:rsidP="00817FC8">
      <w:pPr>
        <w:rPr>
          <w:rFonts w:ascii="Times New Roman" w:hAnsi="Times New Roman" w:cs="Times New Roman"/>
          <w:szCs w:val="21"/>
        </w:rPr>
      </w:pPr>
      <w:r>
        <w:rPr>
          <w:rFonts w:ascii="Times New Roman" w:hAnsi="Times New Roman" w:cs="Times New Roman"/>
          <w:noProof/>
          <w:szCs w:val="21"/>
        </w:rPr>
        <w:lastRenderedPageBreak/>
        <w:drawing>
          <wp:inline distT="0" distB="0" distL="0" distR="0" wp14:anchorId="18E17EA8" wp14:editId="2D249792">
            <wp:extent cx="5274310" cy="6211570"/>
            <wp:effectExtent l="0" t="0" r="2540" b="0"/>
            <wp:docPr id="19961088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108880" name="图片 1996108880"/>
                    <pic:cNvPicPr/>
                  </pic:nvPicPr>
                  <pic:blipFill>
                    <a:blip r:embed="rId10"/>
                    <a:stretch>
                      <a:fillRect/>
                    </a:stretch>
                  </pic:blipFill>
                  <pic:spPr>
                    <a:xfrm>
                      <a:off x="0" y="0"/>
                      <a:ext cx="5274310" cy="6211570"/>
                    </a:xfrm>
                    <a:prstGeom prst="rect">
                      <a:avLst/>
                    </a:prstGeom>
                  </pic:spPr>
                </pic:pic>
              </a:graphicData>
            </a:graphic>
          </wp:inline>
        </w:drawing>
      </w:r>
    </w:p>
    <w:p w14:paraId="5093225F" w14:textId="77777777" w:rsidR="00C958ED" w:rsidRDefault="00C958ED" w:rsidP="00817FC8">
      <w:pPr>
        <w:rPr>
          <w:rFonts w:ascii="Times New Roman" w:hAnsi="Times New Roman" w:cs="Times New Roman"/>
          <w:szCs w:val="21"/>
        </w:rPr>
      </w:pPr>
    </w:p>
    <w:p w14:paraId="4CDBFF6E" w14:textId="332D9C76" w:rsidR="00A83900" w:rsidRDefault="00A83900" w:rsidP="00A83900">
      <w:pPr>
        <w:rPr>
          <w:rFonts w:ascii="Times New Roman" w:hAnsi="Times New Roman" w:cs="Times New Roman"/>
          <w:b/>
          <w:bCs/>
          <w:sz w:val="24"/>
          <w:szCs w:val="24"/>
        </w:rPr>
      </w:pPr>
      <w:r w:rsidRPr="00EE2A2B">
        <w:rPr>
          <w:rFonts w:ascii="Times New Roman" w:hAnsi="Times New Roman" w:cs="Times New Roman"/>
          <w:b/>
          <w:bCs/>
          <w:sz w:val="24"/>
          <w:szCs w:val="24"/>
        </w:rPr>
        <w:t xml:space="preserve">Supplemental Figure </w:t>
      </w:r>
      <w:r>
        <w:rPr>
          <w:rFonts w:ascii="Times New Roman" w:hAnsi="Times New Roman" w:cs="Times New Roman" w:hint="eastAsia"/>
          <w:b/>
          <w:bCs/>
          <w:sz w:val="24"/>
          <w:szCs w:val="24"/>
        </w:rPr>
        <w:t>5</w:t>
      </w:r>
      <w:r>
        <w:rPr>
          <w:rFonts w:ascii="Times New Roman" w:hAnsi="Times New Roman" w:cs="Times New Roman"/>
          <w:b/>
          <w:bCs/>
          <w:sz w:val="24"/>
          <w:szCs w:val="24"/>
        </w:rPr>
        <w:t>.</w:t>
      </w:r>
      <w:r w:rsidRPr="00FC26CB">
        <w:rPr>
          <w:rFonts w:ascii="Times New Roman" w:hAnsi="Times New Roman" w:cs="Times New Roman"/>
          <w:b/>
          <w:bCs/>
          <w:sz w:val="24"/>
          <w:szCs w:val="24"/>
        </w:rPr>
        <w:t xml:space="preserve"> </w:t>
      </w:r>
      <w:r w:rsidR="00557BB5" w:rsidRPr="00557BB5">
        <w:rPr>
          <w:rFonts w:ascii="Times New Roman" w:hAnsi="Times New Roman" w:cs="Times New Roman"/>
          <w:b/>
          <w:bCs/>
          <w:sz w:val="24"/>
          <w:szCs w:val="24"/>
        </w:rPr>
        <w:t>TRIM21 is identified as the primary E3 ligase linking ALDH2 to GLUT1 K48 ubiquitination</w:t>
      </w:r>
      <w:r>
        <w:rPr>
          <w:rFonts w:ascii="Times New Roman" w:hAnsi="Times New Roman" w:cs="Times New Roman"/>
          <w:b/>
          <w:bCs/>
          <w:sz w:val="24"/>
          <w:szCs w:val="24"/>
        </w:rPr>
        <w:t xml:space="preserve"> </w:t>
      </w:r>
    </w:p>
    <w:p w14:paraId="5732C254" w14:textId="5C37AD57" w:rsidR="00227D43" w:rsidRDefault="00606C0D" w:rsidP="00A83900">
      <w:pPr>
        <w:rPr>
          <w:rFonts w:ascii="Times New Roman" w:eastAsia="宋体" w:hAnsi="Times New Roman" w:cs="Times New Roman"/>
          <w:szCs w:val="21"/>
        </w:rPr>
      </w:pPr>
      <w:r w:rsidRPr="00606C0D">
        <w:rPr>
          <w:rFonts w:ascii="Times New Roman" w:eastAsia="宋体" w:hAnsi="Times New Roman" w:cs="Times New Roman"/>
          <w:b/>
          <w:bCs/>
          <w:szCs w:val="21"/>
        </w:rPr>
        <w:t xml:space="preserve">(A–B) </w:t>
      </w:r>
      <w:r w:rsidRPr="00606C0D">
        <w:rPr>
          <w:rFonts w:ascii="Times New Roman" w:eastAsia="宋体" w:hAnsi="Times New Roman" w:cs="Times New Roman"/>
          <w:szCs w:val="21"/>
        </w:rPr>
        <w:t xml:space="preserve">Mass spectrometry (MS) analysis of proteins co-immunoprecipitated with GLUT1 (A) or ALDH2 (B), identifying candidate E3 ligases and </w:t>
      </w:r>
      <w:proofErr w:type="spellStart"/>
      <w:r w:rsidRPr="00606C0D">
        <w:rPr>
          <w:rFonts w:ascii="Times New Roman" w:eastAsia="宋体" w:hAnsi="Times New Roman" w:cs="Times New Roman"/>
          <w:szCs w:val="21"/>
        </w:rPr>
        <w:t>deubiquitinases</w:t>
      </w:r>
      <w:proofErr w:type="spellEnd"/>
      <w:r w:rsidRPr="00606C0D">
        <w:rPr>
          <w:rFonts w:ascii="Times New Roman" w:eastAsia="宋体" w:hAnsi="Times New Roman" w:cs="Times New Roman"/>
          <w:szCs w:val="21"/>
        </w:rPr>
        <w:t xml:space="preserve"> (DUBs).</w:t>
      </w:r>
      <w:r w:rsidR="00A83900" w:rsidRPr="00A83900">
        <w:rPr>
          <w:rFonts w:ascii="Times New Roman" w:eastAsia="宋体" w:hAnsi="Times New Roman" w:cs="Times New Roman"/>
          <w:b/>
          <w:bCs/>
          <w:szCs w:val="21"/>
        </w:rPr>
        <w:t xml:space="preserve"> </w:t>
      </w:r>
      <w:r w:rsidR="00A83900" w:rsidRPr="00A83900">
        <w:rPr>
          <w:rFonts w:ascii="Times New Roman" w:hAnsi="Times New Roman" w:cs="Times New Roman"/>
          <w:b/>
          <w:bCs/>
          <w:szCs w:val="21"/>
        </w:rPr>
        <w:t>(C)</w:t>
      </w:r>
      <w:r w:rsidR="00A83900" w:rsidRPr="00A83900">
        <w:rPr>
          <w:rFonts w:ascii="Times New Roman" w:eastAsia="宋体" w:hAnsi="Times New Roman" w:cs="Times New Roman"/>
          <w:szCs w:val="21"/>
        </w:rPr>
        <w:t xml:space="preserve"> </w:t>
      </w:r>
      <w:r w:rsidR="007B5D8D" w:rsidRPr="007B5D8D">
        <w:rPr>
          <w:rFonts w:ascii="Times New Roman" w:eastAsia="宋体" w:hAnsi="Times New Roman" w:cs="Times New Roman"/>
          <w:szCs w:val="21"/>
        </w:rPr>
        <w:t>Ubiquitination assay in LPC-H12 cells overexpressing candidate E3 ligases. Ubiquitinated GLUT1 was detected by IP using an anti-GLUT1 antibody following MG132 treatment (10 μM, 6 h).</w:t>
      </w:r>
      <w:r w:rsidR="00A83900" w:rsidRPr="00A83900">
        <w:rPr>
          <w:rFonts w:ascii="Times New Roman" w:eastAsia="宋体" w:hAnsi="Times New Roman" w:cs="Times New Roman"/>
          <w:b/>
          <w:bCs/>
          <w:szCs w:val="21"/>
        </w:rPr>
        <w:t xml:space="preserve"> (</w:t>
      </w:r>
      <w:r w:rsidR="00A83900" w:rsidRPr="00A83900">
        <w:rPr>
          <w:rFonts w:ascii="Times New Roman" w:eastAsia="宋体" w:hAnsi="Times New Roman" w:cs="Times New Roman" w:hint="eastAsia"/>
          <w:b/>
          <w:bCs/>
          <w:szCs w:val="21"/>
        </w:rPr>
        <w:t>D</w:t>
      </w:r>
      <w:r w:rsidR="00A83900" w:rsidRPr="00A83900">
        <w:rPr>
          <w:rFonts w:ascii="Times New Roman" w:eastAsia="宋体" w:hAnsi="Times New Roman" w:cs="Times New Roman"/>
          <w:b/>
          <w:bCs/>
          <w:szCs w:val="21"/>
        </w:rPr>
        <w:t xml:space="preserve">) </w:t>
      </w:r>
      <w:r w:rsidR="00026FA2" w:rsidRPr="00026FA2">
        <w:rPr>
          <w:rFonts w:ascii="Times New Roman" w:eastAsia="宋体" w:hAnsi="Times New Roman" w:cs="Times New Roman"/>
          <w:szCs w:val="21"/>
        </w:rPr>
        <w:t xml:space="preserve">Co-immunoprecipitation assay assessing the interaction between TRIM21 and GLUT1 in 293T cells co-transfected with HA-tagged TRIM21 and V5-tagged GLUT1. </w:t>
      </w:r>
      <w:r w:rsidR="00A83900" w:rsidRPr="00A83900">
        <w:rPr>
          <w:rFonts w:ascii="Times New Roman" w:eastAsia="宋体" w:hAnsi="Times New Roman" w:cs="Times New Roman"/>
          <w:b/>
          <w:bCs/>
          <w:szCs w:val="21"/>
        </w:rPr>
        <w:t>(</w:t>
      </w:r>
      <w:r w:rsidR="00A83900" w:rsidRPr="00A83900">
        <w:rPr>
          <w:rFonts w:ascii="Times New Roman" w:eastAsia="宋体" w:hAnsi="Times New Roman" w:cs="Times New Roman" w:hint="eastAsia"/>
          <w:b/>
          <w:bCs/>
          <w:szCs w:val="21"/>
        </w:rPr>
        <w:t>E</w:t>
      </w:r>
      <w:r w:rsidR="00A83900" w:rsidRPr="00A83900">
        <w:rPr>
          <w:rFonts w:ascii="Times New Roman" w:eastAsia="宋体" w:hAnsi="Times New Roman" w:cs="Times New Roman"/>
          <w:b/>
          <w:bCs/>
          <w:szCs w:val="21"/>
        </w:rPr>
        <w:t xml:space="preserve">) </w:t>
      </w:r>
      <w:r w:rsidR="00713B77" w:rsidRPr="00713B77">
        <w:rPr>
          <w:rFonts w:ascii="Times New Roman" w:eastAsia="宋体" w:hAnsi="Times New Roman" w:cs="Times New Roman"/>
          <w:szCs w:val="21"/>
        </w:rPr>
        <w:t>Co-immunoprecipitation assay examining the interaction between TRIM21 and either wild-type or rs671 ALDH2 in 293T cells co-transfected with HA-tagged TRIM21, FLAG-tagged ALDH2, or FLAG-tagged rs671 variant.</w:t>
      </w:r>
      <w:r w:rsidR="00A83900" w:rsidRPr="00A83900">
        <w:rPr>
          <w:rFonts w:ascii="Times New Roman" w:eastAsia="宋体" w:hAnsi="Times New Roman" w:cs="Times New Roman"/>
          <w:b/>
          <w:bCs/>
          <w:szCs w:val="21"/>
        </w:rPr>
        <w:t xml:space="preserve"> (</w:t>
      </w:r>
      <w:r w:rsidR="00A83900" w:rsidRPr="00A83900">
        <w:rPr>
          <w:rFonts w:ascii="Times New Roman" w:eastAsia="宋体" w:hAnsi="Times New Roman" w:cs="Times New Roman" w:hint="eastAsia"/>
          <w:b/>
          <w:bCs/>
          <w:szCs w:val="21"/>
        </w:rPr>
        <w:t>F</w:t>
      </w:r>
      <w:r w:rsidR="00A83900" w:rsidRPr="00A83900">
        <w:rPr>
          <w:rFonts w:ascii="Times New Roman" w:eastAsia="宋体" w:hAnsi="Times New Roman" w:cs="Times New Roman"/>
          <w:b/>
          <w:bCs/>
          <w:szCs w:val="21"/>
        </w:rPr>
        <w:t>)</w:t>
      </w:r>
      <w:r w:rsidR="00A83900" w:rsidRPr="00A83900">
        <w:rPr>
          <w:szCs w:val="21"/>
        </w:rPr>
        <w:t xml:space="preserve"> </w:t>
      </w:r>
      <w:r w:rsidR="009843B7" w:rsidRPr="009843B7">
        <w:rPr>
          <w:rFonts w:ascii="Times New Roman" w:eastAsia="宋体" w:hAnsi="Times New Roman" w:cs="Times New Roman"/>
          <w:szCs w:val="21"/>
        </w:rPr>
        <w:t>Endogenous ALDH2–TRIM21–GLUT1 complex was assessed by co-immunoprecipitation in LPC-</w:t>
      </w:r>
      <w:r w:rsidR="009843B7" w:rsidRPr="009843B7">
        <w:rPr>
          <w:rFonts w:ascii="Times New Roman" w:eastAsia="宋体" w:hAnsi="Times New Roman" w:cs="Times New Roman"/>
          <w:szCs w:val="21"/>
        </w:rPr>
        <w:lastRenderedPageBreak/>
        <w:t>H12 cells.</w:t>
      </w:r>
      <w:r w:rsidR="00A83900" w:rsidRPr="00A83900">
        <w:rPr>
          <w:rFonts w:ascii="Times New Roman" w:eastAsia="宋体" w:hAnsi="Times New Roman" w:cs="Times New Roman"/>
          <w:b/>
          <w:bCs/>
          <w:szCs w:val="21"/>
        </w:rPr>
        <w:t xml:space="preserve"> (</w:t>
      </w:r>
      <w:r w:rsidR="00A83900" w:rsidRPr="00A83900">
        <w:rPr>
          <w:rFonts w:ascii="Times New Roman" w:eastAsia="宋体" w:hAnsi="Times New Roman" w:cs="Times New Roman" w:hint="eastAsia"/>
          <w:b/>
          <w:bCs/>
          <w:szCs w:val="21"/>
        </w:rPr>
        <w:t>G</w:t>
      </w:r>
      <w:r w:rsidR="00A83900" w:rsidRPr="00A83900">
        <w:rPr>
          <w:rFonts w:ascii="Times New Roman" w:eastAsia="宋体" w:hAnsi="Times New Roman" w:cs="Times New Roman"/>
          <w:b/>
          <w:bCs/>
          <w:szCs w:val="21"/>
        </w:rPr>
        <w:t>)</w:t>
      </w:r>
      <w:r w:rsidR="00A83900" w:rsidRPr="00A83900">
        <w:rPr>
          <w:szCs w:val="21"/>
        </w:rPr>
        <w:t xml:space="preserve"> </w:t>
      </w:r>
      <w:r w:rsidR="009843B7" w:rsidRPr="009843B7">
        <w:rPr>
          <w:rFonts w:ascii="Times New Roman" w:eastAsia="宋体" w:hAnsi="Times New Roman" w:cs="Times New Roman"/>
          <w:szCs w:val="21"/>
        </w:rPr>
        <w:t xml:space="preserve">Endogenous co-immunoprecipitation of ALDH2, TRIM21, and GLUT1 in paired tumor and adjacent non-tumor tissues from HCC patients. </w:t>
      </w:r>
      <w:r w:rsidR="00A83900" w:rsidRPr="00A83900">
        <w:rPr>
          <w:rFonts w:ascii="Times New Roman" w:eastAsia="宋体" w:hAnsi="Times New Roman" w:cs="Times New Roman"/>
          <w:b/>
          <w:bCs/>
          <w:szCs w:val="21"/>
        </w:rPr>
        <w:t>(</w:t>
      </w:r>
      <w:r w:rsidR="00A83900" w:rsidRPr="00A83900">
        <w:rPr>
          <w:rFonts w:ascii="Times New Roman" w:eastAsia="宋体" w:hAnsi="Times New Roman" w:cs="Times New Roman" w:hint="eastAsia"/>
          <w:b/>
          <w:bCs/>
          <w:szCs w:val="21"/>
        </w:rPr>
        <w:t>H</w:t>
      </w:r>
      <w:r w:rsidR="00A83900" w:rsidRPr="00A83900">
        <w:rPr>
          <w:rFonts w:ascii="Times New Roman" w:eastAsia="宋体" w:hAnsi="Times New Roman" w:cs="Times New Roman"/>
          <w:b/>
          <w:bCs/>
          <w:szCs w:val="21"/>
        </w:rPr>
        <w:t xml:space="preserve">) </w:t>
      </w:r>
      <w:r w:rsidR="001D615E" w:rsidRPr="001D615E">
        <w:rPr>
          <w:rFonts w:ascii="Times New Roman" w:eastAsia="宋体" w:hAnsi="Times New Roman" w:cs="Times New Roman"/>
          <w:szCs w:val="21"/>
        </w:rPr>
        <w:t>Ubiquitination assays in 293T cells transfected with V5-tagged GLUT1, HA-tagged TRIM21, and HA-tagged ubiquitin constructs carrying individual lysine mutations (K6, K11, K27, K29, or K33). Cells were treated with MG132 (10 μM, 6 h) before harvest.</w:t>
      </w:r>
    </w:p>
    <w:p w14:paraId="4A051258" w14:textId="22F28824" w:rsidR="008833A9" w:rsidRPr="00227D43" w:rsidRDefault="00227D43" w:rsidP="00227D43">
      <w:pPr>
        <w:widowControl/>
        <w:jc w:val="left"/>
        <w:rPr>
          <w:rFonts w:ascii="Times New Roman" w:eastAsia="宋体" w:hAnsi="Times New Roman" w:cs="Times New Roman"/>
          <w:szCs w:val="21"/>
        </w:rPr>
      </w:pPr>
      <w:r>
        <w:rPr>
          <w:rFonts w:ascii="Times New Roman" w:eastAsia="宋体" w:hAnsi="Times New Roman" w:cs="Times New Roman"/>
          <w:szCs w:val="21"/>
        </w:rPr>
        <w:br w:type="page"/>
      </w:r>
    </w:p>
    <w:p w14:paraId="31DA83AD" w14:textId="662A07EF" w:rsidR="005B7468" w:rsidRDefault="005961E9" w:rsidP="009A5F42">
      <w:pPr>
        <w:widowControl/>
        <w:jc w:val="left"/>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757F531B" wp14:editId="51378E64">
            <wp:extent cx="5274310" cy="6045835"/>
            <wp:effectExtent l="0" t="0" r="2540" b="0"/>
            <wp:docPr id="10031751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75175" name="图片 1003175175"/>
                    <pic:cNvPicPr/>
                  </pic:nvPicPr>
                  <pic:blipFill>
                    <a:blip r:embed="rId11"/>
                    <a:stretch>
                      <a:fillRect/>
                    </a:stretch>
                  </pic:blipFill>
                  <pic:spPr>
                    <a:xfrm>
                      <a:off x="0" y="0"/>
                      <a:ext cx="5274310" cy="6045835"/>
                    </a:xfrm>
                    <a:prstGeom prst="rect">
                      <a:avLst/>
                    </a:prstGeom>
                  </pic:spPr>
                </pic:pic>
              </a:graphicData>
            </a:graphic>
          </wp:inline>
        </w:drawing>
      </w:r>
    </w:p>
    <w:p w14:paraId="12DEF13C" w14:textId="13D1B8B6" w:rsidR="002013C5" w:rsidRPr="002013C5" w:rsidRDefault="007A2C35" w:rsidP="002013C5">
      <w:pPr>
        <w:widowControl/>
        <w:jc w:val="left"/>
        <w:rPr>
          <w:rFonts w:ascii="Times New Roman" w:hAnsi="Times New Roman" w:cs="Times New Roman"/>
          <w:b/>
          <w:bCs/>
          <w:sz w:val="24"/>
          <w:szCs w:val="24"/>
        </w:rPr>
      </w:pPr>
      <w:r w:rsidRPr="00EE2A2B">
        <w:rPr>
          <w:rFonts w:ascii="Times New Roman" w:hAnsi="Times New Roman" w:cs="Times New Roman"/>
          <w:b/>
          <w:bCs/>
          <w:sz w:val="24"/>
          <w:szCs w:val="24"/>
        </w:rPr>
        <w:t xml:space="preserve">Supplemental Figure </w:t>
      </w:r>
      <w:r>
        <w:rPr>
          <w:rFonts w:ascii="Times New Roman" w:hAnsi="Times New Roman" w:cs="Times New Roman" w:hint="eastAsia"/>
          <w:b/>
          <w:bCs/>
          <w:sz w:val="24"/>
          <w:szCs w:val="24"/>
        </w:rPr>
        <w:t xml:space="preserve">6. </w:t>
      </w:r>
      <w:r w:rsidR="007E523E" w:rsidRPr="007E523E">
        <w:rPr>
          <w:rFonts w:ascii="Times New Roman" w:hAnsi="Times New Roman" w:cs="Times New Roman"/>
          <w:b/>
          <w:bCs/>
          <w:sz w:val="24"/>
          <w:szCs w:val="24"/>
        </w:rPr>
        <w:t>Pharmacological inhibition of GLUT1 suppresses ALDH2 deficiency–driven hepatocarcinogenesis in the DEN-induced mouse model</w:t>
      </w:r>
    </w:p>
    <w:p w14:paraId="304564C7" w14:textId="038FFDFA" w:rsidR="003D33BE" w:rsidRPr="005E24B7" w:rsidRDefault="002013C5" w:rsidP="00BA3A50">
      <w:pPr>
        <w:widowControl/>
        <w:jc w:val="left"/>
        <w:rPr>
          <w:rFonts w:ascii="Times New Roman" w:hAnsi="Times New Roman" w:cs="Times New Roman"/>
          <w:szCs w:val="21"/>
        </w:rPr>
      </w:pPr>
      <w:r w:rsidRPr="005E24B7">
        <w:rPr>
          <w:rFonts w:ascii="Times New Roman" w:hAnsi="Times New Roman" w:cs="Times New Roman"/>
          <w:b/>
          <w:bCs/>
          <w:szCs w:val="21"/>
        </w:rPr>
        <w:t xml:space="preserve">(A) </w:t>
      </w:r>
      <w:r w:rsidR="0013087C" w:rsidRPr="005E24B7">
        <w:rPr>
          <w:rFonts w:ascii="Times New Roman" w:hAnsi="Times New Roman" w:cs="Times New Roman"/>
          <w:szCs w:val="21"/>
        </w:rPr>
        <w:t>Schematic representation of the experimental design in wild-type (WT) and ALDH2-knockout (AKO) mice subjected to DEN-induced hepatocarcinogenesis. Mice received daily oral administration of vehicle or BAY-876 (</w:t>
      </w:r>
      <w:r w:rsidR="006D6722" w:rsidRPr="005E24B7">
        <w:rPr>
          <w:rFonts w:ascii="Times New Roman" w:hAnsi="Times New Roman" w:cs="Times New Roman"/>
          <w:szCs w:val="21"/>
        </w:rPr>
        <w:t>5</w:t>
      </w:r>
      <w:r w:rsidR="0013087C" w:rsidRPr="005E24B7">
        <w:rPr>
          <w:rFonts w:ascii="Times New Roman" w:hAnsi="Times New Roman" w:cs="Times New Roman"/>
          <w:szCs w:val="21"/>
        </w:rPr>
        <w:t xml:space="preserve"> mg/kg) starting at postnatal week 28 and were sacrificed at week 32. </w:t>
      </w:r>
      <w:r w:rsidRPr="005E24B7">
        <w:rPr>
          <w:rFonts w:ascii="Times New Roman" w:hAnsi="Times New Roman" w:cs="Times New Roman"/>
          <w:b/>
          <w:bCs/>
          <w:szCs w:val="21"/>
        </w:rPr>
        <w:t>(B)</w:t>
      </w:r>
      <w:r w:rsidRPr="005E24B7">
        <w:rPr>
          <w:rFonts w:ascii="Times New Roman" w:hAnsi="Times New Roman" w:cs="Times New Roman"/>
          <w:szCs w:val="21"/>
        </w:rPr>
        <w:t xml:space="preserve"> Representative images of livers </w:t>
      </w:r>
      <w:r w:rsidR="0013087C" w:rsidRPr="005E24B7">
        <w:rPr>
          <w:rFonts w:ascii="Times New Roman" w:hAnsi="Times New Roman" w:cs="Times New Roman"/>
          <w:szCs w:val="21"/>
        </w:rPr>
        <w:t xml:space="preserve">and H&amp;E staining </w:t>
      </w:r>
      <w:r w:rsidR="00186B69" w:rsidRPr="005E24B7">
        <w:rPr>
          <w:rFonts w:ascii="Times New Roman" w:hAnsi="Times New Roman" w:cs="Times New Roman"/>
          <w:szCs w:val="21"/>
        </w:rPr>
        <w:t xml:space="preserve">tumor sections </w:t>
      </w:r>
      <w:r w:rsidRPr="005E24B7">
        <w:rPr>
          <w:rFonts w:ascii="Times New Roman" w:hAnsi="Times New Roman" w:cs="Times New Roman"/>
          <w:szCs w:val="21"/>
        </w:rPr>
        <w:t xml:space="preserve">from WT and AKO mice. Scale bar: 210 μm; N, normal; T, tumor. </w:t>
      </w:r>
      <w:r w:rsidRPr="005E24B7">
        <w:rPr>
          <w:rFonts w:ascii="Times New Roman" w:hAnsi="Times New Roman" w:cs="Times New Roman"/>
          <w:b/>
          <w:bCs/>
          <w:szCs w:val="21"/>
        </w:rPr>
        <w:t>(C-D)</w:t>
      </w:r>
      <w:r w:rsidRPr="005E24B7">
        <w:rPr>
          <w:rFonts w:ascii="Times New Roman" w:hAnsi="Times New Roman" w:cs="Times New Roman"/>
          <w:szCs w:val="21"/>
        </w:rPr>
        <w:t xml:space="preserve"> Quantification of </w:t>
      </w:r>
      <w:r w:rsidR="00C80557" w:rsidRPr="005E24B7">
        <w:rPr>
          <w:rFonts w:ascii="Times New Roman" w:hAnsi="Times New Roman" w:cs="Times New Roman"/>
          <w:szCs w:val="21"/>
        </w:rPr>
        <w:t xml:space="preserve">visible tumor </w:t>
      </w:r>
      <w:r w:rsidRPr="005E24B7">
        <w:rPr>
          <w:rFonts w:ascii="Times New Roman" w:hAnsi="Times New Roman" w:cs="Times New Roman"/>
          <w:szCs w:val="21"/>
        </w:rPr>
        <w:t xml:space="preserve">number and </w:t>
      </w:r>
      <w:r w:rsidR="00817819" w:rsidRPr="005E24B7">
        <w:rPr>
          <w:rFonts w:ascii="Times New Roman" w:hAnsi="Times New Roman" w:cs="Times New Roman"/>
          <w:szCs w:val="21"/>
        </w:rPr>
        <w:t xml:space="preserve">total tumor </w:t>
      </w:r>
      <w:r w:rsidRPr="005E24B7">
        <w:rPr>
          <w:rFonts w:ascii="Times New Roman" w:hAnsi="Times New Roman" w:cs="Times New Roman"/>
          <w:szCs w:val="21"/>
        </w:rPr>
        <w:t xml:space="preserve">volume on liver surface in WT and AKO groups (n=6 per group) </w:t>
      </w:r>
      <w:r w:rsidRPr="005E24B7">
        <w:rPr>
          <w:rFonts w:ascii="Times New Roman" w:hAnsi="Times New Roman" w:cs="Times New Roman"/>
          <w:b/>
          <w:bCs/>
          <w:szCs w:val="21"/>
        </w:rPr>
        <w:t>(E)</w:t>
      </w:r>
      <w:r w:rsidRPr="005E24B7">
        <w:rPr>
          <w:rFonts w:ascii="Times New Roman" w:hAnsi="Times New Roman" w:cs="Times New Roman"/>
          <w:szCs w:val="21"/>
        </w:rPr>
        <w:t xml:space="preserve"> </w:t>
      </w:r>
      <w:r w:rsidR="00414F86" w:rsidRPr="005E24B7">
        <w:rPr>
          <w:rFonts w:ascii="Times New Roman" w:hAnsi="Times New Roman" w:cs="Times New Roman"/>
          <w:szCs w:val="21"/>
        </w:rPr>
        <w:t>Fractional enrichment of glycolytic metabolites derived from [U-¹³C₆]-glucose in liver tissues from WT and AKO mice.</w:t>
      </w:r>
      <w:r w:rsidRPr="005E24B7">
        <w:rPr>
          <w:rFonts w:ascii="Times New Roman" w:hAnsi="Times New Roman" w:cs="Times New Roman"/>
          <w:szCs w:val="21"/>
        </w:rPr>
        <w:t xml:space="preserve"> </w:t>
      </w:r>
      <w:r w:rsidR="00BA3A50" w:rsidRPr="005E24B7">
        <w:rPr>
          <w:rFonts w:ascii="Times New Roman" w:hAnsi="Times New Roman" w:cs="Times New Roman"/>
          <w:b/>
          <w:bCs/>
          <w:szCs w:val="21"/>
        </w:rPr>
        <w:t>(F)</w:t>
      </w:r>
      <w:r w:rsidR="00BA3A50" w:rsidRPr="005E24B7">
        <w:rPr>
          <w:rFonts w:ascii="Times New Roman" w:hAnsi="Times New Roman" w:cs="Times New Roman"/>
          <w:szCs w:val="21"/>
        </w:rPr>
        <w:t xml:space="preserve"> Schematic of the experimental workflow in WT and ALDH2 rs671 knock-in mice following DEN induction and BAY-876 treatment. </w:t>
      </w:r>
      <w:r w:rsidR="00BA3A50" w:rsidRPr="005E24B7">
        <w:rPr>
          <w:rFonts w:ascii="Times New Roman" w:hAnsi="Times New Roman" w:cs="Times New Roman"/>
          <w:b/>
          <w:bCs/>
          <w:szCs w:val="21"/>
        </w:rPr>
        <w:t>(G)</w:t>
      </w:r>
      <w:r w:rsidR="00BA3A50" w:rsidRPr="005E24B7">
        <w:rPr>
          <w:rFonts w:ascii="Times New Roman" w:hAnsi="Times New Roman" w:cs="Times New Roman"/>
          <w:szCs w:val="21"/>
        </w:rPr>
        <w:t xml:space="preserve"> Representative liver images and H&amp;E staining from WT and rs671 mice. Scale bar, 210 μm. N, normal; T, tumor. </w:t>
      </w:r>
      <w:r w:rsidR="00BA3A50" w:rsidRPr="005E24B7">
        <w:rPr>
          <w:rFonts w:ascii="Times New Roman" w:hAnsi="Times New Roman" w:cs="Times New Roman"/>
          <w:b/>
          <w:bCs/>
          <w:szCs w:val="21"/>
        </w:rPr>
        <w:t>(H, I)</w:t>
      </w:r>
      <w:r w:rsidR="00BA3A50" w:rsidRPr="005E24B7">
        <w:rPr>
          <w:rFonts w:ascii="Times New Roman" w:hAnsi="Times New Roman" w:cs="Times New Roman"/>
          <w:szCs w:val="21"/>
        </w:rPr>
        <w:t xml:space="preserve"> Quantification of </w:t>
      </w:r>
      <w:r w:rsidR="00BA3A50" w:rsidRPr="005E24B7">
        <w:rPr>
          <w:rFonts w:ascii="Times New Roman" w:hAnsi="Times New Roman" w:cs="Times New Roman"/>
          <w:szCs w:val="21"/>
        </w:rPr>
        <w:lastRenderedPageBreak/>
        <w:t xml:space="preserve">tumor volume and visible tumor number in WT and rs671 groups (n = 7 in WT-vehicle, n = 9 in rs671-vehicle, n = 10 in WT–BAY-876, and n = 10 in rs671–BAY-876 groups). </w:t>
      </w:r>
      <w:r w:rsidR="00BA3A50" w:rsidRPr="005E24B7">
        <w:rPr>
          <w:rFonts w:ascii="Times New Roman" w:hAnsi="Times New Roman" w:cs="Times New Roman"/>
          <w:b/>
          <w:bCs/>
          <w:szCs w:val="21"/>
        </w:rPr>
        <w:t>(J)</w:t>
      </w:r>
      <w:r w:rsidR="00BA3A50" w:rsidRPr="005E24B7">
        <w:rPr>
          <w:rFonts w:ascii="Times New Roman" w:hAnsi="Times New Roman" w:cs="Times New Roman"/>
          <w:szCs w:val="21"/>
        </w:rPr>
        <w:t xml:space="preserve"> Fractional labeling of glycolytic metabolites from [U-¹³C₆]-glucose in liver tissues (n = 5 in WT-vehicle, n = 6 in rs671-vehicle, n = 7 in WT–BAY-876, and n = 5 in rs671–BAY-876 groups</w:t>
      </w:r>
      <w:r w:rsidR="00E27DF7" w:rsidRPr="005E24B7">
        <w:rPr>
          <w:rFonts w:ascii="Times New Roman" w:hAnsi="Times New Roman" w:cs="Times New Roman"/>
          <w:szCs w:val="21"/>
        </w:rPr>
        <w:t>). Statistical</w:t>
      </w:r>
      <w:r w:rsidRPr="005E24B7">
        <w:rPr>
          <w:rFonts w:ascii="Times New Roman" w:hAnsi="Times New Roman" w:cs="Times New Roman"/>
          <w:szCs w:val="21"/>
        </w:rPr>
        <w:t xml:space="preserve"> comparisons were </w:t>
      </w:r>
      <w:r w:rsidR="005F5215" w:rsidRPr="005E24B7">
        <w:rPr>
          <w:rFonts w:ascii="Times New Roman" w:hAnsi="Times New Roman" w:cs="Times New Roman"/>
          <w:szCs w:val="21"/>
        </w:rPr>
        <w:t>performed</w:t>
      </w:r>
      <w:r w:rsidRPr="005E24B7">
        <w:rPr>
          <w:rFonts w:ascii="Times New Roman" w:hAnsi="Times New Roman" w:cs="Times New Roman"/>
          <w:szCs w:val="21"/>
        </w:rPr>
        <w:t xml:space="preserve"> using one-way ANOVA. All data are presented as mean ± SD.*p &lt; 0.05, **p &lt; 0.01.</w:t>
      </w:r>
    </w:p>
    <w:p w14:paraId="15132779" w14:textId="77777777" w:rsidR="003D33BE" w:rsidRPr="005E24B7" w:rsidRDefault="003D33BE">
      <w:pPr>
        <w:widowControl/>
        <w:jc w:val="left"/>
        <w:rPr>
          <w:rFonts w:ascii="Times New Roman" w:hAnsi="Times New Roman" w:cs="Times New Roman"/>
          <w:szCs w:val="21"/>
        </w:rPr>
      </w:pPr>
      <w:r w:rsidRPr="005E24B7">
        <w:rPr>
          <w:rFonts w:ascii="Times New Roman" w:hAnsi="Times New Roman" w:cs="Times New Roman"/>
          <w:szCs w:val="21"/>
        </w:rPr>
        <w:br w:type="page"/>
      </w:r>
    </w:p>
    <w:p w14:paraId="3FC1A90F" w14:textId="715CF776" w:rsidR="004C6FF1" w:rsidRPr="00030479" w:rsidRDefault="008A72FE" w:rsidP="009A5F42">
      <w:pPr>
        <w:widowControl/>
        <w:jc w:val="left"/>
        <w:rPr>
          <w:rFonts w:ascii="Times New Roman" w:hAnsi="Times New Roman" w:cs="Times New Roman"/>
          <w:szCs w:val="21"/>
        </w:rPr>
      </w:pPr>
      <w:r>
        <w:rPr>
          <w:rFonts w:ascii="Times New Roman" w:hAnsi="Times New Roman" w:cs="Times New Roman"/>
          <w:noProof/>
          <w:szCs w:val="21"/>
        </w:rPr>
        <w:lastRenderedPageBreak/>
        <w:drawing>
          <wp:inline distT="0" distB="0" distL="0" distR="0" wp14:anchorId="168E6E6B" wp14:editId="564340FF">
            <wp:extent cx="5274310" cy="4308475"/>
            <wp:effectExtent l="0" t="0" r="2540" b="0"/>
            <wp:docPr id="17527833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783328" name="图片 1752783328"/>
                    <pic:cNvPicPr/>
                  </pic:nvPicPr>
                  <pic:blipFill>
                    <a:blip r:embed="rId12"/>
                    <a:stretch>
                      <a:fillRect/>
                    </a:stretch>
                  </pic:blipFill>
                  <pic:spPr>
                    <a:xfrm>
                      <a:off x="0" y="0"/>
                      <a:ext cx="5274310" cy="4308475"/>
                    </a:xfrm>
                    <a:prstGeom prst="rect">
                      <a:avLst/>
                    </a:prstGeom>
                  </pic:spPr>
                </pic:pic>
              </a:graphicData>
            </a:graphic>
          </wp:inline>
        </w:drawing>
      </w:r>
    </w:p>
    <w:p w14:paraId="22961232" w14:textId="0F4B97CB" w:rsidR="00777DF7" w:rsidRPr="00B915C0" w:rsidRDefault="00D51ECD" w:rsidP="00777DF7">
      <w:pPr>
        <w:rPr>
          <w:rFonts w:ascii="Times New Roman" w:eastAsia="宋体" w:hAnsi="Times New Roman" w:cs="Times New Roman"/>
          <w:b/>
          <w:bCs/>
          <w:szCs w:val="21"/>
        </w:rPr>
      </w:pPr>
      <w:r w:rsidRPr="00EE2A2B">
        <w:rPr>
          <w:rFonts w:ascii="Times New Roman" w:hAnsi="Times New Roman" w:cs="Times New Roman"/>
          <w:b/>
          <w:bCs/>
          <w:sz w:val="24"/>
          <w:szCs w:val="24"/>
        </w:rPr>
        <w:t xml:space="preserve">Supplemental Figure </w:t>
      </w:r>
      <w:r w:rsidR="005A1C34">
        <w:rPr>
          <w:rFonts w:ascii="Times New Roman" w:hAnsi="Times New Roman" w:cs="Times New Roman" w:hint="eastAsia"/>
          <w:b/>
          <w:bCs/>
          <w:sz w:val="24"/>
          <w:szCs w:val="24"/>
        </w:rPr>
        <w:t>7</w:t>
      </w:r>
      <w:r>
        <w:rPr>
          <w:rFonts w:ascii="Times New Roman" w:hAnsi="Times New Roman" w:cs="Times New Roman"/>
          <w:b/>
          <w:bCs/>
          <w:sz w:val="24"/>
          <w:szCs w:val="24"/>
        </w:rPr>
        <w:t xml:space="preserve">. </w:t>
      </w:r>
      <w:r w:rsidR="00850D39">
        <w:rPr>
          <w:rFonts w:ascii="Times New Roman" w:hAnsi="Times New Roman" w:cs="Times New Roman" w:hint="eastAsia"/>
          <w:b/>
          <w:bCs/>
          <w:sz w:val="24"/>
          <w:szCs w:val="24"/>
        </w:rPr>
        <w:t>E</w:t>
      </w:r>
      <w:r w:rsidR="00850D39" w:rsidRPr="00850D39">
        <w:rPr>
          <w:rFonts w:ascii="Times New Roman" w:hAnsi="Times New Roman" w:cs="Times New Roman"/>
          <w:b/>
          <w:bCs/>
          <w:sz w:val="24"/>
          <w:szCs w:val="24"/>
        </w:rPr>
        <w:t>ffects of GLUT1 inhibition on body weight, liver mass, and TCA cycle metabolism in DEN-treated A mice</w:t>
      </w:r>
      <w:r w:rsidR="00850D39">
        <w:rPr>
          <w:rFonts w:ascii="Times New Roman" w:hAnsi="Times New Roman" w:cs="Times New Roman" w:hint="eastAsia"/>
          <w:b/>
          <w:bCs/>
          <w:sz w:val="24"/>
          <w:szCs w:val="24"/>
        </w:rPr>
        <w:t xml:space="preserve"> model</w:t>
      </w:r>
      <w:r w:rsidR="00850D39" w:rsidRPr="00850D39">
        <w:rPr>
          <w:rFonts w:ascii="Times New Roman" w:hAnsi="Times New Roman" w:cs="Times New Roman"/>
          <w:b/>
          <w:bCs/>
          <w:sz w:val="24"/>
          <w:szCs w:val="24"/>
        </w:rPr>
        <w:t xml:space="preserve">. </w:t>
      </w:r>
      <w:r w:rsidR="00A904D3" w:rsidRPr="00B915C0">
        <w:rPr>
          <w:rFonts w:ascii="Times New Roman" w:eastAsia="宋体" w:hAnsi="Times New Roman" w:cs="Times New Roman"/>
          <w:b/>
          <w:bCs/>
          <w:szCs w:val="21"/>
        </w:rPr>
        <w:t>(</w:t>
      </w:r>
      <w:r w:rsidR="00A904D3" w:rsidRPr="00B915C0">
        <w:rPr>
          <w:rFonts w:ascii="Times New Roman" w:eastAsia="宋体" w:hAnsi="Times New Roman" w:cs="Times New Roman" w:hint="eastAsia"/>
          <w:b/>
          <w:bCs/>
          <w:szCs w:val="21"/>
        </w:rPr>
        <w:t>A</w:t>
      </w:r>
      <w:r w:rsidR="00A904D3" w:rsidRPr="00B915C0">
        <w:rPr>
          <w:rFonts w:ascii="Times New Roman" w:eastAsia="宋体" w:hAnsi="Times New Roman" w:cs="Times New Roman"/>
          <w:b/>
          <w:bCs/>
          <w:szCs w:val="21"/>
        </w:rPr>
        <w:t>)</w:t>
      </w:r>
      <w:r w:rsidR="00747035" w:rsidRPr="00B915C0">
        <w:rPr>
          <w:rFonts w:ascii="Times New Roman" w:eastAsia="宋体" w:hAnsi="Times New Roman" w:cs="Times New Roman"/>
          <w:szCs w:val="21"/>
        </w:rPr>
        <w:t xml:space="preserve"> Body weight measurements in WT and AKO mice </w:t>
      </w:r>
      <w:r w:rsidR="006A3929" w:rsidRPr="00B915C0">
        <w:rPr>
          <w:rFonts w:ascii="Times New Roman" w:eastAsia="宋体" w:hAnsi="Times New Roman" w:cs="Times New Roman" w:hint="eastAsia"/>
          <w:szCs w:val="21"/>
        </w:rPr>
        <w:t xml:space="preserve">following </w:t>
      </w:r>
      <w:r w:rsidR="00747035" w:rsidRPr="00B915C0">
        <w:rPr>
          <w:rFonts w:ascii="Times New Roman" w:eastAsia="宋体" w:hAnsi="Times New Roman" w:cs="Times New Roman"/>
          <w:szCs w:val="21"/>
        </w:rPr>
        <w:t>treatment with BAY-876 (n=6 per group).</w:t>
      </w:r>
      <w:r w:rsidR="00497CA0" w:rsidRPr="00B915C0">
        <w:rPr>
          <w:rFonts w:ascii="Times New Roman" w:eastAsia="宋体" w:hAnsi="Times New Roman" w:cs="Times New Roman" w:hint="eastAsia"/>
          <w:szCs w:val="21"/>
        </w:rPr>
        <w:t xml:space="preserve"> </w:t>
      </w:r>
      <w:r w:rsidR="0054681F" w:rsidRPr="00B915C0">
        <w:rPr>
          <w:rFonts w:ascii="Times New Roman" w:eastAsia="宋体" w:hAnsi="Times New Roman" w:cs="Times New Roman"/>
          <w:b/>
          <w:bCs/>
          <w:szCs w:val="21"/>
        </w:rPr>
        <w:t>(</w:t>
      </w:r>
      <w:r w:rsidR="00C821A3" w:rsidRPr="00B915C0">
        <w:rPr>
          <w:rFonts w:ascii="Times New Roman" w:eastAsia="宋体" w:hAnsi="Times New Roman" w:cs="Times New Roman" w:hint="eastAsia"/>
          <w:b/>
          <w:bCs/>
          <w:szCs w:val="21"/>
        </w:rPr>
        <w:t>B</w:t>
      </w:r>
      <w:r w:rsidR="0054681F" w:rsidRPr="00B915C0">
        <w:rPr>
          <w:rFonts w:ascii="Times New Roman" w:eastAsia="宋体" w:hAnsi="Times New Roman" w:cs="Times New Roman"/>
          <w:b/>
          <w:bCs/>
          <w:szCs w:val="21"/>
        </w:rPr>
        <w:t xml:space="preserve">) </w:t>
      </w:r>
      <w:r w:rsidR="00F655CB" w:rsidRPr="00B915C0">
        <w:rPr>
          <w:rFonts w:ascii="Times New Roman" w:eastAsia="宋体" w:hAnsi="Times New Roman" w:cs="Times New Roman"/>
          <w:szCs w:val="21"/>
        </w:rPr>
        <w:t>Fractional enrichment of TCA cycle intermediates derived from [U-¹³C₆]-glucose in liver tissues from WT and AKO mice (n = 3 per group)</w:t>
      </w:r>
      <w:r w:rsidR="00747035" w:rsidRPr="00B915C0">
        <w:rPr>
          <w:rFonts w:ascii="Times New Roman" w:eastAsia="宋体" w:hAnsi="Times New Roman" w:cs="Times New Roman"/>
          <w:szCs w:val="21"/>
        </w:rPr>
        <w:t>.</w:t>
      </w:r>
      <w:r w:rsidR="00747035" w:rsidRPr="00B915C0">
        <w:rPr>
          <w:rFonts w:ascii="Times New Roman" w:eastAsia="宋体" w:hAnsi="Times New Roman" w:cs="Times New Roman"/>
          <w:b/>
          <w:bCs/>
          <w:szCs w:val="21"/>
        </w:rPr>
        <w:t xml:space="preserve"> </w:t>
      </w:r>
      <w:r w:rsidR="00AD7194" w:rsidRPr="00B915C0">
        <w:rPr>
          <w:rFonts w:ascii="Times New Roman" w:eastAsia="宋体" w:hAnsi="Times New Roman" w:cs="Times New Roman"/>
          <w:b/>
          <w:bCs/>
          <w:szCs w:val="21"/>
        </w:rPr>
        <w:t>(C)</w:t>
      </w:r>
      <w:r w:rsidR="00E42A83" w:rsidRPr="00B915C0">
        <w:rPr>
          <w:rFonts w:ascii="Times New Roman" w:eastAsia="宋体" w:hAnsi="Times New Roman" w:cs="Times New Roman" w:hint="eastAsia"/>
          <w:b/>
          <w:bCs/>
          <w:szCs w:val="21"/>
        </w:rPr>
        <w:t xml:space="preserve"> </w:t>
      </w:r>
      <w:r w:rsidR="0054681F" w:rsidRPr="00B915C0">
        <w:rPr>
          <w:rFonts w:ascii="Times New Roman" w:eastAsia="宋体" w:hAnsi="Times New Roman" w:cs="Times New Roman"/>
          <w:szCs w:val="21"/>
        </w:rPr>
        <w:t>Liver</w:t>
      </w:r>
      <w:r w:rsidR="004C0168" w:rsidRPr="00B915C0">
        <w:rPr>
          <w:rFonts w:ascii="Times New Roman" w:eastAsia="宋体" w:hAnsi="Times New Roman" w:cs="Times New Roman" w:hint="eastAsia"/>
          <w:szCs w:val="21"/>
        </w:rPr>
        <w:t>-</w:t>
      </w:r>
      <w:r w:rsidR="0054681F" w:rsidRPr="00B915C0">
        <w:rPr>
          <w:rFonts w:ascii="Times New Roman" w:eastAsia="宋体" w:hAnsi="Times New Roman" w:cs="Times New Roman"/>
          <w:szCs w:val="21"/>
        </w:rPr>
        <w:t>to</w:t>
      </w:r>
      <w:r w:rsidR="004C0168" w:rsidRPr="00B915C0">
        <w:rPr>
          <w:rFonts w:ascii="Times New Roman" w:eastAsia="宋体" w:hAnsi="Times New Roman" w:cs="Times New Roman" w:hint="eastAsia"/>
          <w:szCs w:val="21"/>
        </w:rPr>
        <w:t>-</w:t>
      </w:r>
      <w:r w:rsidR="0054681F" w:rsidRPr="00B915C0">
        <w:rPr>
          <w:rFonts w:ascii="Times New Roman" w:eastAsia="宋体" w:hAnsi="Times New Roman" w:cs="Times New Roman"/>
          <w:szCs w:val="21"/>
        </w:rPr>
        <w:t>body weight ratio</w:t>
      </w:r>
      <w:r w:rsidR="001C27EF" w:rsidRPr="00B915C0">
        <w:rPr>
          <w:rFonts w:ascii="Times New Roman" w:eastAsia="宋体" w:hAnsi="Times New Roman" w:cs="Times New Roman" w:hint="eastAsia"/>
          <w:szCs w:val="21"/>
        </w:rPr>
        <w:t>s</w:t>
      </w:r>
      <w:r w:rsidR="0054681F" w:rsidRPr="00B915C0">
        <w:rPr>
          <w:rFonts w:ascii="Times New Roman" w:eastAsia="宋体" w:hAnsi="Times New Roman" w:cs="Times New Roman"/>
          <w:szCs w:val="21"/>
        </w:rPr>
        <w:t xml:space="preserve"> in WT and AKO mice.</w:t>
      </w:r>
      <w:r w:rsidR="00A5255D" w:rsidRPr="00B915C0">
        <w:rPr>
          <w:rFonts w:hint="eastAsia"/>
          <w:szCs w:val="21"/>
        </w:rPr>
        <w:t xml:space="preserve"> </w:t>
      </w:r>
      <w:r w:rsidR="00097A5F" w:rsidRPr="00B915C0">
        <w:rPr>
          <w:rFonts w:ascii="Times New Roman" w:eastAsia="宋体" w:hAnsi="Times New Roman" w:cs="Times New Roman"/>
          <w:b/>
          <w:bCs/>
          <w:szCs w:val="21"/>
        </w:rPr>
        <w:t>(</w:t>
      </w:r>
      <w:r w:rsidR="00A5255D" w:rsidRPr="00B915C0">
        <w:rPr>
          <w:rFonts w:ascii="Times New Roman" w:eastAsia="宋体" w:hAnsi="Times New Roman" w:cs="Times New Roman" w:hint="eastAsia"/>
          <w:b/>
          <w:bCs/>
          <w:szCs w:val="21"/>
        </w:rPr>
        <w:t>D</w:t>
      </w:r>
      <w:r w:rsidR="00097A5F" w:rsidRPr="00B915C0">
        <w:rPr>
          <w:rFonts w:ascii="Times New Roman" w:eastAsia="宋体" w:hAnsi="Times New Roman" w:cs="Times New Roman"/>
          <w:b/>
          <w:bCs/>
          <w:szCs w:val="21"/>
        </w:rPr>
        <w:t>)</w:t>
      </w:r>
      <w:r w:rsidR="00097A5F" w:rsidRPr="00B915C0">
        <w:rPr>
          <w:rFonts w:ascii="Times New Roman" w:eastAsia="宋体" w:hAnsi="Times New Roman" w:cs="Times New Roman"/>
          <w:szCs w:val="21"/>
        </w:rPr>
        <w:t xml:space="preserve"> Body weight measurements in WT and rs671 mice after treatment with BAY-876 (n=7 in WT-vehicle, n=9 in rs671-vehicle, n=10 in WT-BAY-876, and n=10 in rs671-BAY-876 group</w:t>
      </w:r>
      <w:r w:rsidR="002472E5" w:rsidRPr="00B915C0">
        <w:rPr>
          <w:rFonts w:ascii="Times New Roman" w:eastAsia="宋体" w:hAnsi="Times New Roman" w:cs="Times New Roman" w:hint="eastAsia"/>
          <w:szCs w:val="21"/>
        </w:rPr>
        <w:t>s</w:t>
      </w:r>
      <w:r w:rsidR="00097A5F" w:rsidRPr="00B915C0">
        <w:rPr>
          <w:rFonts w:ascii="Times New Roman" w:eastAsia="宋体" w:hAnsi="Times New Roman" w:cs="Times New Roman"/>
          <w:szCs w:val="21"/>
        </w:rPr>
        <w:t>).</w:t>
      </w:r>
      <w:r w:rsidR="00A1126C" w:rsidRPr="00A1126C">
        <w:rPr>
          <w:rFonts w:ascii="Times New Roman" w:eastAsia="宋体" w:hAnsi="Times New Roman" w:cs="Times New Roman"/>
          <w:b/>
          <w:bCs/>
          <w:szCs w:val="21"/>
        </w:rPr>
        <w:t xml:space="preserve"> </w:t>
      </w:r>
      <w:r w:rsidR="00A1126C" w:rsidRPr="00B915C0">
        <w:rPr>
          <w:rFonts w:ascii="Times New Roman" w:eastAsia="宋体" w:hAnsi="Times New Roman" w:cs="Times New Roman"/>
          <w:b/>
          <w:bCs/>
          <w:szCs w:val="21"/>
        </w:rPr>
        <w:t>(</w:t>
      </w:r>
      <w:r w:rsidR="00A1126C">
        <w:rPr>
          <w:rFonts w:ascii="Times New Roman" w:eastAsia="宋体" w:hAnsi="Times New Roman" w:cs="Times New Roman" w:hint="eastAsia"/>
          <w:b/>
          <w:bCs/>
          <w:szCs w:val="21"/>
        </w:rPr>
        <w:t>E</w:t>
      </w:r>
      <w:r w:rsidR="00A1126C" w:rsidRPr="00B915C0">
        <w:rPr>
          <w:rFonts w:ascii="Times New Roman" w:eastAsia="宋体" w:hAnsi="Times New Roman" w:cs="Times New Roman"/>
          <w:b/>
          <w:bCs/>
          <w:szCs w:val="21"/>
        </w:rPr>
        <w:t>)</w:t>
      </w:r>
      <w:r w:rsidR="00A1126C" w:rsidRPr="00B915C0">
        <w:rPr>
          <w:rFonts w:ascii="Times New Roman" w:eastAsia="宋体" w:hAnsi="Times New Roman" w:cs="Times New Roman"/>
          <w:szCs w:val="21"/>
        </w:rPr>
        <w:t xml:space="preserve"> Fractional labeling of TCA cycle metabolites from [U-¹³C₆]-glucose in liver tissues of WT and rs671 mice (n = 5 in WT-vehicle, n = 6 in rs671-vehicle, n = 7 in WT–BAY-876, and n = 5 in rs671–BAY-876 groups).</w:t>
      </w:r>
      <w:r w:rsidR="00806402" w:rsidRPr="00B915C0">
        <w:rPr>
          <w:szCs w:val="21"/>
        </w:rPr>
        <w:t xml:space="preserve"> </w:t>
      </w:r>
      <w:r w:rsidR="0069290C" w:rsidRPr="00B915C0">
        <w:rPr>
          <w:rFonts w:ascii="Times New Roman" w:eastAsia="宋体" w:hAnsi="Times New Roman" w:cs="Times New Roman"/>
          <w:b/>
          <w:bCs/>
          <w:szCs w:val="21"/>
        </w:rPr>
        <w:t>(</w:t>
      </w:r>
      <w:r w:rsidR="00A1126C">
        <w:rPr>
          <w:rFonts w:ascii="Times New Roman" w:eastAsia="宋体" w:hAnsi="Times New Roman" w:cs="Times New Roman" w:hint="eastAsia"/>
          <w:b/>
          <w:bCs/>
          <w:szCs w:val="21"/>
        </w:rPr>
        <w:t>F</w:t>
      </w:r>
      <w:r w:rsidR="0069290C" w:rsidRPr="00B915C0">
        <w:rPr>
          <w:rFonts w:ascii="Times New Roman" w:eastAsia="宋体" w:hAnsi="Times New Roman" w:cs="Times New Roman"/>
          <w:b/>
          <w:bCs/>
          <w:szCs w:val="21"/>
        </w:rPr>
        <w:t>)</w:t>
      </w:r>
      <w:r w:rsidR="0069290C" w:rsidRPr="00B915C0">
        <w:rPr>
          <w:rFonts w:ascii="Times New Roman" w:eastAsia="宋体" w:hAnsi="Times New Roman" w:cs="Times New Roman"/>
          <w:szCs w:val="21"/>
        </w:rPr>
        <w:t xml:space="preserve"> Liver-to-body weight ratio</w:t>
      </w:r>
      <w:r w:rsidR="00215BCD" w:rsidRPr="00B915C0">
        <w:rPr>
          <w:rFonts w:ascii="Times New Roman" w:eastAsia="宋体" w:hAnsi="Times New Roman" w:cs="Times New Roman" w:hint="eastAsia"/>
          <w:szCs w:val="21"/>
        </w:rPr>
        <w:t>s</w:t>
      </w:r>
      <w:r w:rsidR="0069290C" w:rsidRPr="00B915C0">
        <w:rPr>
          <w:rFonts w:ascii="Times New Roman" w:eastAsia="宋体" w:hAnsi="Times New Roman" w:cs="Times New Roman"/>
          <w:szCs w:val="21"/>
        </w:rPr>
        <w:t xml:space="preserve"> in WT and rs671 mice.</w:t>
      </w:r>
      <w:r w:rsidR="0069290C" w:rsidRPr="00B915C0">
        <w:rPr>
          <w:szCs w:val="21"/>
        </w:rPr>
        <w:t xml:space="preserve"> </w:t>
      </w:r>
      <w:r w:rsidR="003B6222" w:rsidRPr="00B915C0">
        <w:rPr>
          <w:rFonts w:ascii="Times New Roman" w:eastAsia="宋体" w:hAnsi="Times New Roman" w:cs="Times New Roman"/>
          <w:color w:val="000000"/>
          <w:kern w:val="0"/>
          <w:szCs w:val="21"/>
        </w:rPr>
        <w:t>Statistical</w:t>
      </w:r>
      <w:r w:rsidR="00521ACF" w:rsidRPr="00B915C0">
        <w:rPr>
          <w:rFonts w:ascii="Times New Roman" w:eastAsia="宋体" w:hAnsi="Times New Roman" w:cs="Times New Roman"/>
          <w:color w:val="000000"/>
          <w:kern w:val="0"/>
          <w:szCs w:val="21"/>
        </w:rPr>
        <w:t xml:space="preserve"> comparisons were </w:t>
      </w:r>
      <w:r w:rsidR="00C84049" w:rsidRPr="00B915C0">
        <w:rPr>
          <w:rFonts w:ascii="Times New Roman" w:eastAsia="宋体" w:hAnsi="Times New Roman" w:cs="Times New Roman" w:hint="eastAsia"/>
          <w:color w:val="000000"/>
          <w:kern w:val="0"/>
          <w:szCs w:val="21"/>
        </w:rPr>
        <w:t>performed</w:t>
      </w:r>
      <w:r w:rsidR="00521ACF" w:rsidRPr="00B915C0">
        <w:rPr>
          <w:rFonts w:ascii="Times New Roman" w:eastAsia="宋体" w:hAnsi="Times New Roman" w:cs="Times New Roman"/>
          <w:color w:val="000000"/>
          <w:kern w:val="0"/>
          <w:szCs w:val="21"/>
        </w:rPr>
        <w:t xml:space="preserve"> usin</w:t>
      </w:r>
      <w:r w:rsidR="0069290C" w:rsidRPr="00B915C0">
        <w:rPr>
          <w:rFonts w:ascii="Times New Roman" w:eastAsia="宋体" w:hAnsi="Times New Roman" w:cs="Times New Roman" w:hint="eastAsia"/>
          <w:color w:val="000000"/>
          <w:kern w:val="0"/>
          <w:szCs w:val="21"/>
        </w:rPr>
        <w:t>g one-way ANOVA</w:t>
      </w:r>
      <w:r w:rsidR="00521ACF" w:rsidRPr="00B915C0">
        <w:rPr>
          <w:rFonts w:ascii="Times New Roman" w:eastAsia="宋体" w:hAnsi="Times New Roman" w:cs="Times New Roman"/>
          <w:color w:val="000000"/>
          <w:kern w:val="0"/>
          <w:szCs w:val="21"/>
        </w:rPr>
        <w:t xml:space="preserve">. </w:t>
      </w:r>
      <w:r w:rsidR="00521ACF" w:rsidRPr="00B915C0">
        <w:rPr>
          <w:rFonts w:ascii="Times New Roman" w:eastAsia="宋体" w:hAnsi="Times New Roman" w:cs="Times New Roman"/>
          <w:szCs w:val="21"/>
        </w:rPr>
        <w:t>All data are presented as mean ± SD.</w:t>
      </w:r>
      <w:r w:rsidR="00521ACF" w:rsidRPr="00B915C0">
        <w:rPr>
          <w:rFonts w:ascii="Times New Roman" w:eastAsia="宋体" w:hAnsi="Times New Roman" w:cs="Times New Roman"/>
          <w:szCs w:val="21"/>
          <w:vertAlign w:val="superscript"/>
        </w:rPr>
        <w:t>*</w:t>
      </w:r>
      <w:r w:rsidR="00521ACF" w:rsidRPr="00B915C0">
        <w:rPr>
          <w:rFonts w:ascii="Times New Roman" w:eastAsia="宋体" w:hAnsi="Times New Roman" w:cs="Times New Roman"/>
          <w:i/>
          <w:iCs/>
          <w:szCs w:val="21"/>
        </w:rPr>
        <w:t xml:space="preserve">p </w:t>
      </w:r>
      <w:r w:rsidR="00521ACF" w:rsidRPr="00B915C0">
        <w:rPr>
          <w:rFonts w:ascii="Times New Roman" w:eastAsia="宋体" w:hAnsi="Times New Roman" w:cs="Times New Roman"/>
          <w:szCs w:val="21"/>
        </w:rPr>
        <w:t xml:space="preserve">&lt; 0.05, </w:t>
      </w:r>
      <w:r w:rsidR="00521ACF" w:rsidRPr="00B915C0">
        <w:rPr>
          <w:rFonts w:ascii="Times New Roman" w:eastAsia="宋体" w:hAnsi="Times New Roman" w:cs="Times New Roman"/>
          <w:szCs w:val="21"/>
          <w:vertAlign w:val="superscript"/>
        </w:rPr>
        <w:t>**</w:t>
      </w:r>
      <w:r w:rsidR="00521ACF" w:rsidRPr="00B915C0">
        <w:rPr>
          <w:rFonts w:ascii="Times New Roman" w:eastAsia="宋体" w:hAnsi="Times New Roman" w:cs="Times New Roman"/>
          <w:i/>
          <w:iCs/>
          <w:szCs w:val="21"/>
        </w:rPr>
        <w:t xml:space="preserve">p </w:t>
      </w:r>
      <w:r w:rsidR="00521ACF" w:rsidRPr="00B915C0">
        <w:rPr>
          <w:rFonts w:ascii="Times New Roman" w:eastAsia="宋体" w:hAnsi="Times New Roman" w:cs="Times New Roman"/>
          <w:szCs w:val="21"/>
        </w:rPr>
        <w:t>&lt; 0.01.</w:t>
      </w:r>
    </w:p>
    <w:p w14:paraId="396D5429" w14:textId="5C70B82A" w:rsidR="001E5487" w:rsidRPr="00B915C0" w:rsidRDefault="001E5487" w:rsidP="000E4278">
      <w:pPr>
        <w:rPr>
          <w:rFonts w:ascii="Times New Roman" w:hAnsi="Times New Roman" w:cs="Times New Roman"/>
          <w:b/>
          <w:bCs/>
          <w:szCs w:val="21"/>
        </w:rPr>
      </w:pPr>
    </w:p>
    <w:p w14:paraId="05EB3FB8" w14:textId="3043CFD2" w:rsidR="00BE170E" w:rsidRDefault="00BE170E" w:rsidP="007A2C35">
      <w:pPr>
        <w:widowControl/>
        <w:jc w:val="left"/>
        <w:rPr>
          <w:rFonts w:ascii="Times New Roman" w:hAnsi="Times New Roman" w:cs="Times New Roman"/>
          <w:b/>
          <w:bCs/>
          <w:sz w:val="24"/>
          <w:szCs w:val="24"/>
        </w:rPr>
      </w:pPr>
    </w:p>
    <w:sectPr w:rsidR="00BE170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241913" w14:textId="77777777" w:rsidR="00C962A2" w:rsidRDefault="00C962A2" w:rsidP="00362014">
      <w:r>
        <w:separator/>
      </w:r>
    </w:p>
  </w:endnote>
  <w:endnote w:type="continuationSeparator" w:id="0">
    <w:p w14:paraId="4AFA078F" w14:textId="77777777" w:rsidR="00C962A2" w:rsidRDefault="00C962A2" w:rsidP="003620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0B3555" w14:textId="77777777" w:rsidR="00C962A2" w:rsidRDefault="00C962A2" w:rsidP="00362014">
      <w:r>
        <w:separator/>
      </w:r>
    </w:p>
  </w:footnote>
  <w:footnote w:type="continuationSeparator" w:id="0">
    <w:p w14:paraId="11242557" w14:textId="77777777" w:rsidR="00C962A2" w:rsidRDefault="00C962A2" w:rsidP="0036201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4"/>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4154"/>
    <w:rsid w:val="00004AB0"/>
    <w:rsid w:val="00007CA6"/>
    <w:rsid w:val="00010593"/>
    <w:rsid w:val="00010F9C"/>
    <w:rsid w:val="0002495D"/>
    <w:rsid w:val="00026FA2"/>
    <w:rsid w:val="00027F7E"/>
    <w:rsid w:val="00030479"/>
    <w:rsid w:val="0003105C"/>
    <w:rsid w:val="00037044"/>
    <w:rsid w:val="000370A5"/>
    <w:rsid w:val="0004017F"/>
    <w:rsid w:val="00051B3C"/>
    <w:rsid w:val="00054665"/>
    <w:rsid w:val="00062624"/>
    <w:rsid w:val="0006489F"/>
    <w:rsid w:val="000654DD"/>
    <w:rsid w:val="000701C1"/>
    <w:rsid w:val="0007385D"/>
    <w:rsid w:val="0008112D"/>
    <w:rsid w:val="0009230D"/>
    <w:rsid w:val="00092827"/>
    <w:rsid w:val="000968B7"/>
    <w:rsid w:val="00096E01"/>
    <w:rsid w:val="00097A5F"/>
    <w:rsid w:val="000B0908"/>
    <w:rsid w:val="000B0DCB"/>
    <w:rsid w:val="000B431F"/>
    <w:rsid w:val="000C490E"/>
    <w:rsid w:val="000D26F3"/>
    <w:rsid w:val="000D3C67"/>
    <w:rsid w:val="000D4C30"/>
    <w:rsid w:val="000D525B"/>
    <w:rsid w:val="000E15D0"/>
    <w:rsid w:val="000E1709"/>
    <w:rsid w:val="000E4278"/>
    <w:rsid w:val="000E7319"/>
    <w:rsid w:val="000F1D45"/>
    <w:rsid w:val="000F2210"/>
    <w:rsid w:val="0010497E"/>
    <w:rsid w:val="00112EF1"/>
    <w:rsid w:val="0012467D"/>
    <w:rsid w:val="001255B9"/>
    <w:rsid w:val="0013087C"/>
    <w:rsid w:val="001330D4"/>
    <w:rsid w:val="001333DA"/>
    <w:rsid w:val="0014549F"/>
    <w:rsid w:val="0014583D"/>
    <w:rsid w:val="001458DE"/>
    <w:rsid w:val="00146D10"/>
    <w:rsid w:val="00150B36"/>
    <w:rsid w:val="001530DE"/>
    <w:rsid w:val="001544D7"/>
    <w:rsid w:val="00155F16"/>
    <w:rsid w:val="00161D35"/>
    <w:rsid w:val="00167558"/>
    <w:rsid w:val="00175394"/>
    <w:rsid w:val="001764C4"/>
    <w:rsid w:val="00182DDA"/>
    <w:rsid w:val="00186947"/>
    <w:rsid w:val="00186B69"/>
    <w:rsid w:val="001939B4"/>
    <w:rsid w:val="0019763F"/>
    <w:rsid w:val="001A1440"/>
    <w:rsid w:val="001A4A4B"/>
    <w:rsid w:val="001A51EB"/>
    <w:rsid w:val="001B1DCA"/>
    <w:rsid w:val="001B20C1"/>
    <w:rsid w:val="001C27EF"/>
    <w:rsid w:val="001C5B1C"/>
    <w:rsid w:val="001D504E"/>
    <w:rsid w:val="001D615E"/>
    <w:rsid w:val="001E3DDE"/>
    <w:rsid w:val="001E3F40"/>
    <w:rsid w:val="001E5487"/>
    <w:rsid w:val="001F6491"/>
    <w:rsid w:val="00200025"/>
    <w:rsid w:val="00201180"/>
    <w:rsid w:val="002013C5"/>
    <w:rsid w:val="00206CFC"/>
    <w:rsid w:val="002128FA"/>
    <w:rsid w:val="00214A26"/>
    <w:rsid w:val="00215BCD"/>
    <w:rsid w:val="0021774E"/>
    <w:rsid w:val="002177E0"/>
    <w:rsid w:val="00220372"/>
    <w:rsid w:val="00227D43"/>
    <w:rsid w:val="002341E0"/>
    <w:rsid w:val="00234A32"/>
    <w:rsid w:val="00235DF5"/>
    <w:rsid w:val="002472E5"/>
    <w:rsid w:val="00256145"/>
    <w:rsid w:val="002569C7"/>
    <w:rsid w:val="00270010"/>
    <w:rsid w:val="00271985"/>
    <w:rsid w:val="00273C20"/>
    <w:rsid w:val="00275061"/>
    <w:rsid w:val="00285E7B"/>
    <w:rsid w:val="00286A19"/>
    <w:rsid w:val="0029224D"/>
    <w:rsid w:val="00294A5F"/>
    <w:rsid w:val="00295F31"/>
    <w:rsid w:val="002A016C"/>
    <w:rsid w:val="002A2CD3"/>
    <w:rsid w:val="002A506A"/>
    <w:rsid w:val="002B2178"/>
    <w:rsid w:val="002B2FB9"/>
    <w:rsid w:val="002B5BAE"/>
    <w:rsid w:val="002C3BAB"/>
    <w:rsid w:val="002C427D"/>
    <w:rsid w:val="002C794C"/>
    <w:rsid w:val="002E5C25"/>
    <w:rsid w:val="002F012E"/>
    <w:rsid w:val="002F36C8"/>
    <w:rsid w:val="002F3F50"/>
    <w:rsid w:val="003033E1"/>
    <w:rsid w:val="00304154"/>
    <w:rsid w:val="00305629"/>
    <w:rsid w:val="00306EA0"/>
    <w:rsid w:val="003146C9"/>
    <w:rsid w:val="0031539F"/>
    <w:rsid w:val="003232ED"/>
    <w:rsid w:val="003249F1"/>
    <w:rsid w:val="003320D3"/>
    <w:rsid w:val="00352E85"/>
    <w:rsid w:val="00353DDD"/>
    <w:rsid w:val="00353F73"/>
    <w:rsid w:val="00357E81"/>
    <w:rsid w:val="00362014"/>
    <w:rsid w:val="00372525"/>
    <w:rsid w:val="00380EB9"/>
    <w:rsid w:val="00382324"/>
    <w:rsid w:val="003911A3"/>
    <w:rsid w:val="00391D01"/>
    <w:rsid w:val="003932FE"/>
    <w:rsid w:val="003B0419"/>
    <w:rsid w:val="003B4657"/>
    <w:rsid w:val="003B4BD6"/>
    <w:rsid w:val="003B4E00"/>
    <w:rsid w:val="003B6222"/>
    <w:rsid w:val="003C0D55"/>
    <w:rsid w:val="003D33BE"/>
    <w:rsid w:val="003D3B49"/>
    <w:rsid w:val="003D5BC0"/>
    <w:rsid w:val="003E104C"/>
    <w:rsid w:val="003E2517"/>
    <w:rsid w:val="003E6128"/>
    <w:rsid w:val="003E688C"/>
    <w:rsid w:val="003E6925"/>
    <w:rsid w:val="003E6965"/>
    <w:rsid w:val="003F1DDF"/>
    <w:rsid w:val="003F25EF"/>
    <w:rsid w:val="003F7D13"/>
    <w:rsid w:val="0040054F"/>
    <w:rsid w:val="00400C06"/>
    <w:rsid w:val="00411FC3"/>
    <w:rsid w:val="00414F86"/>
    <w:rsid w:val="004239CC"/>
    <w:rsid w:val="00427E0D"/>
    <w:rsid w:val="004310A0"/>
    <w:rsid w:val="00435E50"/>
    <w:rsid w:val="004529B8"/>
    <w:rsid w:val="00472515"/>
    <w:rsid w:val="004823D6"/>
    <w:rsid w:val="0049353B"/>
    <w:rsid w:val="00494AFD"/>
    <w:rsid w:val="0049722F"/>
    <w:rsid w:val="00497CA0"/>
    <w:rsid w:val="004A0410"/>
    <w:rsid w:val="004A11C8"/>
    <w:rsid w:val="004A1D9B"/>
    <w:rsid w:val="004A2675"/>
    <w:rsid w:val="004A4A9D"/>
    <w:rsid w:val="004B012D"/>
    <w:rsid w:val="004B2FB5"/>
    <w:rsid w:val="004C0168"/>
    <w:rsid w:val="004C06D8"/>
    <w:rsid w:val="004C37FB"/>
    <w:rsid w:val="004C56E0"/>
    <w:rsid w:val="004C6FF1"/>
    <w:rsid w:val="004D4A70"/>
    <w:rsid w:val="004D59EB"/>
    <w:rsid w:val="004E312D"/>
    <w:rsid w:val="004F0B9B"/>
    <w:rsid w:val="004F6CFB"/>
    <w:rsid w:val="00503585"/>
    <w:rsid w:val="00506A1C"/>
    <w:rsid w:val="0052000B"/>
    <w:rsid w:val="00521ACF"/>
    <w:rsid w:val="005246F0"/>
    <w:rsid w:val="00526FDC"/>
    <w:rsid w:val="00534A70"/>
    <w:rsid w:val="005416C7"/>
    <w:rsid w:val="005428F7"/>
    <w:rsid w:val="00544E3E"/>
    <w:rsid w:val="00545750"/>
    <w:rsid w:val="0054681F"/>
    <w:rsid w:val="0055414A"/>
    <w:rsid w:val="00554549"/>
    <w:rsid w:val="00557BB5"/>
    <w:rsid w:val="005647FE"/>
    <w:rsid w:val="0057724A"/>
    <w:rsid w:val="00584F1C"/>
    <w:rsid w:val="00585C92"/>
    <w:rsid w:val="00593654"/>
    <w:rsid w:val="00594FE3"/>
    <w:rsid w:val="005961E9"/>
    <w:rsid w:val="005A0DA2"/>
    <w:rsid w:val="005A1C34"/>
    <w:rsid w:val="005A3C2F"/>
    <w:rsid w:val="005A57E6"/>
    <w:rsid w:val="005B7468"/>
    <w:rsid w:val="005D79D3"/>
    <w:rsid w:val="005E0957"/>
    <w:rsid w:val="005E24B7"/>
    <w:rsid w:val="005E3F52"/>
    <w:rsid w:val="005F24D8"/>
    <w:rsid w:val="005F5215"/>
    <w:rsid w:val="005F66F8"/>
    <w:rsid w:val="0060443B"/>
    <w:rsid w:val="00605A46"/>
    <w:rsid w:val="00606C0D"/>
    <w:rsid w:val="00611814"/>
    <w:rsid w:val="0061765C"/>
    <w:rsid w:val="00625022"/>
    <w:rsid w:val="0062693F"/>
    <w:rsid w:val="0063270F"/>
    <w:rsid w:val="00635AA5"/>
    <w:rsid w:val="0064192D"/>
    <w:rsid w:val="00667C4D"/>
    <w:rsid w:val="00673AAF"/>
    <w:rsid w:val="00685B50"/>
    <w:rsid w:val="00687630"/>
    <w:rsid w:val="00687F14"/>
    <w:rsid w:val="0069290C"/>
    <w:rsid w:val="00692BC5"/>
    <w:rsid w:val="00696057"/>
    <w:rsid w:val="00697F7E"/>
    <w:rsid w:val="006A21D8"/>
    <w:rsid w:val="006A3929"/>
    <w:rsid w:val="006C463C"/>
    <w:rsid w:val="006D2703"/>
    <w:rsid w:val="006D6722"/>
    <w:rsid w:val="006F137D"/>
    <w:rsid w:val="006F368B"/>
    <w:rsid w:val="006F3E78"/>
    <w:rsid w:val="006F5FDF"/>
    <w:rsid w:val="00701A78"/>
    <w:rsid w:val="007038F4"/>
    <w:rsid w:val="00703B0D"/>
    <w:rsid w:val="0070491C"/>
    <w:rsid w:val="00705282"/>
    <w:rsid w:val="00707A3F"/>
    <w:rsid w:val="00710D89"/>
    <w:rsid w:val="007136BC"/>
    <w:rsid w:val="00713B77"/>
    <w:rsid w:val="0071415B"/>
    <w:rsid w:val="007156A7"/>
    <w:rsid w:val="007215BF"/>
    <w:rsid w:val="00721D9C"/>
    <w:rsid w:val="00722B4F"/>
    <w:rsid w:val="007243F3"/>
    <w:rsid w:val="0073024D"/>
    <w:rsid w:val="007332C4"/>
    <w:rsid w:val="00733305"/>
    <w:rsid w:val="00733ED3"/>
    <w:rsid w:val="00734402"/>
    <w:rsid w:val="00734E5F"/>
    <w:rsid w:val="00736FAD"/>
    <w:rsid w:val="00743CEA"/>
    <w:rsid w:val="00743E22"/>
    <w:rsid w:val="00747035"/>
    <w:rsid w:val="00747A44"/>
    <w:rsid w:val="00776146"/>
    <w:rsid w:val="007764FE"/>
    <w:rsid w:val="00777DF7"/>
    <w:rsid w:val="0079067E"/>
    <w:rsid w:val="00790F0D"/>
    <w:rsid w:val="00791AD9"/>
    <w:rsid w:val="0079627A"/>
    <w:rsid w:val="007A2A2F"/>
    <w:rsid w:val="007A2C35"/>
    <w:rsid w:val="007A4666"/>
    <w:rsid w:val="007B016B"/>
    <w:rsid w:val="007B4E33"/>
    <w:rsid w:val="007B5D8D"/>
    <w:rsid w:val="007B6F69"/>
    <w:rsid w:val="007B77E5"/>
    <w:rsid w:val="007C401D"/>
    <w:rsid w:val="007C77EC"/>
    <w:rsid w:val="007E1B36"/>
    <w:rsid w:val="007E2512"/>
    <w:rsid w:val="007E47A8"/>
    <w:rsid w:val="007E523E"/>
    <w:rsid w:val="007E5C0E"/>
    <w:rsid w:val="00802EBA"/>
    <w:rsid w:val="00802F20"/>
    <w:rsid w:val="0080414C"/>
    <w:rsid w:val="00806402"/>
    <w:rsid w:val="00810AC1"/>
    <w:rsid w:val="00811E44"/>
    <w:rsid w:val="00816B54"/>
    <w:rsid w:val="00817819"/>
    <w:rsid w:val="00817FC8"/>
    <w:rsid w:val="00824441"/>
    <w:rsid w:val="008249D9"/>
    <w:rsid w:val="00826997"/>
    <w:rsid w:val="00827AFB"/>
    <w:rsid w:val="00831CCB"/>
    <w:rsid w:val="008341E1"/>
    <w:rsid w:val="00836B51"/>
    <w:rsid w:val="00840FE5"/>
    <w:rsid w:val="00844F33"/>
    <w:rsid w:val="0084627E"/>
    <w:rsid w:val="00850D39"/>
    <w:rsid w:val="0086181D"/>
    <w:rsid w:val="00867E59"/>
    <w:rsid w:val="008710EC"/>
    <w:rsid w:val="00872714"/>
    <w:rsid w:val="00873F43"/>
    <w:rsid w:val="008745CE"/>
    <w:rsid w:val="008833A9"/>
    <w:rsid w:val="00891066"/>
    <w:rsid w:val="008925BD"/>
    <w:rsid w:val="0089537D"/>
    <w:rsid w:val="00896CB8"/>
    <w:rsid w:val="008A72FE"/>
    <w:rsid w:val="008B0409"/>
    <w:rsid w:val="008B4242"/>
    <w:rsid w:val="008B566D"/>
    <w:rsid w:val="008B6757"/>
    <w:rsid w:val="008B6AB2"/>
    <w:rsid w:val="008B6BCF"/>
    <w:rsid w:val="008C03C7"/>
    <w:rsid w:val="008C122E"/>
    <w:rsid w:val="008C2121"/>
    <w:rsid w:val="008C27D7"/>
    <w:rsid w:val="008D7F06"/>
    <w:rsid w:val="008F162A"/>
    <w:rsid w:val="0090110F"/>
    <w:rsid w:val="00901FCA"/>
    <w:rsid w:val="00902919"/>
    <w:rsid w:val="0090579E"/>
    <w:rsid w:val="00907669"/>
    <w:rsid w:val="00913193"/>
    <w:rsid w:val="0091393C"/>
    <w:rsid w:val="00934FAA"/>
    <w:rsid w:val="009409AE"/>
    <w:rsid w:val="00943221"/>
    <w:rsid w:val="0094381F"/>
    <w:rsid w:val="009535B6"/>
    <w:rsid w:val="00956591"/>
    <w:rsid w:val="00956642"/>
    <w:rsid w:val="00964696"/>
    <w:rsid w:val="0096535B"/>
    <w:rsid w:val="0096776A"/>
    <w:rsid w:val="00974CEA"/>
    <w:rsid w:val="009843B7"/>
    <w:rsid w:val="0099694F"/>
    <w:rsid w:val="009A5F42"/>
    <w:rsid w:val="009A7074"/>
    <w:rsid w:val="009B0362"/>
    <w:rsid w:val="009D056A"/>
    <w:rsid w:val="009D0CCE"/>
    <w:rsid w:val="009D5CA5"/>
    <w:rsid w:val="009D603E"/>
    <w:rsid w:val="009E0F10"/>
    <w:rsid w:val="009E3F0E"/>
    <w:rsid w:val="009E4D97"/>
    <w:rsid w:val="009F07DD"/>
    <w:rsid w:val="009F1697"/>
    <w:rsid w:val="009F3D1A"/>
    <w:rsid w:val="009F45DB"/>
    <w:rsid w:val="00A1126C"/>
    <w:rsid w:val="00A11A7C"/>
    <w:rsid w:val="00A13034"/>
    <w:rsid w:val="00A157E0"/>
    <w:rsid w:val="00A27931"/>
    <w:rsid w:val="00A50350"/>
    <w:rsid w:val="00A50601"/>
    <w:rsid w:val="00A511C9"/>
    <w:rsid w:val="00A5255D"/>
    <w:rsid w:val="00A52996"/>
    <w:rsid w:val="00A61CDD"/>
    <w:rsid w:val="00A67C17"/>
    <w:rsid w:val="00A75203"/>
    <w:rsid w:val="00A76D93"/>
    <w:rsid w:val="00A83900"/>
    <w:rsid w:val="00A865C2"/>
    <w:rsid w:val="00A904D3"/>
    <w:rsid w:val="00A9090B"/>
    <w:rsid w:val="00A93E40"/>
    <w:rsid w:val="00A97486"/>
    <w:rsid w:val="00AA3334"/>
    <w:rsid w:val="00AA38C9"/>
    <w:rsid w:val="00AB2BD6"/>
    <w:rsid w:val="00AC03A2"/>
    <w:rsid w:val="00AC6F09"/>
    <w:rsid w:val="00AD1B84"/>
    <w:rsid w:val="00AD7194"/>
    <w:rsid w:val="00AF0F20"/>
    <w:rsid w:val="00AF1D1A"/>
    <w:rsid w:val="00AF2A98"/>
    <w:rsid w:val="00AF3979"/>
    <w:rsid w:val="00AF70D2"/>
    <w:rsid w:val="00B013BD"/>
    <w:rsid w:val="00B01C99"/>
    <w:rsid w:val="00B02522"/>
    <w:rsid w:val="00B05E69"/>
    <w:rsid w:val="00B06D9B"/>
    <w:rsid w:val="00B1140B"/>
    <w:rsid w:val="00B15062"/>
    <w:rsid w:val="00B20A64"/>
    <w:rsid w:val="00B222DC"/>
    <w:rsid w:val="00B24FC8"/>
    <w:rsid w:val="00B278E5"/>
    <w:rsid w:val="00B33AF7"/>
    <w:rsid w:val="00B42C4D"/>
    <w:rsid w:val="00B47116"/>
    <w:rsid w:val="00B530EE"/>
    <w:rsid w:val="00B6115D"/>
    <w:rsid w:val="00B64AD6"/>
    <w:rsid w:val="00B71F3C"/>
    <w:rsid w:val="00B726AB"/>
    <w:rsid w:val="00B736BA"/>
    <w:rsid w:val="00B73CF9"/>
    <w:rsid w:val="00B76CC7"/>
    <w:rsid w:val="00B84B97"/>
    <w:rsid w:val="00B85215"/>
    <w:rsid w:val="00B85A28"/>
    <w:rsid w:val="00B900A7"/>
    <w:rsid w:val="00B915C0"/>
    <w:rsid w:val="00B9224B"/>
    <w:rsid w:val="00B92DF0"/>
    <w:rsid w:val="00B9754B"/>
    <w:rsid w:val="00B97AE2"/>
    <w:rsid w:val="00BA0B6C"/>
    <w:rsid w:val="00BA3010"/>
    <w:rsid w:val="00BA3A50"/>
    <w:rsid w:val="00BC3B1F"/>
    <w:rsid w:val="00BD3E7E"/>
    <w:rsid w:val="00BE08F3"/>
    <w:rsid w:val="00BE0CE4"/>
    <w:rsid w:val="00BE170E"/>
    <w:rsid w:val="00BE5C82"/>
    <w:rsid w:val="00BF3A44"/>
    <w:rsid w:val="00C01ED3"/>
    <w:rsid w:val="00C13616"/>
    <w:rsid w:val="00C22989"/>
    <w:rsid w:val="00C2306C"/>
    <w:rsid w:val="00C254AF"/>
    <w:rsid w:val="00C313A4"/>
    <w:rsid w:val="00C33C4A"/>
    <w:rsid w:val="00C40807"/>
    <w:rsid w:val="00C42FE1"/>
    <w:rsid w:val="00C522AB"/>
    <w:rsid w:val="00C539C5"/>
    <w:rsid w:val="00C55D1D"/>
    <w:rsid w:val="00C609F0"/>
    <w:rsid w:val="00C61345"/>
    <w:rsid w:val="00C62391"/>
    <w:rsid w:val="00C65EAF"/>
    <w:rsid w:val="00C72975"/>
    <w:rsid w:val="00C730F0"/>
    <w:rsid w:val="00C80557"/>
    <w:rsid w:val="00C80C46"/>
    <w:rsid w:val="00C821A3"/>
    <w:rsid w:val="00C82535"/>
    <w:rsid w:val="00C82CFA"/>
    <w:rsid w:val="00C84049"/>
    <w:rsid w:val="00C874B4"/>
    <w:rsid w:val="00C91AD6"/>
    <w:rsid w:val="00C958ED"/>
    <w:rsid w:val="00C962A2"/>
    <w:rsid w:val="00CA4558"/>
    <w:rsid w:val="00CA530C"/>
    <w:rsid w:val="00CB0DE1"/>
    <w:rsid w:val="00CB658C"/>
    <w:rsid w:val="00CB6764"/>
    <w:rsid w:val="00CD1002"/>
    <w:rsid w:val="00CD3308"/>
    <w:rsid w:val="00CD650A"/>
    <w:rsid w:val="00CE2760"/>
    <w:rsid w:val="00CE7BFD"/>
    <w:rsid w:val="00CF047F"/>
    <w:rsid w:val="00CF2C4B"/>
    <w:rsid w:val="00CF454E"/>
    <w:rsid w:val="00D0047D"/>
    <w:rsid w:val="00D0507D"/>
    <w:rsid w:val="00D06271"/>
    <w:rsid w:val="00D10896"/>
    <w:rsid w:val="00D158DD"/>
    <w:rsid w:val="00D1775E"/>
    <w:rsid w:val="00D20C35"/>
    <w:rsid w:val="00D27F43"/>
    <w:rsid w:val="00D4009C"/>
    <w:rsid w:val="00D41D28"/>
    <w:rsid w:val="00D42C1B"/>
    <w:rsid w:val="00D435CB"/>
    <w:rsid w:val="00D47AC9"/>
    <w:rsid w:val="00D51ECD"/>
    <w:rsid w:val="00D73EDF"/>
    <w:rsid w:val="00D75069"/>
    <w:rsid w:val="00D77330"/>
    <w:rsid w:val="00D80B41"/>
    <w:rsid w:val="00D8177E"/>
    <w:rsid w:val="00D97430"/>
    <w:rsid w:val="00DA4453"/>
    <w:rsid w:val="00DB5834"/>
    <w:rsid w:val="00DB76E2"/>
    <w:rsid w:val="00DC713C"/>
    <w:rsid w:val="00DD6C9B"/>
    <w:rsid w:val="00DD757C"/>
    <w:rsid w:val="00DE0D2E"/>
    <w:rsid w:val="00DE255C"/>
    <w:rsid w:val="00DE682B"/>
    <w:rsid w:val="00DF47AB"/>
    <w:rsid w:val="00DF5976"/>
    <w:rsid w:val="00DF72FF"/>
    <w:rsid w:val="00E16C32"/>
    <w:rsid w:val="00E27DF7"/>
    <w:rsid w:val="00E330BF"/>
    <w:rsid w:val="00E369BB"/>
    <w:rsid w:val="00E42A83"/>
    <w:rsid w:val="00E57640"/>
    <w:rsid w:val="00E65AEA"/>
    <w:rsid w:val="00E70D28"/>
    <w:rsid w:val="00E75356"/>
    <w:rsid w:val="00E80298"/>
    <w:rsid w:val="00E809E0"/>
    <w:rsid w:val="00E81A74"/>
    <w:rsid w:val="00E8343F"/>
    <w:rsid w:val="00E84007"/>
    <w:rsid w:val="00E85062"/>
    <w:rsid w:val="00E85126"/>
    <w:rsid w:val="00E93FDC"/>
    <w:rsid w:val="00E94CFD"/>
    <w:rsid w:val="00E95F52"/>
    <w:rsid w:val="00E97B86"/>
    <w:rsid w:val="00EA1F62"/>
    <w:rsid w:val="00EA595F"/>
    <w:rsid w:val="00EB1EC5"/>
    <w:rsid w:val="00EB529D"/>
    <w:rsid w:val="00EB5B51"/>
    <w:rsid w:val="00EE0A4D"/>
    <w:rsid w:val="00EE101E"/>
    <w:rsid w:val="00EE1584"/>
    <w:rsid w:val="00EE2A2B"/>
    <w:rsid w:val="00EE436F"/>
    <w:rsid w:val="00EE5AAB"/>
    <w:rsid w:val="00EE767B"/>
    <w:rsid w:val="00EE7A88"/>
    <w:rsid w:val="00EF2C2B"/>
    <w:rsid w:val="00EF4A13"/>
    <w:rsid w:val="00EF6FE4"/>
    <w:rsid w:val="00F01714"/>
    <w:rsid w:val="00F10FD7"/>
    <w:rsid w:val="00F131D8"/>
    <w:rsid w:val="00F255AD"/>
    <w:rsid w:val="00F30A15"/>
    <w:rsid w:val="00F414FA"/>
    <w:rsid w:val="00F41DE4"/>
    <w:rsid w:val="00F570E7"/>
    <w:rsid w:val="00F655CB"/>
    <w:rsid w:val="00F66365"/>
    <w:rsid w:val="00F66D73"/>
    <w:rsid w:val="00F72737"/>
    <w:rsid w:val="00F80D63"/>
    <w:rsid w:val="00F8164A"/>
    <w:rsid w:val="00F848BA"/>
    <w:rsid w:val="00F94E7C"/>
    <w:rsid w:val="00F96A34"/>
    <w:rsid w:val="00F97C2A"/>
    <w:rsid w:val="00FA119A"/>
    <w:rsid w:val="00FA3F78"/>
    <w:rsid w:val="00FA4497"/>
    <w:rsid w:val="00FA70AE"/>
    <w:rsid w:val="00FB0EFD"/>
    <w:rsid w:val="00FB1257"/>
    <w:rsid w:val="00FB3497"/>
    <w:rsid w:val="00FB5C50"/>
    <w:rsid w:val="00FB7473"/>
    <w:rsid w:val="00FC26CB"/>
    <w:rsid w:val="00FC50F6"/>
    <w:rsid w:val="00FC61AF"/>
    <w:rsid w:val="00FE12F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AFAB7D0"/>
  <w14:defaultImageDpi w14:val="32767"/>
  <w15:chartTrackingRefBased/>
  <w15:docId w15:val="{674AF807-B556-4486-9B2B-3D68453A2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62014"/>
    <w:pPr>
      <w:tabs>
        <w:tab w:val="center" w:pos="4153"/>
        <w:tab w:val="right" w:pos="8306"/>
      </w:tabs>
      <w:snapToGrid w:val="0"/>
      <w:jc w:val="center"/>
    </w:pPr>
    <w:rPr>
      <w:sz w:val="18"/>
      <w:szCs w:val="18"/>
    </w:rPr>
  </w:style>
  <w:style w:type="character" w:customStyle="1" w:styleId="a4">
    <w:name w:val="页眉 字符"/>
    <w:basedOn w:val="a0"/>
    <w:link w:val="a3"/>
    <w:uiPriority w:val="99"/>
    <w:rsid w:val="00362014"/>
    <w:rPr>
      <w:sz w:val="18"/>
      <w:szCs w:val="18"/>
    </w:rPr>
  </w:style>
  <w:style w:type="paragraph" w:styleId="a5">
    <w:name w:val="footer"/>
    <w:basedOn w:val="a"/>
    <w:link w:val="a6"/>
    <w:uiPriority w:val="99"/>
    <w:unhideWhenUsed/>
    <w:rsid w:val="00362014"/>
    <w:pPr>
      <w:tabs>
        <w:tab w:val="center" w:pos="4153"/>
        <w:tab w:val="right" w:pos="8306"/>
      </w:tabs>
      <w:snapToGrid w:val="0"/>
      <w:jc w:val="left"/>
    </w:pPr>
    <w:rPr>
      <w:sz w:val="18"/>
      <w:szCs w:val="18"/>
    </w:rPr>
  </w:style>
  <w:style w:type="character" w:customStyle="1" w:styleId="a6">
    <w:name w:val="页脚 字符"/>
    <w:basedOn w:val="a0"/>
    <w:link w:val="a5"/>
    <w:uiPriority w:val="99"/>
    <w:rsid w:val="00362014"/>
    <w:rPr>
      <w:sz w:val="18"/>
      <w:szCs w:val="18"/>
    </w:rPr>
  </w:style>
  <w:style w:type="paragraph" w:styleId="a7">
    <w:name w:val="List Paragraph"/>
    <w:basedOn w:val="a"/>
    <w:uiPriority w:val="34"/>
    <w:qFormat/>
    <w:rsid w:val="0002495D"/>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05700423">
      <w:bodyDiv w:val="1"/>
      <w:marLeft w:val="0"/>
      <w:marRight w:val="0"/>
      <w:marTop w:val="0"/>
      <w:marBottom w:val="0"/>
      <w:divBdr>
        <w:top w:val="none" w:sz="0" w:space="0" w:color="auto"/>
        <w:left w:val="none" w:sz="0" w:space="0" w:color="auto"/>
        <w:bottom w:val="none" w:sz="0" w:space="0" w:color="auto"/>
        <w:right w:val="none" w:sz="0" w:space="0" w:color="auto"/>
      </w:divBdr>
    </w:div>
    <w:div w:id="1959949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tif"/><Relationship Id="rId12" Type="http://schemas.openxmlformats.org/officeDocument/2006/relationships/image" Target="media/image7.ti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Relationship Id="rId11" Type="http://schemas.openxmlformats.org/officeDocument/2006/relationships/image" Target="media/image6.tif"/><Relationship Id="rId5" Type="http://schemas.openxmlformats.org/officeDocument/2006/relationships/endnotes" Target="endnotes.xml"/><Relationship Id="rId10" Type="http://schemas.openxmlformats.org/officeDocument/2006/relationships/image" Target="media/image5.tif"/><Relationship Id="rId4" Type="http://schemas.openxmlformats.org/officeDocument/2006/relationships/footnotes" Target="footnotes.xml"/><Relationship Id="rId9" Type="http://schemas.openxmlformats.org/officeDocument/2006/relationships/image" Target="media/image4.tif"/><Relationship Id="rId14"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117</TotalTime>
  <Pages>10</Pages>
  <Words>1331</Words>
  <Characters>7590</Characters>
  <Application>Microsoft Office Word</Application>
  <DocSecurity>0</DocSecurity>
  <Lines>63</Lines>
  <Paragraphs>17</Paragraphs>
  <ScaleCrop>false</ScaleCrop>
  <Company/>
  <LinksUpToDate>false</LinksUpToDate>
  <CharactersWithSpaces>8904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lili zhang</dc:creator>
  <cp:keywords/>
  <dc:description/>
  <cp:lastModifiedBy>lili zhang</cp:lastModifiedBy>
  <cp:revision>45</cp:revision>
  <dcterms:created xsi:type="dcterms:W3CDTF">2025-06-19T00:13:00Z</dcterms:created>
  <dcterms:modified xsi:type="dcterms:W3CDTF">2025-07-05T15:51:00Z</dcterms:modified>
</cp:coreProperties>
</file>