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46C4" w14:textId="77777777" w:rsidR="00C80EAD" w:rsidRPr="00C05A74" w:rsidRDefault="00C80EAD" w:rsidP="00C80EAD">
      <w:pPr>
        <w:spacing w:after="0" w:line="240" w:lineRule="auto"/>
        <w:rPr>
          <w:rFonts w:ascii="Arial" w:hAnsi="Arial" w:cs="Arial"/>
          <w:b/>
          <w:color w:val="FF0000"/>
          <w:sz w:val="24"/>
          <w:szCs w:val="24"/>
        </w:rPr>
      </w:pPr>
    </w:p>
    <w:p w14:paraId="6A251DF4" w14:textId="314FF5B8" w:rsidR="00C80EAD" w:rsidRPr="001D76A7" w:rsidRDefault="00C80EAD" w:rsidP="00C80EAD">
      <w:pPr>
        <w:spacing w:after="0" w:line="240" w:lineRule="auto"/>
        <w:rPr>
          <w:rFonts w:cstheme="minorHAnsi"/>
          <w:bCs/>
          <w:sz w:val="24"/>
          <w:szCs w:val="24"/>
        </w:rPr>
      </w:pPr>
      <w:r w:rsidRPr="001D76A7">
        <w:rPr>
          <w:rFonts w:cstheme="minorHAnsi"/>
          <w:b/>
          <w:sz w:val="24"/>
          <w:szCs w:val="24"/>
        </w:rPr>
        <w:t xml:space="preserve">Table S1: </w:t>
      </w:r>
      <w:r w:rsidRPr="001D76A7">
        <w:rPr>
          <w:rFonts w:cstheme="minorHAnsi"/>
          <w:bCs/>
          <w:sz w:val="24"/>
          <w:szCs w:val="24"/>
        </w:rPr>
        <w:t>Description of the syndromic surveillance systems used in the study</w:t>
      </w:r>
      <w:r w:rsidR="00A25552" w:rsidRPr="001D76A7">
        <w:rPr>
          <w:rFonts w:cstheme="minorHAnsi"/>
          <w:bCs/>
          <w:sz w:val="24"/>
          <w:szCs w:val="24"/>
        </w:rPr>
        <w:t>, all in England UK</w:t>
      </w:r>
    </w:p>
    <w:p w14:paraId="008CE686" w14:textId="77777777" w:rsidR="00A25552" w:rsidRPr="00A25552" w:rsidRDefault="00A25552" w:rsidP="00C80EAD">
      <w:pPr>
        <w:spacing w:after="0" w:line="240" w:lineRule="auto"/>
        <w:rPr>
          <w:rFonts w:cstheme="minorHAnsi"/>
          <w:bCs/>
          <w:color w:val="FF0000"/>
          <w:sz w:val="24"/>
          <w:szCs w:val="24"/>
        </w:rPr>
      </w:pPr>
    </w:p>
    <w:tbl>
      <w:tblPr>
        <w:tblStyle w:val="TableGrid"/>
        <w:tblW w:w="0" w:type="auto"/>
        <w:tblLayout w:type="fixed"/>
        <w:tblLook w:val="04A0" w:firstRow="1" w:lastRow="0" w:firstColumn="1" w:lastColumn="0" w:noHBand="0" w:noVBand="1"/>
      </w:tblPr>
      <w:tblGrid>
        <w:gridCol w:w="1696"/>
        <w:gridCol w:w="1423"/>
        <w:gridCol w:w="2688"/>
        <w:gridCol w:w="4536"/>
      </w:tblGrid>
      <w:tr w:rsidR="00C05A74" w:rsidRPr="00A25552" w14:paraId="2DF4945A" w14:textId="77777777" w:rsidTr="001D62BB">
        <w:tc>
          <w:tcPr>
            <w:tcW w:w="1696" w:type="dxa"/>
            <w:shd w:val="clear" w:color="auto" w:fill="E7E6E6" w:themeFill="background2"/>
          </w:tcPr>
          <w:p w14:paraId="2CFB0B15" w14:textId="77777777" w:rsidR="00C80EAD" w:rsidRPr="001D76A7" w:rsidRDefault="00C80EAD" w:rsidP="00C80EAD">
            <w:pPr>
              <w:rPr>
                <w:rFonts w:cstheme="minorHAnsi"/>
                <w:b/>
                <w:sz w:val="24"/>
                <w:szCs w:val="24"/>
              </w:rPr>
            </w:pPr>
            <w:bookmarkStart w:id="0" w:name="_Hlk97652577"/>
            <w:r w:rsidRPr="001D76A7">
              <w:rPr>
                <w:rFonts w:cstheme="minorHAnsi"/>
                <w:b/>
                <w:sz w:val="24"/>
                <w:szCs w:val="24"/>
              </w:rPr>
              <w:t>System</w:t>
            </w:r>
          </w:p>
        </w:tc>
        <w:tc>
          <w:tcPr>
            <w:tcW w:w="1423" w:type="dxa"/>
            <w:shd w:val="clear" w:color="auto" w:fill="E7E6E6" w:themeFill="background2"/>
          </w:tcPr>
          <w:p w14:paraId="35E4FE9E" w14:textId="77777777" w:rsidR="00C80EAD" w:rsidRPr="001D76A7" w:rsidRDefault="00C80EAD" w:rsidP="00C80EAD">
            <w:pPr>
              <w:rPr>
                <w:rFonts w:cstheme="minorHAnsi"/>
                <w:b/>
                <w:sz w:val="24"/>
                <w:szCs w:val="24"/>
              </w:rPr>
            </w:pPr>
            <w:r w:rsidRPr="001D76A7">
              <w:rPr>
                <w:rFonts w:cstheme="minorHAnsi"/>
                <w:b/>
                <w:sz w:val="24"/>
                <w:szCs w:val="24"/>
              </w:rPr>
              <w:t>Coverage</w:t>
            </w:r>
          </w:p>
        </w:tc>
        <w:tc>
          <w:tcPr>
            <w:tcW w:w="2688" w:type="dxa"/>
            <w:shd w:val="clear" w:color="auto" w:fill="E7E6E6" w:themeFill="background2"/>
          </w:tcPr>
          <w:p w14:paraId="2D08D302" w14:textId="77777777" w:rsidR="00C80EAD" w:rsidRPr="001D76A7" w:rsidRDefault="00C80EAD" w:rsidP="00C80EAD">
            <w:pPr>
              <w:rPr>
                <w:rFonts w:cstheme="minorHAnsi"/>
                <w:b/>
                <w:sz w:val="24"/>
                <w:szCs w:val="24"/>
              </w:rPr>
            </w:pPr>
            <w:r w:rsidRPr="001D76A7">
              <w:rPr>
                <w:rFonts w:cstheme="minorHAnsi"/>
                <w:b/>
                <w:sz w:val="24"/>
                <w:szCs w:val="24"/>
              </w:rPr>
              <w:t>Description</w:t>
            </w:r>
          </w:p>
        </w:tc>
        <w:tc>
          <w:tcPr>
            <w:tcW w:w="4536" w:type="dxa"/>
            <w:shd w:val="clear" w:color="auto" w:fill="E7E6E6" w:themeFill="background2"/>
          </w:tcPr>
          <w:p w14:paraId="4693C4E0" w14:textId="3C94513B" w:rsidR="00C80EAD" w:rsidRPr="001D76A7" w:rsidRDefault="001D76A7" w:rsidP="00C80EAD">
            <w:pPr>
              <w:rPr>
                <w:rFonts w:cstheme="minorHAnsi"/>
                <w:b/>
                <w:sz w:val="24"/>
                <w:szCs w:val="24"/>
              </w:rPr>
            </w:pPr>
            <w:r>
              <w:rPr>
                <w:rFonts w:cstheme="minorHAnsi"/>
                <w:b/>
                <w:sz w:val="24"/>
                <w:szCs w:val="24"/>
              </w:rPr>
              <w:t xml:space="preserve">Details and </w:t>
            </w:r>
            <w:r w:rsidR="00C80EAD" w:rsidRPr="001D76A7">
              <w:rPr>
                <w:rFonts w:cstheme="minorHAnsi"/>
                <w:b/>
                <w:sz w:val="24"/>
                <w:szCs w:val="24"/>
              </w:rPr>
              <w:t>Caveats</w:t>
            </w:r>
          </w:p>
        </w:tc>
      </w:tr>
      <w:tr w:rsidR="00C05A74" w:rsidRPr="00A25552" w14:paraId="3A38B95C" w14:textId="77777777" w:rsidTr="001D62BB">
        <w:tc>
          <w:tcPr>
            <w:tcW w:w="1696" w:type="dxa"/>
          </w:tcPr>
          <w:p w14:paraId="4C7E54D6" w14:textId="77777777" w:rsidR="001D76A7" w:rsidRPr="001D76A7" w:rsidRDefault="001D76A7" w:rsidP="00C80EAD">
            <w:pPr>
              <w:rPr>
                <w:rFonts w:cstheme="minorHAnsi"/>
                <w:b/>
                <w:sz w:val="20"/>
                <w:szCs w:val="20"/>
              </w:rPr>
            </w:pPr>
          </w:p>
          <w:p w14:paraId="1AEC0568" w14:textId="53284F7D" w:rsidR="00C80EAD" w:rsidRPr="001D76A7" w:rsidRDefault="00C80EAD" w:rsidP="00C80EAD">
            <w:pPr>
              <w:rPr>
                <w:rFonts w:cstheme="minorHAnsi"/>
                <w:b/>
                <w:sz w:val="20"/>
                <w:szCs w:val="20"/>
              </w:rPr>
            </w:pPr>
            <w:r w:rsidRPr="001D76A7">
              <w:rPr>
                <w:rFonts w:cstheme="minorHAnsi"/>
                <w:b/>
                <w:sz w:val="20"/>
                <w:szCs w:val="20"/>
              </w:rPr>
              <w:t>UKHSA Remote Health Advice Syndromic Surveillance System (NHS 111 calls)</w:t>
            </w:r>
          </w:p>
        </w:tc>
        <w:tc>
          <w:tcPr>
            <w:tcW w:w="1423" w:type="dxa"/>
          </w:tcPr>
          <w:p w14:paraId="6DE25E3F" w14:textId="77777777" w:rsidR="00A25552" w:rsidRPr="001D76A7" w:rsidRDefault="00A25552" w:rsidP="00C80EAD">
            <w:pPr>
              <w:rPr>
                <w:rFonts w:cstheme="minorHAnsi"/>
              </w:rPr>
            </w:pPr>
          </w:p>
          <w:p w14:paraId="6B982FE9" w14:textId="4BCE14E7" w:rsidR="00C80EAD" w:rsidRPr="001D76A7" w:rsidRDefault="00C80EAD" w:rsidP="00C80EAD">
            <w:pPr>
              <w:rPr>
                <w:rFonts w:cstheme="minorHAnsi"/>
              </w:rPr>
            </w:pPr>
            <w:r w:rsidRPr="001D76A7">
              <w:rPr>
                <w:rFonts w:cstheme="minorHAnsi"/>
              </w:rPr>
              <w:t xml:space="preserve">National </w:t>
            </w:r>
            <w:r w:rsidR="004311AE">
              <w:rPr>
                <w:rFonts w:cstheme="minorHAnsi"/>
              </w:rPr>
              <w:t>(c)</w:t>
            </w:r>
          </w:p>
        </w:tc>
        <w:tc>
          <w:tcPr>
            <w:tcW w:w="2688" w:type="dxa"/>
          </w:tcPr>
          <w:p w14:paraId="3CDD6340" w14:textId="77777777" w:rsidR="00CD4D13" w:rsidRDefault="00CD4D13" w:rsidP="00C80EAD">
            <w:pPr>
              <w:rPr>
                <w:rFonts w:cstheme="minorHAnsi"/>
              </w:rPr>
            </w:pPr>
          </w:p>
          <w:p w14:paraId="4872E246" w14:textId="6649EB86" w:rsidR="00C80EAD" w:rsidRPr="00A25552" w:rsidRDefault="00C80EAD" w:rsidP="00C80EAD">
            <w:pPr>
              <w:rPr>
                <w:rFonts w:cstheme="minorHAnsi"/>
              </w:rPr>
            </w:pPr>
            <w:r w:rsidRPr="00A25552">
              <w:rPr>
                <w:rFonts w:cstheme="minorHAnsi"/>
              </w:rPr>
              <w:t>A UKHSA syndromic surveillance system which uses fully anonymised, daily data on calls to NHS 111 (England)</w:t>
            </w:r>
          </w:p>
        </w:tc>
        <w:tc>
          <w:tcPr>
            <w:tcW w:w="4536" w:type="dxa"/>
          </w:tcPr>
          <w:p w14:paraId="7A5F6F2B" w14:textId="77777777" w:rsidR="00C80EAD" w:rsidRPr="00A25552" w:rsidRDefault="00C80EAD" w:rsidP="00C80EAD">
            <w:pPr>
              <w:rPr>
                <w:rFonts w:cstheme="minorHAnsi"/>
                <w:b/>
              </w:rPr>
            </w:pPr>
            <w:r w:rsidRPr="00A25552">
              <w:rPr>
                <w:rFonts w:cstheme="minorHAnsi"/>
              </w:rPr>
              <w:t>Calls to NHS 111 triaged using NHS Pathways. The syndromic dataset excludes calls to NHS 111 where an immediate threat to life was identified and other calls that have not been triaged using NHS Pathways (this may include calls for repeat prescriptions, information etc). The data are sourced from the NHS 111 Repeat Caller Database</w:t>
            </w:r>
          </w:p>
        </w:tc>
      </w:tr>
      <w:tr w:rsidR="00C05A74" w:rsidRPr="00A25552" w14:paraId="624E5F08" w14:textId="77777777" w:rsidTr="001D62BB">
        <w:tc>
          <w:tcPr>
            <w:tcW w:w="1696" w:type="dxa"/>
          </w:tcPr>
          <w:p w14:paraId="7AB61644" w14:textId="77777777" w:rsidR="001D76A7" w:rsidRPr="001D76A7" w:rsidRDefault="001D76A7" w:rsidP="00C80EAD">
            <w:pPr>
              <w:rPr>
                <w:rFonts w:cstheme="minorHAnsi"/>
                <w:b/>
                <w:sz w:val="20"/>
                <w:szCs w:val="20"/>
              </w:rPr>
            </w:pPr>
          </w:p>
          <w:p w14:paraId="2D2BD843" w14:textId="0B9B4CC6" w:rsidR="00C80EAD" w:rsidRPr="001D76A7" w:rsidRDefault="00C80EAD" w:rsidP="00C80EAD">
            <w:pPr>
              <w:rPr>
                <w:rFonts w:cstheme="minorHAnsi"/>
                <w:b/>
                <w:sz w:val="20"/>
                <w:szCs w:val="20"/>
              </w:rPr>
            </w:pPr>
            <w:r w:rsidRPr="001D76A7">
              <w:rPr>
                <w:rFonts w:cstheme="minorHAnsi"/>
                <w:b/>
                <w:sz w:val="20"/>
                <w:szCs w:val="20"/>
              </w:rPr>
              <w:t>ORCHID primary care dataset of the Royal College of General Practitioners (RCGP) Research and Surveillance Centre (RSC) sentinel network</w:t>
            </w:r>
            <w:r w:rsidR="001D76A7">
              <w:rPr>
                <w:rFonts w:cstheme="minorHAnsi"/>
                <w:b/>
                <w:sz w:val="20"/>
                <w:szCs w:val="20"/>
              </w:rPr>
              <w:t xml:space="preserve"> (a)</w:t>
            </w:r>
          </w:p>
        </w:tc>
        <w:tc>
          <w:tcPr>
            <w:tcW w:w="1423" w:type="dxa"/>
          </w:tcPr>
          <w:p w14:paraId="4DC34ED3" w14:textId="77777777" w:rsidR="00A25552" w:rsidRPr="001D76A7" w:rsidRDefault="00A25552" w:rsidP="00C80EAD">
            <w:pPr>
              <w:rPr>
                <w:rFonts w:cstheme="minorHAnsi"/>
              </w:rPr>
            </w:pPr>
          </w:p>
          <w:p w14:paraId="06145404" w14:textId="1537BDCD" w:rsidR="00C80EAD" w:rsidRPr="001D76A7" w:rsidRDefault="00C80EAD" w:rsidP="00C80EAD">
            <w:pPr>
              <w:rPr>
                <w:rFonts w:cstheme="minorHAnsi"/>
              </w:rPr>
            </w:pPr>
            <w:r w:rsidRPr="001D76A7">
              <w:rPr>
                <w:rFonts w:cstheme="minorHAnsi"/>
              </w:rPr>
              <w:t>Sentinel</w:t>
            </w:r>
            <w:r w:rsidR="004311AE">
              <w:rPr>
                <w:rFonts w:cstheme="minorHAnsi"/>
              </w:rPr>
              <w:t xml:space="preserve"> (c)</w:t>
            </w:r>
            <w:r w:rsidRPr="001D76A7">
              <w:rPr>
                <w:rFonts w:cstheme="minorHAnsi"/>
              </w:rPr>
              <w:t xml:space="preserve"> </w:t>
            </w:r>
          </w:p>
        </w:tc>
        <w:tc>
          <w:tcPr>
            <w:tcW w:w="2688" w:type="dxa"/>
          </w:tcPr>
          <w:p w14:paraId="54E7D07A" w14:textId="1B92E047" w:rsidR="00C80EAD" w:rsidRPr="00A25552" w:rsidRDefault="00C80EAD" w:rsidP="00C80EAD">
            <w:pPr>
              <w:rPr>
                <w:rFonts w:cstheme="minorHAnsi"/>
              </w:rPr>
            </w:pPr>
            <w:r w:rsidRPr="00A25552">
              <w:rPr>
                <w:rFonts w:cstheme="minorHAnsi"/>
              </w:rPr>
              <w:t>A network of general practices, which extracts data from the computerised medical record systems of over 500 practices in England. This network provides a representative sample of the population of England in terms of demographics and clinical outcomes</w:t>
            </w:r>
          </w:p>
        </w:tc>
        <w:tc>
          <w:tcPr>
            <w:tcW w:w="4536" w:type="dxa"/>
          </w:tcPr>
          <w:p w14:paraId="427F601F" w14:textId="77777777" w:rsidR="009B64F6" w:rsidRDefault="009B64F6" w:rsidP="001D76A7">
            <w:pPr>
              <w:rPr>
                <w:rFonts w:cstheme="minorHAnsi"/>
              </w:rPr>
            </w:pPr>
          </w:p>
          <w:p w14:paraId="1702D266" w14:textId="541B0224" w:rsidR="00C80EAD" w:rsidRPr="00A25552" w:rsidRDefault="00C80EAD" w:rsidP="001D76A7">
            <w:pPr>
              <w:rPr>
                <w:rFonts w:cstheme="minorHAnsi"/>
              </w:rPr>
            </w:pPr>
            <w:r w:rsidRPr="00A25552">
              <w:rPr>
                <w:rFonts w:cstheme="minorHAnsi"/>
              </w:rPr>
              <w:t>Data included consultations, diagnoses</w:t>
            </w:r>
            <w:r w:rsidR="00A10E5F">
              <w:rPr>
                <w:rFonts w:cstheme="minorHAnsi"/>
              </w:rPr>
              <w:t xml:space="preserve">, </w:t>
            </w:r>
            <w:r w:rsidRPr="00A25552">
              <w:rPr>
                <w:rFonts w:cstheme="minorHAnsi"/>
              </w:rPr>
              <w:t>symptoms</w:t>
            </w:r>
            <w:r w:rsidR="00A10E5F">
              <w:rPr>
                <w:rFonts w:cstheme="minorHAnsi"/>
              </w:rPr>
              <w:t>, and prescriptions</w:t>
            </w:r>
            <w:r w:rsidRPr="00A25552">
              <w:rPr>
                <w:rFonts w:cstheme="minorHAnsi"/>
              </w:rPr>
              <w:t xml:space="preserve"> for </w:t>
            </w:r>
            <w:r w:rsidRPr="00D604F5">
              <w:rPr>
                <w:rFonts w:cstheme="minorHAnsi"/>
              </w:rPr>
              <w:t xml:space="preserve">common mental health conditions recorded in electronic healthcare records (EHRs) in the network of practices. </w:t>
            </w:r>
            <w:r w:rsidR="001D76A7" w:rsidRPr="00D604F5">
              <w:rPr>
                <w:rFonts w:cstheme="minorHAnsi"/>
              </w:rPr>
              <w:t xml:space="preserve"> </w:t>
            </w:r>
            <w:r w:rsidRPr="00D604F5">
              <w:rPr>
                <w:rFonts w:cstheme="minorHAnsi"/>
              </w:rPr>
              <w:t xml:space="preserve">GP in-hours consultations were based upon a total of </w:t>
            </w:r>
            <w:r w:rsidR="007174A5">
              <w:rPr>
                <w:rFonts w:cstheme="minorHAnsi"/>
              </w:rPr>
              <w:t>783</w:t>
            </w:r>
            <w:r w:rsidRPr="00D604F5">
              <w:rPr>
                <w:rFonts w:cstheme="minorHAnsi"/>
              </w:rPr>
              <w:t xml:space="preserve"> practices, which included </w:t>
            </w:r>
            <w:r w:rsidR="002F4D43" w:rsidRPr="002F4D43">
              <w:rPr>
                <w:rFonts w:cstheme="minorHAnsi"/>
              </w:rPr>
              <w:t>9,957,196</w:t>
            </w:r>
            <w:r w:rsidRPr="002F4D43">
              <w:rPr>
                <w:rFonts w:cstheme="minorHAnsi"/>
              </w:rPr>
              <w:t xml:space="preserve"> registered patients</w:t>
            </w:r>
          </w:p>
        </w:tc>
      </w:tr>
      <w:tr w:rsidR="00C05A74" w:rsidRPr="00A25552" w14:paraId="4EB17730" w14:textId="77777777" w:rsidTr="001D62BB">
        <w:tc>
          <w:tcPr>
            <w:tcW w:w="1696" w:type="dxa"/>
          </w:tcPr>
          <w:p w14:paraId="12F482FF" w14:textId="77777777" w:rsidR="001D76A7" w:rsidRPr="001D76A7" w:rsidRDefault="001D76A7" w:rsidP="00C80EAD">
            <w:pPr>
              <w:rPr>
                <w:rFonts w:cstheme="minorHAnsi"/>
                <w:b/>
                <w:sz w:val="20"/>
                <w:szCs w:val="20"/>
              </w:rPr>
            </w:pPr>
          </w:p>
          <w:p w14:paraId="7159C605" w14:textId="77777777" w:rsidR="001D76A7" w:rsidRPr="001D76A7" w:rsidRDefault="00C80EAD" w:rsidP="00C80EAD">
            <w:pPr>
              <w:rPr>
                <w:rFonts w:cstheme="minorHAnsi"/>
                <w:b/>
                <w:sz w:val="20"/>
                <w:szCs w:val="20"/>
              </w:rPr>
            </w:pPr>
            <w:r w:rsidRPr="001D76A7">
              <w:rPr>
                <w:rFonts w:cstheme="minorHAnsi"/>
                <w:b/>
                <w:sz w:val="20"/>
                <w:szCs w:val="20"/>
              </w:rPr>
              <w:t xml:space="preserve">UKHSA </w:t>
            </w:r>
          </w:p>
          <w:p w14:paraId="73A096C9" w14:textId="49523220" w:rsidR="00C80EAD" w:rsidRPr="001D76A7" w:rsidRDefault="00C80EAD" w:rsidP="00C80EAD">
            <w:pPr>
              <w:rPr>
                <w:rFonts w:cstheme="minorHAnsi"/>
                <w:b/>
                <w:sz w:val="20"/>
                <w:szCs w:val="20"/>
              </w:rPr>
            </w:pPr>
            <w:r w:rsidRPr="001D76A7">
              <w:rPr>
                <w:rFonts w:cstheme="minorHAnsi"/>
                <w:b/>
                <w:sz w:val="20"/>
                <w:szCs w:val="20"/>
              </w:rPr>
              <w:t>GP Out-of-Hours Syndromic Surveillance System</w:t>
            </w:r>
          </w:p>
        </w:tc>
        <w:tc>
          <w:tcPr>
            <w:tcW w:w="1423" w:type="dxa"/>
          </w:tcPr>
          <w:p w14:paraId="5BB2BE3B" w14:textId="77777777" w:rsidR="00A25552" w:rsidRPr="001D76A7" w:rsidRDefault="00A25552" w:rsidP="00C80EAD">
            <w:pPr>
              <w:rPr>
                <w:rFonts w:cstheme="minorHAnsi"/>
              </w:rPr>
            </w:pPr>
          </w:p>
          <w:p w14:paraId="72C597E6" w14:textId="30DF9258" w:rsidR="00C80EAD" w:rsidRPr="001D76A7" w:rsidRDefault="00A10E5F" w:rsidP="00C80EAD">
            <w:pPr>
              <w:rPr>
                <w:rFonts w:cstheme="minorHAnsi"/>
              </w:rPr>
            </w:pPr>
            <w:r>
              <w:rPr>
                <w:rFonts w:cstheme="minorHAnsi"/>
              </w:rPr>
              <w:t>Sentinel</w:t>
            </w:r>
            <w:r w:rsidR="00C80EAD" w:rsidRPr="001D76A7">
              <w:rPr>
                <w:rFonts w:cstheme="minorHAnsi"/>
              </w:rPr>
              <w:t xml:space="preserve"> </w:t>
            </w:r>
            <w:r w:rsidR="004311AE">
              <w:rPr>
                <w:rFonts w:cstheme="minorHAnsi"/>
              </w:rPr>
              <w:t>(c)</w:t>
            </w:r>
          </w:p>
        </w:tc>
        <w:tc>
          <w:tcPr>
            <w:tcW w:w="2688" w:type="dxa"/>
          </w:tcPr>
          <w:p w14:paraId="21614E90" w14:textId="06A3AAFE" w:rsidR="00C80EAD" w:rsidRPr="00A25552" w:rsidRDefault="00C80EAD" w:rsidP="00C80EAD">
            <w:pPr>
              <w:rPr>
                <w:rFonts w:cstheme="minorHAnsi"/>
              </w:rPr>
            </w:pPr>
            <w:r w:rsidRPr="00A25552">
              <w:rPr>
                <w:rFonts w:cstheme="minorHAnsi"/>
              </w:rPr>
              <w:t xml:space="preserve">Pseudo-anonymised data uploaded from GP out-of-hours service providers who use the Advanced Health and Care Adastra software system and who participate in the UKHSA GP out-of-hours </w:t>
            </w:r>
            <w:r w:rsidR="00CD4D13">
              <w:rPr>
                <w:rFonts w:cstheme="minorHAnsi"/>
              </w:rPr>
              <w:t>SSS</w:t>
            </w:r>
          </w:p>
        </w:tc>
        <w:tc>
          <w:tcPr>
            <w:tcW w:w="4536" w:type="dxa"/>
          </w:tcPr>
          <w:p w14:paraId="66315C42" w14:textId="77777777" w:rsidR="009B64F6" w:rsidRPr="00D604F5" w:rsidRDefault="009B64F6" w:rsidP="00C80EAD">
            <w:pPr>
              <w:rPr>
                <w:rFonts w:cstheme="minorHAnsi"/>
              </w:rPr>
            </w:pPr>
          </w:p>
          <w:p w14:paraId="2D0FB578" w14:textId="2A709CB0" w:rsidR="00C80EAD" w:rsidRPr="00D604F5" w:rsidRDefault="00C80EAD" w:rsidP="00C80EAD">
            <w:pPr>
              <w:rPr>
                <w:rFonts w:cstheme="minorHAnsi"/>
                <w:b/>
              </w:rPr>
            </w:pPr>
            <w:r w:rsidRPr="00D604F5">
              <w:rPr>
                <w:rFonts w:cstheme="minorHAnsi"/>
              </w:rPr>
              <w:t>Only consultation data for 28 out-of-hours service providers that reported consistently throughout the study period were included in the study.</w:t>
            </w:r>
            <w:r w:rsidRPr="00D604F5">
              <w:rPr>
                <w:rFonts w:cstheme="minorHAnsi"/>
                <w:b/>
              </w:rPr>
              <w:t xml:space="preserve"> </w:t>
            </w:r>
            <w:r w:rsidRPr="00D604F5">
              <w:rPr>
                <w:rFonts w:cstheme="minorHAnsi"/>
                <w:bCs/>
              </w:rPr>
              <w:t>Clinical coding varies across the out-of-hours service providers and in this dataset only 39% of consultations had a clinical code</w:t>
            </w:r>
            <w:r w:rsidR="009212DF" w:rsidRPr="00D604F5">
              <w:rPr>
                <w:rFonts w:cstheme="minorHAnsi"/>
                <w:bCs/>
              </w:rPr>
              <w:t xml:space="preserve"> </w:t>
            </w:r>
          </w:p>
        </w:tc>
      </w:tr>
      <w:tr w:rsidR="00C05A74" w:rsidRPr="00A25552" w14:paraId="221CD8DC" w14:textId="77777777" w:rsidTr="001D62BB">
        <w:tc>
          <w:tcPr>
            <w:tcW w:w="1696" w:type="dxa"/>
          </w:tcPr>
          <w:p w14:paraId="093647EE" w14:textId="77777777" w:rsidR="00C80EAD" w:rsidRPr="00A25552" w:rsidRDefault="00C80EAD" w:rsidP="00C80EAD">
            <w:pPr>
              <w:rPr>
                <w:rFonts w:cstheme="minorHAnsi"/>
                <w:b/>
                <w:sz w:val="20"/>
                <w:szCs w:val="20"/>
              </w:rPr>
            </w:pPr>
            <w:r w:rsidRPr="00A25552">
              <w:rPr>
                <w:rFonts w:cstheme="minorHAnsi"/>
                <w:b/>
                <w:sz w:val="20"/>
                <w:szCs w:val="20"/>
              </w:rPr>
              <w:t xml:space="preserve">UKHSA National Ambulance Syndromic Surveillance System </w:t>
            </w:r>
          </w:p>
        </w:tc>
        <w:tc>
          <w:tcPr>
            <w:tcW w:w="1423" w:type="dxa"/>
          </w:tcPr>
          <w:p w14:paraId="609DBEFC" w14:textId="77777777" w:rsidR="00A25552" w:rsidRDefault="00A25552" w:rsidP="00C80EAD">
            <w:pPr>
              <w:rPr>
                <w:rFonts w:cstheme="minorHAnsi"/>
              </w:rPr>
            </w:pPr>
          </w:p>
          <w:p w14:paraId="027220A0" w14:textId="710E11FE" w:rsidR="00C80EAD" w:rsidRPr="00A25552" w:rsidRDefault="00C80EAD" w:rsidP="00C80EAD">
            <w:pPr>
              <w:rPr>
                <w:rFonts w:cstheme="minorHAnsi"/>
              </w:rPr>
            </w:pPr>
            <w:r w:rsidRPr="00A25552">
              <w:rPr>
                <w:rFonts w:cstheme="minorHAnsi"/>
              </w:rPr>
              <w:t xml:space="preserve">National </w:t>
            </w:r>
            <w:r w:rsidR="004311AE">
              <w:rPr>
                <w:rFonts w:cstheme="minorHAnsi"/>
              </w:rPr>
              <w:t>(c)</w:t>
            </w:r>
          </w:p>
        </w:tc>
        <w:tc>
          <w:tcPr>
            <w:tcW w:w="2688" w:type="dxa"/>
          </w:tcPr>
          <w:p w14:paraId="6F5A3F36" w14:textId="49BFE110" w:rsidR="00C80EAD" w:rsidRPr="00A25552" w:rsidRDefault="00BB1DE2" w:rsidP="00C80EAD">
            <w:pPr>
              <w:rPr>
                <w:rFonts w:cstheme="minorHAnsi"/>
              </w:rPr>
            </w:pPr>
            <w:r>
              <w:rPr>
                <w:rFonts w:cstheme="minorHAnsi"/>
              </w:rPr>
              <w:t>P</w:t>
            </w:r>
            <w:r w:rsidR="002F5A97" w:rsidRPr="00BB1DE2">
              <w:rPr>
                <w:rFonts w:cstheme="minorHAnsi"/>
              </w:rPr>
              <w:t xml:space="preserve">articipating </w:t>
            </w:r>
            <w:r w:rsidR="00C80EAD" w:rsidRPr="00A25552">
              <w:rPr>
                <w:rFonts w:cstheme="minorHAnsi"/>
              </w:rPr>
              <w:t>ambulance trusts in England reporting daily data to the UKHSA NASSS</w:t>
            </w:r>
          </w:p>
        </w:tc>
        <w:tc>
          <w:tcPr>
            <w:tcW w:w="4536" w:type="dxa"/>
          </w:tcPr>
          <w:p w14:paraId="7437F772" w14:textId="2F2E8DE1" w:rsidR="00C80EAD" w:rsidRPr="00D604F5" w:rsidRDefault="00C80EAD" w:rsidP="00C80EAD">
            <w:pPr>
              <w:rPr>
                <w:rFonts w:cstheme="minorHAnsi"/>
                <w:b/>
              </w:rPr>
            </w:pPr>
            <w:r w:rsidRPr="00D604F5">
              <w:rPr>
                <w:rFonts w:cstheme="minorHAnsi"/>
              </w:rPr>
              <w:t xml:space="preserve">Total syndromic calls included all calls where the chief presenting complaint was mapped to one of the syndromic indicators monitored by UKHSA. This does not include all calls submitted to the ambulance trusts. </w:t>
            </w:r>
            <w:r w:rsidR="00585A6C" w:rsidRPr="00D604F5">
              <w:rPr>
                <w:rFonts w:cstheme="minorHAnsi"/>
              </w:rPr>
              <w:t>Ten</w:t>
            </w:r>
            <w:r w:rsidRPr="00D604F5">
              <w:rPr>
                <w:rFonts w:cstheme="minorHAnsi"/>
              </w:rPr>
              <w:t xml:space="preserve"> ambulance trusts were included in this study</w:t>
            </w:r>
            <w:r w:rsidR="004805EA" w:rsidRPr="00D604F5">
              <w:rPr>
                <w:rFonts w:cstheme="minorHAnsi"/>
              </w:rPr>
              <w:t>.</w:t>
            </w:r>
          </w:p>
        </w:tc>
      </w:tr>
      <w:tr w:rsidR="00C05A74" w:rsidRPr="00A25552" w14:paraId="21F01680" w14:textId="77777777" w:rsidTr="001D62BB">
        <w:tc>
          <w:tcPr>
            <w:tcW w:w="1696" w:type="dxa"/>
          </w:tcPr>
          <w:p w14:paraId="47B840EB" w14:textId="72086020" w:rsidR="00C80EAD" w:rsidRPr="00A25552" w:rsidRDefault="00C80EAD" w:rsidP="00C80EAD">
            <w:pPr>
              <w:rPr>
                <w:rFonts w:cstheme="minorHAnsi"/>
                <w:b/>
                <w:sz w:val="20"/>
                <w:szCs w:val="20"/>
              </w:rPr>
            </w:pPr>
            <w:r w:rsidRPr="00A25552">
              <w:rPr>
                <w:rFonts w:cstheme="minorHAnsi"/>
                <w:b/>
                <w:sz w:val="20"/>
                <w:szCs w:val="20"/>
              </w:rPr>
              <w:t xml:space="preserve">UKHSA Emergency Department Syndromic Surveillance System </w:t>
            </w:r>
            <w:r w:rsidR="001D76A7">
              <w:rPr>
                <w:rFonts w:cstheme="minorHAnsi"/>
                <w:b/>
                <w:sz w:val="20"/>
                <w:szCs w:val="20"/>
              </w:rPr>
              <w:t xml:space="preserve"> (b)</w:t>
            </w:r>
          </w:p>
        </w:tc>
        <w:tc>
          <w:tcPr>
            <w:tcW w:w="1423" w:type="dxa"/>
          </w:tcPr>
          <w:p w14:paraId="0629325E" w14:textId="77777777" w:rsidR="00A25552" w:rsidRDefault="00A25552" w:rsidP="00C80EAD">
            <w:pPr>
              <w:rPr>
                <w:rFonts w:cstheme="minorHAnsi"/>
                <w:bCs/>
              </w:rPr>
            </w:pPr>
          </w:p>
          <w:p w14:paraId="029F5EC7" w14:textId="0ECB77A5" w:rsidR="00C80EAD" w:rsidRPr="00A25552" w:rsidRDefault="00D96D1A" w:rsidP="00C80EAD">
            <w:pPr>
              <w:rPr>
                <w:rFonts w:cstheme="minorHAnsi"/>
                <w:bCs/>
              </w:rPr>
            </w:pPr>
            <w:r>
              <w:rPr>
                <w:rFonts w:cstheme="minorHAnsi"/>
                <w:bCs/>
              </w:rPr>
              <w:t xml:space="preserve">Sentinel </w:t>
            </w:r>
            <w:r w:rsidR="004311AE">
              <w:rPr>
                <w:rFonts w:cstheme="minorHAnsi"/>
                <w:bCs/>
              </w:rPr>
              <w:t>(c)</w:t>
            </w:r>
          </w:p>
        </w:tc>
        <w:tc>
          <w:tcPr>
            <w:tcW w:w="2688" w:type="dxa"/>
          </w:tcPr>
          <w:p w14:paraId="37039EE2" w14:textId="4FE383F3" w:rsidR="00C80EAD" w:rsidRPr="00A25552" w:rsidRDefault="00C80EAD" w:rsidP="00C80EAD">
            <w:pPr>
              <w:rPr>
                <w:rFonts w:cstheme="minorHAnsi"/>
              </w:rPr>
            </w:pPr>
            <w:r w:rsidRPr="00A25552">
              <w:rPr>
                <w:rFonts w:cstheme="minorHAnsi"/>
              </w:rPr>
              <w:t>UKHSA national EDSSS began operating in April 2018 following introduction of the</w:t>
            </w:r>
          </w:p>
          <w:p w14:paraId="20F30C7D" w14:textId="48939180" w:rsidR="00C80EAD" w:rsidRPr="00A25552" w:rsidRDefault="00C80EAD" w:rsidP="00C80EAD">
            <w:pPr>
              <w:rPr>
                <w:rFonts w:cstheme="minorHAnsi"/>
                <w:color w:val="FF0000"/>
              </w:rPr>
            </w:pPr>
            <w:r w:rsidRPr="00A25552">
              <w:rPr>
                <w:rFonts w:cstheme="minorHAnsi"/>
              </w:rPr>
              <w:t>Emergency Care Data Set</w:t>
            </w:r>
            <w:r w:rsidR="004805EA">
              <w:rPr>
                <w:rFonts w:cstheme="minorHAnsi"/>
              </w:rPr>
              <w:t>.</w:t>
            </w:r>
          </w:p>
        </w:tc>
        <w:tc>
          <w:tcPr>
            <w:tcW w:w="4536" w:type="dxa"/>
          </w:tcPr>
          <w:p w14:paraId="62FD13DE" w14:textId="7A8C2C0C" w:rsidR="00C80EAD" w:rsidRPr="00A25552" w:rsidRDefault="004805EA" w:rsidP="00A25552">
            <w:pPr>
              <w:rPr>
                <w:rFonts w:cstheme="minorHAnsi"/>
                <w:color w:val="FF0000"/>
              </w:rPr>
            </w:pPr>
            <w:r w:rsidRPr="004805EA">
              <w:rPr>
                <w:rFonts w:cstheme="minorHAnsi"/>
              </w:rPr>
              <w:t>12</w:t>
            </w:r>
            <w:r w:rsidR="00C80EAD" w:rsidRPr="004805EA">
              <w:rPr>
                <w:rFonts w:cstheme="minorHAnsi"/>
              </w:rPr>
              <w:t xml:space="preserve">9 Type 1 ED’s which reported </w:t>
            </w:r>
            <w:r w:rsidR="001D76A7" w:rsidRPr="004805EA">
              <w:rPr>
                <w:rFonts w:cstheme="minorHAnsi"/>
              </w:rPr>
              <w:t>dail</w:t>
            </w:r>
            <w:r w:rsidR="00C80EAD" w:rsidRPr="004805EA">
              <w:rPr>
                <w:rFonts w:cstheme="minorHAnsi"/>
              </w:rPr>
              <w:t xml:space="preserve">y for the </w:t>
            </w:r>
            <w:r w:rsidR="00C80EAD" w:rsidRPr="00A25552">
              <w:rPr>
                <w:rFonts w:cstheme="minorHAnsi"/>
              </w:rPr>
              <w:t xml:space="preserve">whole of the study period were included. The indicators are based on the </w:t>
            </w:r>
            <w:r w:rsidR="00C80EAD" w:rsidRPr="001D76A7">
              <w:rPr>
                <w:rFonts w:cstheme="minorHAnsi"/>
              </w:rPr>
              <w:t>primary diagnosis</w:t>
            </w:r>
            <w:r w:rsidR="00A25552" w:rsidRPr="001D76A7">
              <w:rPr>
                <w:rFonts w:cstheme="minorHAnsi"/>
              </w:rPr>
              <w:t xml:space="preserve"> </w:t>
            </w:r>
            <w:r w:rsidR="00C80EAD" w:rsidRPr="001D76A7">
              <w:rPr>
                <w:rFonts w:cstheme="minorHAnsi"/>
              </w:rPr>
              <w:t>of each attendance</w:t>
            </w:r>
            <w:r>
              <w:rPr>
                <w:rFonts w:cstheme="minorHAnsi"/>
              </w:rPr>
              <w:t>.</w:t>
            </w:r>
          </w:p>
        </w:tc>
      </w:tr>
      <w:bookmarkEnd w:id="0"/>
    </w:tbl>
    <w:p w14:paraId="7B588990" w14:textId="77777777" w:rsidR="001D76A7" w:rsidRDefault="001D76A7" w:rsidP="00C80EAD">
      <w:pPr>
        <w:spacing w:after="0" w:line="240" w:lineRule="auto"/>
        <w:rPr>
          <w:rFonts w:cstheme="minorHAnsi"/>
        </w:rPr>
      </w:pPr>
    </w:p>
    <w:p w14:paraId="6D2ABC9E" w14:textId="70C97348" w:rsidR="001D76A7" w:rsidRDefault="001D76A7" w:rsidP="00C80EAD">
      <w:pPr>
        <w:spacing w:after="0" w:line="240" w:lineRule="auto"/>
        <w:rPr>
          <w:rFonts w:cstheme="minorHAnsi"/>
        </w:rPr>
      </w:pPr>
      <w:r>
        <w:rPr>
          <w:rFonts w:cstheme="minorHAnsi"/>
        </w:rPr>
        <w:t>Notes:</w:t>
      </w:r>
    </w:p>
    <w:p w14:paraId="129BE0BA" w14:textId="757A3AB2" w:rsidR="00C80EAD" w:rsidRPr="001D76A7" w:rsidRDefault="001D76A7" w:rsidP="00C80EAD">
      <w:pPr>
        <w:spacing w:after="0" w:line="240" w:lineRule="auto"/>
        <w:rPr>
          <w:rFonts w:cstheme="minorHAnsi"/>
        </w:rPr>
      </w:pPr>
      <w:r w:rsidRPr="001D76A7">
        <w:rPr>
          <w:rFonts w:cstheme="minorHAnsi"/>
        </w:rPr>
        <w:t>(a)</w:t>
      </w:r>
      <w:r w:rsidRPr="001D76A7">
        <w:rPr>
          <w:rFonts w:cstheme="minorHAnsi"/>
          <w:vertAlign w:val="superscript"/>
        </w:rPr>
        <w:t xml:space="preserve"> </w:t>
      </w:r>
      <w:hyperlink r:id="rId7" w:history="1">
        <w:r w:rsidRPr="001D76A7">
          <w:rPr>
            <w:rStyle w:val="Hyperlink"/>
            <w:rFonts w:cstheme="minorHAnsi"/>
            <w:color w:val="auto"/>
          </w:rPr>
          <w:t>https://orchid.phc.ox.ac.uk/</w:t>
        </w:r>
      </w:hyperlink>
      <w:r w:rsidR="00C80EAD" w:rsidRPr="001D76A7">
        <w:rPr>
          <w:rFonts w:cstheme="minorHAnsi"/>
        </w:rPr>
        <w:t xml:space="preserve"> ; </w:t>
      </w:r>
      <w:hyperlink r:id="rId8" w:history="1">
        <w:r w:rsidR="00C80EAD" w:rsidRPr="001D76A7">
          <w:rPr>
            <w:rStyle w:val="Hyperlink"/>
            <w:rFonts w:cstheme="minorHAnsi"/>
            <w:color w:val="auto"/>
          </w:rPr>
          <w:t>https://bmjopen.bmj.com/content/6/4/e011092</w:t>
        </w:r>
      </w:hyperlink>
    </w:p>
    <w:p w14:paraId="01090A34" w14:textId="54C70902" w:rsidR="00C80EAD" w:rsidRPr="001D76A7" w:rsidRDefault="001D76A7" w:rsidP="00C80EAD">
      <w:pPr>
        <w:spacing w:after="0" w:line="240" w:lineRule="auto"/>
        <w:rPr>
          <w:rFonts w:cstheme="minorHAnsi"/>
        </w:rPr>
      </w:pPr>
      <w:r w:rsidRPr="001D76A7">
        <w:rPr>
          <w:rFonts w:cstheme="minorHAnsi"/>
        </w:rPr>
        <w:t xml:space="preserve">(b) </w:t>
      </w:r>
      <w:r w:rsidRPr="001D76A7">
        <w:rPr>
          <w:rFonts w:cstheme="minorHAnsi"/>
          <w:vertAlign w:val="superscript"/>
        </w:rPr>
        <w:t xml:space="preserve"> </w:t>
      </w:r>
      <w:hyperlink r:id="rId9" w:history="1">
        <w:r w:rsidRPr="001D76A7">
          <w:rPr>
            <w:rStyle w:val="Hyperlink"/>
            <w:rFonts w:cstheme="minorHAnsi"/>
            <w:color w:val="auto"/>
          </w:rPr>
          <w:t>https://digital.nhs.uk/data-and-information/data-collections-and-data-sets/data-sets/emergency-care-data-set-ecds</w:t>
        </w:r>
      </w:hyperlink>
    </w:p>
    <w:p w14:paraId="297F71A9" w14:textId="596552F6" w:rsidR="00D96D1A" w:rsidRPr="00D96D1A" w:rsidRDefault="00D96D1A">
      <w:pPr>
        <w:rPr>
          <w:rFonts w:cstheme="minorHAnsi"/>
        </w:rPr>
      </w:pPr>
      <w:r w:rsidRPr="00D96D1A">
        <w:rPr>
          <w:rFonts w:cstheme="minorHAnsi"/>
        </w:rPr>
        <w:t>(c) Difference between national (population) and sentinel surveillance:</w:t>
      </w:r>
      <w:r>
        <w:rPr>
          <w:rFonts w:cstheme="minorHAnsi"/>
        </w:rPr>
        <w:t xml:space="preserve"> </w:t>
      </w:r>
      <w:hyperlink r:id="rId10" w:history="1">
        <w:r w:rsidR="001D62BB" w:rsidRPr="00CE5F33">
          <w:rPr>
            <w:rStyle w:val="Hyperlink"/>
            <w:rFonts w:cstheme="minorHAnsi"/>
          </w:rPr>
          <w:t>https://pmc.ncbi.nlm.nih.gov/articles/PMC3417785/</w:t>
        </w:r>
      </w:hyperlink>
    </w:p>
    <w:p w14:paraId="6E3D0D82" w14:textId="39A5D23E" w:rsidR="00C80EAD" w:rsidRPr="00A25552" w:rsidRDefault="00C80EAD">
      <w:pPr>
        <w:rPr>
          <w:rFonts w:cstheme="minorHAnsi"/>
          <w:color w:val="FF0000"/>
          <w:sz w:val="24"/>
          <w:szCs w:val="24"/>
        </w:rPr>
      </w:pPr>
      <w:r w:rsidRPr="00A25552">
        <w:rPr>
          <w:rFonts w:cstheme="minorHAnsi"/>
          <w:color w:val="FF0000"/>
          <w:sz w:val="24"/>
          <w:szCs w:val="24"/>
        </w:rPr>
        <w:br w:type="page"/>
      </w:r>
    </w:p>
    <w:p w14:paraId="63061B3B" w14:textId="77777777" w:rsidR="00C80EAD" w:rsidRPr="00A25552" w:rsidRDefault="00C80EAD" w:rsidP="00C80EAD">
      <w:pPr>
        <w:spacing w:after="0" w:line="240" w:lineRule="auto"/>
        <w:rPr>
          <w:rFonts w:cstheme="minorHAnsi"/>
          <w:color w:val="FF0000"/>
          <w:sz w:val="24"/>
          <w:szCs w:val="24"/>
        </w:rPr>
      </w:pPr>
    </w:p>
    <w:p w14:paraId="373C34F4" w14:textId="6D5F9F71" w:rsidR="00C80EAD" w:rsidRDefault="00C80EAD" w:rsidP="00C80EAD">
      <w:pPr>
        <w:spacing w:after="0" w:line="240" w:lineRule="auto"/>
        <w:rPr>
          <w:rFonts w:cstheme="minorHAnsi"/>
          <w:bCs/>
          <w:sz w:val="24"/>
          <w:szCs w:val="24"/>
        </w:rPr>
      </w:pPr>
      <w:r w:rsidRPr="001D76A7">
        <w:rPr>
          <w:rFonts w:cstheme="minorHAnsi"/>
          <w:b/>
          <w:sz w:val="24"/>
          <w:szCs w:val="24"/>
        </w:rPr>
        <w:t xml:space="preserve">Table S2: </w:t>
      </w:r>
      <w:r w:rsidRPr="000314DE">
        <w:rPr>
          <w:rFonts w:cstheme="minorHAnsi"/>
          <w:b/>
          <w:sz w:val="24"/>
          <w:szCs w:val="24"/>
        </w:rPr>
        <w:t>D</w:t>
      </w:r>
      <w:r w:rsidR="001D76A7" w:rsidRPr="000314DE">
        <w:rPr>
          <w:rFonts w:cstheme="minorHAnsi"/>
          <w:b/>
          <w:sz w:val="24"/>
          <w:szCs w:val="24"/>
        </w:rPr>
        <w:t>etail</w:t>
      </w:r>
      <w:r w:rsidR="006472EB" w:rsidRPr="000314DE">
        <w:rPr>
          <w:rFonts w:cstheme="minorHAnsi"/>
          <w:b/>
          <w:sz w:val="24"/>
          <w:szCs w:val="24"/>
        </w:rPr>
        <w:t xml:space="preserve">s </w:t>
      </w:r>
      <w:r w:rsidRPr="000314DE">
        <w:rPr>
          <w:rFonts w:cstheme="minorHAnsi"/>
          <w:b/>
          <w:sz w:val="24"/>
          <w:szCs w:val="24"/>
        </w:rPr>
        <w:t xml:space="preserve">of the </w:t>
      </w:r>
      <w:r w:rsidR="001D76A7" w:rsidRPr="000314DE">
        <w:rPr>
          <w:rFonts w:cstheme="minorHAnsi"/>
          <w:b/>
          <w:sz w:val="24"/>
          <w:szCs w:val="24"/>
        </w:rPr>
        <w:t xml:space="preserve">syndromic surveillance </w:t>
      </w:r>
      <w:r w:rsidRPr="000314DE">
        <w:rPr>
          <w:rFonts w:cstheme="minorHAnsi"/>
          <w:b/>
          <w:sz w:val="24"/>
          <w:szCs w:val="24"/>
        </w:rPr>
        <w:t>mental health indicators used in th</w:t>
      </w:r>
      <w:r w:rsidR="006472EB" w:rsidRPr="000314DE">
        <w:rPr>
          <w:rFonts w:cstheme="minorHAnsi"/>
          <w:b/>
          <w:sz w:val="24"/>
          <w:szCs w:val="24"/>
        </w:rPr>
        <w:t>is</w:t>
      </w:r>
      <w:r w:rsidRPr="000314DE">
        <w:rPr>
          <w:rFonts w:cstheme="minorHAnsi"/>
          <w:b/>
          <w:sz w:val="24"/>
          <w:szCs w:val="24"/>
        </w:rPr>
        <w:t xml:space="preserve"> study</w:t>
      </w:r>
    </w:p>
    <w:p w14:paraId="3D364297" w14:textId="77777777" w:rsidR="006472EB" w:rsidRPr="001D76A7" w:rsidRDefault="006472EB" w:rsidP="00C80EAD">
      <w:pPr>
        <w:spacing w:after="0" w:line="240" w:lineRule="auto"/>
        <w:rPr>
          <w:rFonts w:cstheme="minorHAnsi"/>
          <w:bCs/>
          <w:sz w:val="24"/>
          <w:szCs w:val="24"/>
        </w:rPr>
      </w:pPr>
    </w:p>
    <w:tbl>
      <w:tblPr>
        <w:tblStyle w:val="TableGrid"/>
        <w:tblW w:w="0" w:type="auto"/>
        <w:tblLook w:val="04A0" w:firstRow="1" w:lastRow="0" w:firstColumn="1" w:lastColumn="0" w:noHBand="0" w:noVBand="1"/>
      </w:tblPr>
      <w:tblGrid>
        <w:gridCol w:w="1700"/>
        <w:gridCol w:w="1984"/>
        <w:gridCol w:w="1982"/>
        <w:gridCol w:w="4790"/>
      </w:tblGrid>
      <w:tr w:rsidR="001D76A7" w:rsidRPr="001D76A7" w14:paraId="51F1F767" w14:textId="77777777" w:rsidTr="001D62BB">
        <w:tc>
          <w:tcPr>
            <w:tcW w:w="1701" w:type="dxa"/>
            <w:shd w:val="clear" w:color="auto" w:fill="E7E6E6" w:themeFill="background2"/>
          </w:tcPr>
          <w:p w14:paraId="1BC850E1" w14:textId="77777777" w:rsidR="00C80EAD" w:rsidRPr="001D76A7" w:rsidRDefault="00C80EAD" w:rsidP="00C80EAD">
            <w:pPr>
              <w:rPr>
                <w:rFonts w:cstheme="minorHAnsi"/>
                <w:b/>
                <w:sz w:val="24"/>
                <w:szCs w:val="24"/>
              </w:rPr>
            </w:pPr>
            <w:r w:rsidRPr="001D76A7">
              <w:rPr>
                <w:rFonts w:cstheme="minorHAnsi"/>
                <w:b/>
                <w:sz w:val="24"/>
                <w:szCs w:val="24"/>
              </w:rPr>
              <w:t>System</w:t>
            </w:r>
          </w:p>
        </w:tc>
        <w:tc>
          <w:tcPr>
            <w:tcW w:w="1985" w:type="dxa"/>
            <w:shd w:val="clear" w:color="auto" w:fill="E7E6E6" w:themeFill="background2"/>
          </w:tcPr>
          <w:p w14:paraId="6ED39237" w14:textId="576B1F78" w:rsidR="00C80EAD" w:rsidRPr="001D76A7" w:rsidRDefault="00C80EAD" w:rsidP="00C80EAD">
            <w:pPr>
              <w:rPr>
                <w:rFonts w:cstheme="minorHAnsi"/>
                <w:b/>
                <w:sz w:val="24"/>
                <w:szCs w:val="24"/>
              </w:rPr>
            </w:pPr>
            <w:r w:rsidRPr="001D76A7">
              <w:rPr>
                <w:rFonts w:cstheme="minorHAnsi"/>
                <w:b/>
                <w:sz w:val="24"/>
                <w:szCs w:val="24"/>
              </w:rPr>
              <w:t>Group/</w:t>
            </w:r>
            <w:r w:rsidR="00A25552" w:rsidRPr="001D76A7">
              <w:rPr>
                <w:rFonts w:cstheme="minorHAnsi"/>
                <w:b/>
                <w:sz w:val="24"/>
                <w:szCs w:val="24"/>
              </w:rPr>
              <w:t xml:space="preserve"> </w:t>
            </w:r>
            <w:r w:rsidRPr="001D76A7">
              <w:rPr>
                <w:rFonts w:cstheme="minorHAnsi"/>
                <w:b/>
                <w:sz w:val="24"/>
                <w:szCs w:val="24"/>
              </w:rPr>
              <w:t>condition</w:t>
            </w:r>
          </w:p>
        </w:tc>
        <w:tc>
          <w:tcPr>
            <w:tcW w:w="1984" w:type="dxa"/>
            <w:shd w:val="clear" w:color="auto" w:fill="E7E6E6" w:themeFill="background2"/>
          </w:tcPr>
          <w:p w14:paraId="459D36F3" w14:textId="77777777" w:rsidR="00C80EAD" w:rsidRPr="001D76A7" w:rsidRDefault="00C80EAD" w:rsidP="00C80EAD">
            <w:pPr>
              <w:rPr>
                <w:rFonts w:cstheme="minorHAnsi"/>
                <w:b/>
                <w:sz w:val="24"/>
                <w:szCs w:val="24"/>
              </w:rPr>
            </w:pPr>
            <w:r w:rsidRPr="001D76A7">
              <w:rPr>
                <w:rFonts w:cstheme="minorHAnsi"/>
                <w:b/>
                <w:sz w:val="24"/>
                <w:szCs w:val="24"/>
              </w:rPr>
              <w:t>Pathway/</w:t>
            </w:r>
          </w:p>
          <w:p w14:paraId="3B51E291" w14:textId="77777777" w:rsidR="00C80EAD" w:rsidRPr="001D76A7" w:rsidRDefault="00C80EAD" w:rsidP="00C80EAD">
            <w:pPr>
              <w:rPr>
                <w:rFonts w:cstheme="minorHAnsi"/>
                <w:b/>
                <w:sz w:val="24"/>
                <w:szCs w:val="24"/>
              </w:rPr>
            </w:pPr>
            <w:r w:rsidRPr="001D76A7">
              <w:rPr>
                <w:rFonts w:cstheme="minorHAnsi"/>
                <w:b/>
                <w:sz w:val="24"/>
                <w:szCs w:val="24"/>
              </w:rPr>
              <w:t>Read code/</w:t>
            </w:r>
          </w:p>
          <w:p w14:paraId="4F6DA9CB" w14:textId="77777777" w:rsidR="00C80EAD" w:rsidRPr="001D76A7" w:rsidRDefault="00C80EAD" w:rsidP="00C80EAD">
            <w:pPr>
              <w:rPr>
                <w:rFonts w:cstheme="minorHAnsi"/>
                <w:b/>
                <w:sz w:val="24"/>
                <w:szCs w:val="24"/>
              </w:rPr>
            </w:pPr>
            <w:r w:rsidRPr="001D76A7">
              <w:rPr>
                <w:rFonts w:cstheme="minorHAnsi"/>
                <w:b/>
                <w:sz w:val="24"/>
                <w:szCs w:val="24"/>
              </w:rPr>
              <w:t>SNOMED code</w:t>
            </w:r>
          </w:p>
        </w:tc>
        <w:tc>
          <w:tcPr>
            <w:tcW w:w="4796" w:type="dxa"/>
            <w:shd w:val="clear" w:color="auto" w:fill="E7E6E6" w:themeFill="background2"/>
          </w:tcPr>
          <w:p w14:paraId="3D17B7C6" w14:textId="77777777" w:rsidR="00C80EAD" w:rsidRPr="001D76A7" w:rsidRDefault="00C80EAD" w:rsidP="00C80EAD">
            <w:pPr>
              <w:rPr>
                <w:rFonts w:cstheme="minorHAnsi"/>
                <w:b/>
                <w:sz w:val="24"/>
                <w:szCs w:val="24"/>
              </w:rPr>
            </w:pPr>
            <w:r w:rsidRPr="001D76A7">
              <w:rPr>
                <w:rFonts w:cstheme="minorHAnsi"/>
                <w:b/>
                <w:sz w:val="24"/>
                <w:szCs w:val="24"/>
              </w:rPr>
              <w:t>Description of indicator</w:t>
            </w:r>
          </w:p>
        </w:tc>
      </w:tr>
      <w:tr w:rsidR="001D76A7" w:rsidRPr="001D76A7" w14:paraId="23F18BF3" w14:textId="77777777" w:rsidTr="001D62BB">
        <w:tc>
          <w:tcPr>
            <w:tcW w:w="1701" w:type="dxa"/>
            <w:vMerge w:val="restart"/>
          </w:tcPr>
          <w:p w14:paraId="783C20F2" w14:textId="77777777" w:rsidR="001D76A7" w:rsidRDefault="001D76A7" w:rsidP="00C80EAD">
            <w:pPr>
              <w:rPr>
                <w:rFonts w:cstheme="minorHAnsi"/>
                <w:b/>
              </w:rPr>
            </w:pPr>
          </w:p>
          <w:p w14:paraId="4AAD0767" w14:textId="55F3777F" w:rsidR="001D76A7" w:rsidRPr="001D76A7" w:rsidRDefault="001D76A7" w:rsidP="00C80EAD">
            <w:pPr>
              <w:rPr>
                <w:rFonts w:cstheme="minorHAnsi"/>
                <w:b/>
              </w:rPr>
            </w:pPr>
            <w:r w:rsidRPr="001D76A7">
              <w:rPr>
                <w:rFonts w:cstheme="minorHAnsi"/>
                <w:b/>
              </w:rPr>
              <w:t>NHS 111 calls</w:t>
            </w:r>
          </w:p>
        </w:tc>
        <w:tc>
          <w:tcPr>
            <w:tcW w:w="1985" w:type="dxa"/>
          </w:tcPr>
          <w:p w14:paraId="6B01E437" w14:textId="77777777" w:rsidR="001D76A7" w:rsidRPr="001D76A7" w:rsidRDefault="001D76A7" w:rsidP="00C80EAD">
            <w:pPr>
              <w:rPr>
                <w:rFonts w:cstheme="minorHAnsi"/>
              </w:rPr>
            </w:pPr>
            <w:r w:rsidRPr="001D76A7">
              <w:rPr>
                <w:rFonts w:cstheme="minorHAnsi"/>
              </w:rPr>
              <w:t>Mental Health Problems</w:t>
            </w:r>
          </w:p>
        </w:tc>
        <w:tc>
          <w:tcPr>
            <w:tcW w:w="1984" w:type="dxa"/>
          </w:tcPr>
          <w:p w14:paraId="429CFE1A" w14:textId="77777777" w:rsidR="001D76A7" w:rsidRPr="001D76A7" w:rsidRDefault="001D76A7" w:rsidP="00C80EAD">
            <w:pPr>
              <w:rPr>
                <w:rFonts w:cstheme="minorHAnsi"/>
              </w:rPr>
            </w:pPr>
            <w:r w:rsidRPr="001D76A7">
              <w:rPr>
                <w:rFonts w:cstheme="minorHAnsi"/>
              </w:rPr>
              <w:t>Pathway</w:t>
            </w:r>
          </w:p>
        </w:tc>
        <w:tc>
          <w:tcPr>
            <w:tcW w:w="4796" w:type="dxa"/>
          </w:tcPr>
          <w:p w14:paraId="1BCD097C" w14:textId="77777777" w:rsidR="001D76A7" w:rsidRPr="001D76A7" w:rsidRDefault="001D76A7" w:rsidP="00C80EAD">
            <w:pPr>
              <w:rPr>
                <w:rFonts w:cstheme="minorHAnsi"/>
              </w:rPr>
            </w:pPr>
            <w:r w:rsidRPr="001D76A7">
              <w:rPr>
                <w:rFonts w:cstheme="minorHAnsi"/>
              </w:rPr>
              <w:t>Pathway describing known mental health problems</w:t>
            </w:r>
          </w:p>
        </w:tc>
      </w:tr>
      <w:tr w:rsidR="001D76A7" w:rsidRPr="001D76A7" w14:paraId="2750F717" w14:textId="77777777" w:rsidTr="001D62BB">
        <w:tc>
          <w:tcPr>
            <w:tcW w:w="1701" w:type="dxa"/>
            <w:vMerge/>
          </w:tcPr>
          <w:p w14:paraId="0D2BE962" w14:textId="1D3CEC24" w:rsidR="001D76A7" w:rsidRPr="001D76A7" w:rsidRDefault="001D76A7" w:rsidP="001D76A7">
            <w:pPr>
              <w:rPr>
                <w:rFonts w:cstheme="minorHAnsi"/>
                <w:b/>
              </w:rPr>
            </w:pPr>
          </w:p>
        </w:tc>
        <w:tc>
          <w:tcPr>
            <w:tcW w:w="1985" w:type="dxa"/>
          </w:tcPr>
          <w:p w14:paraId="68A51AF5" w14:textId="77777777" w:rsidR="001D76A7" w:rsidRPr="001D76A7" w:rsidRDefault="001D76A7" w:rsidP="00C80EAD">
            <w:pPr>
              <w:rPr>
                <w:rFonts w:cstheme="minorHAnsi"/>
              </w:rPr>
            </w:pPr>
            <w:r w:rsidRPr="001D76A7">
              <w:rPr>
                <w:rFonts w:cstheme="minorHAnsi"/>
              </w:rPr>
              <w:t>Sleep difficulties</w:t>
            </w:r>
          </w:p>
        </w:tc>
        <w:tc>
          <w:tcPr>
            <w:tcW w:w="1984" w:type="dxa"/>
          </w:tcPr>
          <w:p w14:paraId="21081859" w14:textId="77777777" w:rsidR="001D76A7" w:rsidRPr="001D76A7" w:rsidRDefault="001D76A7" w:rsidP="00C80EAD">
            <w:pPr>
              <w:rPr>
                <w:rFonts w:cstheme="minorHAnsi"/>
              </w:rPr>
            </w:pPr>
            <w:r w:rsidRPr="001D76A7">
              <w:rPr>
                <w:rFonts w:cstheme="minorHAnsi"/>
              </w:rPr>
              <w:t>Pathway</w:t>
            </w:r>
          </w:p>
        </w:tc>
        <w:tc>
          <w:tcPr>
            <w:tcW w:w="4796" w:type="dxa"/>
          </w:tcPr>
          <w:p w14:paraId="4E9AE506" w14:textId="77777777" w:rsidR="001D76A7" w:rsidRPr="001D76A7" w:rsidRDefault="001D76A7" w:rsidP="00C80EAD">
            <w:pPr>
              <w:rPr>
                <w:rFonts w:cstheme="minorHAnsi"/>
              </w:rPr>
            </w:pPr>
            <w:r w:rsidRPr="001D76A7">
              <w:rPr>
                <w:rFonts w:cstheme="minorHAnsi"/>
              </w:rPr>
              <w:t>Sleep difficulties</w:t>
            </w:r>
          </w:p>
        </w:tc>
      </w:tr>
      <w:tr w:rsidR="001D76A7" w:rsidRPr="001D76A7" w14:paraId="6DD2F0A1" w14:textId="77777777" w:rsidTr="001D62BB">
        <w:tc>
          <w:tcPr>
            <w:tcW w:w="1701" w:type="dxa"/>
            <w:vMerge w:val="restart"/>
          </w:tcPr>
          <w:p w14:paraId="7385CB71" w14:textId="77777777" w:rsidR="001D76A7" w:rsidRDefault="001D76A7" w:rsidP="00C80EAD">
            <w:pPr>
              <w:rPr>
                <w:rFonts w:cstheme="minorHAnsi"/>
                <w:b/>
              </w:rPr>
            </w:pPr>
          </w:p>
          <w:p w14:paraId="1D8387C7" w14:textId="35C8CDA4" w:rsidR="00C80EAD" w:rsidRDefault="00C80EAD" w:rsidP="00C80EAD">
            <w:pPr>
              <w:rPr>
                <w:rFonts w:cstheme="minorHAnsi"/>
                <w:b/>
              </w:rPr>
            </w:pPr>
            <w:r w:rsidRPr="001D76A7">
              <w:rPr>
                <w:rFonts w:cstheme="minorHAnsi"/>
                <w:b/>
              </w:rPr>
              <w:t>GP out-of-hours consultations</w:t>
            </w:r>
          </w:p>
          <w:p w14:paraId="3197B198" w14:textId="77777777" w:rsidR="006472EB" w:rsidRDefault="006472EB" w:rsidP="00C80EAD">
            <w:pPr>
              <w:rPr>
                <w:rFonts w:cstheme="minorHAnsi"/>
                <w:b/>
              </w:rPr>
            </w:pPr>
          </w:p>
          <w:p w14:paraId="3BA81E66" w14:textId="77777777" w:rsidR="006472EB" w:rsidRPr="001D76A7" w:rsidRDefault="006472EB" w:rsidP="00C80EAD">
            <w:pPr>
              <w:rPr>
                <w:rFonts w:cstheme="minorHAnsi"/>
                <w:b/>
              </w:rPr>
            </w:pPr>
          </w:p>
          <w:p w14:paraId="59FCAB97" w14:textId="2E517A12" w:rsidR="00C80EAD" w:rsidRPr="001D76A7" w:rsidRDefault="00C80EAD" w:rsidP="00C80EAD">
            <w:pPr>
              <w:rPr>
                <w:rFonts w:cstheme="minorHAnsi"/>
                <w:b/>
              </w:rPr>
            </w:pPr>
          </w:p>
        </w:tc>
        <w:tc>
          <w:tcPr>
            <w:tcW w:w="1985" w:type="dxa"/>
          </w:tcPr>
          <w:p w14:paraId="1C54A695" w14:textId="77777777" w:rsidR="00A25552" w:rsidRPr="001D76A7" w:rsidRDefault="00A25552" w:rsidP="00C80EAD">
            <w:pPr>
              <w:rPr>
                <w:rFonts w:cstheme="minorHAnsi"/>
              </w:rPr>
            </w:pPr>
          </w:p>
          <w:p w14:paraId="4D4FB8F0" w14:textId="3BADF9CB" w:rsidR="00C80EAD" w:rsidRPr="001D76A7" w:rsidRDefault="00C80EAD" w:rsidP="00C80EAD">
            <w:pPr>
              <w:rPr>
                <w:rFonts w:cstheme="minorHAnsi"/>
              </w:rPr>
            </w:pPr>
            <w:r w:rsidRPr="001D76A7">
              <w:rPr>
                <w:rFonts w:cstheme="minorHAnsi"/>
              </w:rPr>
              <w:t>Depression</w:t>
            </w:r>
          </w:p>
        </w:tc>
        <w:tc>
          <w:tcPr>
            <w:tcW w:w="1984" w:type="dxa"/>
          </w:tcPr>
          <w:p w14:paraId="429559D7" w14:textId="77777777" w:rsidR="00A25552" w:rsidRPr="001D76A7" w:rsidRDefault="00A25552" w:rsidP="00C80EAD">
            <w:pPr>
              <w:rPr>
                <w:rFonts w:cstheme="minorHAnsi"/>
              </w:rPr>
            </w:pPr>
          </w:p>
          <w:p w14:paraId="0676BD69" w14:textId="768760B1" w:rsidR="00C80EAD" w:rsidRPr="001D76A7" w:rsidRDefault="00C80EAD" w:rsidP="00C80EAD">
            <w:pPr>
              <w:rPr>
                <w:rFonts w:cstheme="minorHAnsi"/>
              </w:rPr>
            </w:pPr>
            <w:r w:rsidRPr="001D76A7">
              <w:rPr>
                <w:rFonts w:cstheme="minorHAnsi"/>
              </w:rPr>
              <w:t>Read code</w:t>
            </w:r>
          </w:p>
        </w:tc>
        <w:tc>
          <w:tcPr>
            <w:tcW w:w="4796" w:type="dxa"/>
            <w:shd w:val="clear" w:color="auto" w:fill="auto"/>
            <w:vAlign w:val="bottom"/>
          </w:tcPr>
          <w:p w14:paraId="144D200B" w14:textId="77777777" w:rsidR="00C80EAD" w:rsidRPr="001D76A7" w:rsidRDefault="00C80EAD" w:rsidP="00C80EAD">
            <w:pPr>
              <w:rPr>
                <w:rFonts w:cstheme="minorHAnsi"/>
                <w:sz w:val="20"/>
                <w:szCs w:val="20"/>
              </w:rPr>
            </w:pPr>
            <w:r w:rsidRPr="001D76A7">
              <w:rPr>
                <w:rFonts w:cstheme="minorHAnsi"/>
                <w:sz w:val="20"/>
                <w:szCs w:val="20"/>
              </w:rPr>
              <w:t>Depressed; symptoms of depression; low mood; depressive episodes; post viral depression; dysthymia; restlessness and agitation</w:t>
            </w:r>
          </w:p>
        </w:tc>
      </w:tr>
      <w:tr w:rsidR="001D76A7" w:rsidRPr="001D76A7" w14:paraId="6302AECE" w14:textId="77777777" w:rsidTr="001D62BB">
        <w:trPr>
          <w:trHeight w:val="647"/>
        </w:trPr>
        <w:tc>
          <w:tcPr>
            <w:tcW w:w="1701" w:type="dxa"/>
            <w:vMerge/>
          </w:tcPr>
          <w:p w14:paraId="506637E3" w14:textId="77777777" w:rsidR="00C80EAD" w:rsidRPr="001D76A7" w:rsidRDefault="00C80EAD" w:rsidP="00C80EAD">
            <w:pPr>
              <w:rPr>
                <w:rFonts w:cstheme="minorHAnsi"/>
                <w:b/>
              </w:rPr>
            </w:pPr>
          </w:p>
        </w:tc>
        <w:tc>
          <w:tcPr>
            <w:tcW w:w="1985" w:type="dxa"/>
          </w:tcPr>
          <w:p w14:paraId="7C7AF2C7" w14:textId="77777777" w:rsidR="00C80EAD" w:rsidRPr="001D76A7" w:rsidRDefault="00C80EAD" w:rsidP="00C80EAD">
            <w:pPr>
              <w:rPr>
                <w:rFonts w:cstheme="minorHAnsi"/>
              </w:rPr>
            </w:pPr>
            <w:r w:rsidRPr="001D76A7">
              <w:rPr>
                <w:rFonts w:cstheme="minorHAnsi"/>
              </w:rPr>
              <w:t>Anxiety</w:t>
            </w:r>
          </w:p>
        </w:tc>
        <w:tc>
          <w:tcPr>
            <w:tcW w:w="1984" w:type="dxa"/>
          </w:tcPr>
          <w:p w14:paraId="13C0AB0A" w14:textId="77777777" w:rsidR="00C80EAD" w:rsidRPr="00AE3895" w:rsidRDefault="00C80EAD" w:rsidP="00C80EAD">
            <w:pPr>
              <w:rPr>
                <w:rFonts w:cstheme="minorHAnsi"/>
              </w:rPr>
            </w:pPr>
            <w:r w:rsidRPr="00AE3895">
              <w:rPr>
                <w:rFonts w:cstheme="minorHAnsi"/>
              </w:rPr>
              <w:t>Read code</w:t>
            </w:r>
          </w:p>
        </w:tc>
        <w:tc>
          <w:tcPr>
            <w:tcW w:w="4796" w:type="dxa"/>
            <w:vAlign w:val="bottom"/>
          </w:tcPr>
          <w:p w14:paraId="616E6417" w14:textId="77777777" w:rsidR="00C80EAD" w:rsidRPr="001D76A7" w:rsidRDefault="00C80EAD" w:rsidP="00C80EAD">
            <w:pPr>
              <w:rPr>
                <w:rFonts w:eastAsia="Times New Roman" w:cstheme="minorHAnsi"/>
                <w:sz w:val="20"/>
                <w:szCs w:val="20"/>
                <w:lang w:eastAsia="en-GB"/>
              </w:rPr>
            </w:pPr>
            <w:r w:rsidRPr="001D76A7">
              <w:rPr>
                <w:rFonts w:cstheme="minorHAnsi"/>
                <w:sz w:val="20"/>
                <w:szCs w:val="20"/>
              </w:rPr>
              <w:t>Anxiousness; life crisis; generalised anxiety disorder; acute reaction to stress; panic attacks; Chronic post-traumatic stress disorder</w:t>
            </w:r>
          </w:p>
        </w:tc>
      </w:tr>
      <w:tr w:rsidR="006472EB" w:rsidRPr="001D76A7" w14:paraId="17DC904B" w14:textId="77777777" w:rsidTr="001D62BB">
        <w:tc>
          <w:tcPr>
            <w:tcW w:w="1701" w:type="dxa"/>
          </w:tcPr>
          <w:p w14:paraId="0B01CAE0" w14:textId="0DBB6F56" w:rsidR="006472EB" w:rsidRPr="001D76A7" w:rsidRDefault="006472EB" w:rsidP="006472EB">
            <w:pPr>
              <w:rPr>
                <w:rFonts w:cstheme="minorHAnsi"/>
                <w:b/>
              </w:rPr>
            </w:pPr>
            <w:r>
              <w:rPr>
                <w:rFonts w:cstheme="minorHAnsi"/>
                <w:b/>
              </w:rPr>
              <w:t>Ambulance call outs</w:t>
            </w:r>
          </w:p>
        </w:tc>
        <w:tc>
          <w:tcPr>
            <w:tcW w:w="1985" w:type="dxa"/>
          </w:tcPr>
          <w:p w14:paraId="5ED0A7C0" w14:textId="73200851" w:rsidR="006472EB" w:rsidRPr="001D76A7" w:rsidRDefault="006472EB" w:rsidP="006472EB">
            <w:pPr>
              <w:rPr>
                <w:rFonts w:cstheme="minorHAnsi"/>
                <w:sz w:val="20"/>
                <w:szCs w:val="20"/>
              </w:rPr>
            </w:pPr>
            <w:r w:rsidRPr="001D76A7">
              <w:rPr>
                <w:rFonts w:cstheme="minorHAnsi"/>
                <w:sz w:val="20"/>
                <w:szCs w:val="20"/>
              </w:rPr>
              <w:t>Overdose/ Ingestion/ Poisoning</w:t>
            </w:r>
          </w:p>
        </w:tc>
        <w:tc>
          <w:tcPr>
            <w:tcW w:w="1984" w:type="dxa"/>
          </w:tcPr>
          <w:p w14:paraId="05C04952" w14:textId="797AED4F" w:rsidR="006472EB" w:rsidRPr="00AE3895" w:rsidRDefault="00AE3895" w:rsidP="006472EB">
            <w:pPr>
              <w:rPr>
                <w:rFonts w:cstheme="minorHAnsi"/>
              </w:rPr>
            </w:pPr>
            <w:r w:rsidRPr="00AE3895">
              <w:rPr>
                <w:rFonts w:cstheme="minorHAnsi"/>
              </w:rPr>
              <w:t>NA</w:t>
            </w:r>
          </w:p>
        </w:tc>
        <w:tc>
          <w:tcPr>
            <w:tcW w:w="4796" w:type="dxa"/>
          </w:tcPr>
          <w:p w14:paraId="3CC976BA" w14:textId="2EEC038A" w:rsidR="006472EB" w:rsidRPr="001D76A7" w:rsidRDefault="006472EB" w:rsidP="006472EB">
            <w:pPr>
              <w:rPr>
                <w:rFonts w:cstheme="minorHAnsi"/>
              </w:rPr>
            </w:pPr>
            <w:r w:rsidRPr="001D76A7">
              <w:rPr>
                <w:rFonts w:cstheme="minorHAnsi"/>
              </w:rPr>
              <w:t>Overdoses, ingestion of a substance or poisoning</w:t>
            </w:r>
          </w:p>
        </w:tc>
      </w:tr>
      <w:tr w:rsidR="006472EB" w:rsidRPr="001D76A7" w14:paraId="01357DD3" w14:textId="77777777" w:rsidTr="001D62BB">
        <w:tc>
          <w:tcPr>
            <w:tcW w:w="1701" w:type="dxa"/>
            <w:vMerge w:val="restart"/>
          </w:tcPr>
          <w:p w14:paraId="1E208FDF" w14:textId="77777777" w:rsidR="006472EB" w:rsidRDefault="006472EB" w:rsidP="006472EB">
            <w:pPr>
              <w:rPr>
                <w:rFonts w:cstheme="minorHAnsi"/>
                <w:b/>
              </w:rPr>
            </w:pPr>
          </w:p>
          <w:p w14:paraId="64761DD4" w14:textId="77777777" w:rsidR="006472EB" w:rsidRPr="001D76A7" w:rsidRDefault="006472EB" w:rsidP="006472EB">
            <w:pPr>
              <w:rPr>
                <w:rFonts w:cstheme="minorHAnsi"/>
                <w:b/>
              </w:rPr>
            </w:pPr>
          </w:p>
          <w:p w14:paraId="4F78238B" w14:textId="7BDB10CD" w:rsidR="006472EB" w:rsidRPr="001D76A7" w:rsidRDefault="006472EB" w:rsidP="006472EB">
            <w:pPr>
              <w:rPr>
                <w:rFonts w:cstheme="minorHAnsi"/>
                <w:b/>
              </w:rPr>
            </w:pPr>
            <w:r w:rsidRPr="001D76A7">
              <w:rPr>
                <w:rFonts w:cstheme="minorHAnsi"/>
                <w:b/>
              </w:rPr>
              <w:t>Emergency department attendances</w:t>
            </w:r>
          </w:p>
        </w:tc>
        <w:tc>
          <w:tcPr>
            <w:tcW w:w="1985" w:type="dxa"/>
          </w:tcPr>
          <w:p w14:paraId="1C981D61" w14:textId="77777777" w:rsidR="006472EB" w:rsidRPr="001D76A7" w:rsidRDefault="006472EB" w:rsidP="006472EB">
            <w:pPr>
              <w:rPr>
                <w:rFonts w:cstheme="minorHAnsi"/>
              </w:rPr>
            </w:pPr>
          </w:p>
          <w:p w14:paraId="4EF873F2" w14:textId="76A46A8A" w:rsidR="006472EB" w:rsidRPr="001D76A7" w:rsidRDefault="006472EB" w:rsidP="006472EB">
            <w:pPr>
              <w:rPr>
                <w:rFonts w:cstheme="minorHAnsi"/>
              </w:rPr>
            </w:pPr>
            <w:r w:rsidRPr="001D76A7">
              <w:rPr>
                <w:rFonts w:cstheme="minorHAnsi"/>
              </w:rPr>
              <w:t>Mental health</w:t>
            </w:r>
          </w:p>
        </w:tc>
        <w:tc>
          <w:tcPr>
            <w:tcW w:w="1984" w:type="dxa"/>
          </w:tcPr>
          <w:p w14:paraId="679B17CC" w14:textId="77777777" w:rsidR="006472EB" w:rsidRPr="001D76A7" w:rsidRDefault="006472EB" w:rsidP="006472EB">
            <w:pPr>
              <w:rPr>
                <w:rFonts w:cstheme="minorHAnsi"/>
              </w:rPr>
            </w:pPr>
          </w:p>
          <w:p w14:paraId="2C84ECB2" w14:textId="12ABE5C9" w:rsidR="006472EB" w:rsidRPr="001D76A7" w:rsidRDefault="006472EB" w:rsidP="006472EB">
            <w:pPr>
              <w:rPr>
                <w:rFonts w:cstheme="minorHAnsi"/>
              </w:rPr>
            </w:pPr>
            <w:r w:rsidRPr="001D76A7">
              <w:rPr>
                <w:rFonts w:cstheme="minorHAnsi"/>
              </w:rPr>
              <w:t>SNOMED</w:t>
            </w:r>
          </w:p>
        </w:tc>
        <w:tc>
          <w:tcPr>
            <w:tcW w:w="4796" w:type="dxa"/>
            <w:vAlign w:val="center"/>
          </w:tcPr>
          <w:p w14:paraId="02794415" w14:textId="77777777" w:rsidR="006472EB" w:rsidRPr="001D76A7" w:rsidRDefault="006472EB" w:rsidP="006472EB">
            <w:pPr>
              <w:rPr>
                <w:rFonts w:cstheme="minorHAnsi"/>
                <w:sz w:val="20"/>
                <w:szCs w:val="20"/>
              </w:rPr>
            </w:pPr>
            <w:r w:rsidRPr="001D76A7">
              <w:rPr>
                <w:rFonts w:cstheme="minorHAnsi"/>
                <w:sz w:val="20"/>
                <w:szCs w:val="20"/>
              </w:rPr>
              <w:t>Dementia; delirium; personality disorder; eating disorder; depressive disorders; anxiety; psychotic disorders; bipolar disorders; schizophrenia; somatization disorder; somatoform disorder; dissociative disorder; adjustment disorder; factitious disorder</w:t>
            </w:r>
          </w:p>
        </w:tc>
      </w:tr>
      <w:tr w:rsidR="006472EB" w:rsidRPr="001D76A7" w14:paraId="5F3F7016" w14:textId="77777777" w:rsidTr="001D62BB">
        <w:tc>
          <w:tcPr>
            <w:tcW w:w="1701" w:type="dxa"/>
            <w:vMerge/>
          </w:tcPr>
          <w:p w14:paraId="7C28B0DD" w14:textId="6EDA9719" w:rsidR="006472EB" w:rsidRPr="001D76A7" w:rsidRDefault="006472EB" w:rsidP="006472EB">
            <w:pPr>
              <w:rPr>
                <w:rFonts w:cstheme="minorHAnsi"/>
                <w:b/>
              </w:rPr>
            </w:pPr>
          </w:p>
        </w:tc>
        <w:tc>
          <w:tcPr>
            <w:tcW w:w="1985" w:type="dxa"/>
          </w:tcPr>
          <w:p w14:paraId="736A26F5" w14:textId="77777777" w:rsidR="006472EB" w:rsidRPr="001D76A7" w:rsidRDefault="006472EB" w:rsidP="006472EB">
            <w:pPr>
              <w:rPr>
                <w:rFonts w:cstheme="minorHAnsi"/>
              </w:rPr>
            </w:pPr>
          </w:p>
          <w:p w14:paraId="4015FB60" w14:textId="43ECEDC3" w:rsidR="006472EB" w:rsidRPr="001D76A7" w:rsidRDefault="006472EB" w:rsidP="006472EB">
            <w:pPr>
              <w:rPr>
                <w:rFonts w:cstheme="minorHAnsi"/>
              </w:rPr>
            </w:pPr>
            <w:r w:rsidRPr="001D76A7">
              <w:rPr>
                <w:rFonts w:cstheme="minorHAnsi"/>
              </w:rPr>
              <w:t>Overdose</w:t>
            </w:r>
          </w:p>
        </w:tc>
        <w:tc>
          <w:tcPr>
            <w:tcW w:w="1984" w:type="dxa"/>
          </w:tcPr>
          <w:p w14:paraId="2FEE3F75" w14:textId="77777777" w:rsidR="006472EB" w:rsidRPr="001D76A7" w:rsidRDefault="006472EB" w:rsidP="006472EB">
            <w:pPr>
              <w:rPr>
                <w:rFonts w:cstheme="minorHAnsi"/>
              </w:rPr>
            </w:pPr>
          </w:p>
          <w:p w14:paraId="26596AAB" w14:textId="4A656C08" w:rsidR="006472EB" w:rsidRPr="001D76A7" w:rsidRDefault="006472EB" w:rsidP="006472EB">
            <w:pPr>
              <w:rPr>
                <w:rFonts w:cstheme="minorHAnsi"/>
              </w:rPr>
            </w:pPr>
            <w:r w:rsidRPr="001D76A7">
              <w:rPr>
                <w:rFonts w:cstheme="minorHAnsi"/>
              </w:rPr>
              <w:t>SNOMED</w:t>
            </w:r>
          </w:p>
        </w:tc>
        <w:tc>
          <w:tcPr>
            <w:tcW w:w="4796" w:type="dxa"/>
            <w:vAlign w:val="center"/>
          </w:tcPr>
          <w:p w14:paraId="4F5DDEF6" w14:textId="77777777" w:rsidR="006472EB" w:rsidRPr="001D76A7" w:rsidRDefault="006472EB" w:rsidP="006472EB">
            <w:pPr>
              <w:rPr>
                <w:rFonts w:cstheme="minorHAnsi"/>
                <w:sz w:val="20"/>
                <w:szCs w:val="20"/>
              </w:rPr>
            </w:pPr>
            <w:r w:rsidRPr="001D76A7">
              <w:rPr>
                <w:rFonts w:cstheme="minorHAnsi"/>
                <w:sz w:val="20"/>
                <w:szCs w:val="20"/>
              </w:rPr>
              <w:t>Acetaminophen overdose; Non-steroidal anti-inflammatory overdose; overdose of antidepressant drug; sedative overdose; overdose of opiate</w:t>
            </w:r>
          </w:p>
        </w:tc>
      </w:tr>
      <w:tr w:rsidR="006472EB" w:rsidRPr="00A25552" w14:paraId="2728077F" w14:textId="77777777" w:rsidTr="001D62BB">
        <w:tc>
          <w:tcPr>
            <w:tcW w:w="1701" w:type="dxa"/>
            <w:vMerge/>
          </w:tcPr>
          <w:p w14:paraId="1FBBEB57" w14:textId="77777777" w:rsidR="006472EB" w:rsidRPr="00A25552" w:rsidRDefault="006472EB" w:rsidP="006472EB">
            <w:pPr>
              <w:rPr>
                <w:rFonts w:cstheme="minorHAnsi"/>
                <w:b/>
              </w:rPr>
            </w:pPr>
          </w:p>
        </w:tc>
        <w:tc>
          <w:tcPr>
            <w:tcW w:w="1985" w:type="dxa"/>
          </w:tcPr>
          <w:p w14:paraId="074018F0" w14:textId="2E621329" w:rsidR="006472EB" w:rsidRPr="00A25552" w:rsidRDefault="006472EB" w:rsidP="006472EB">
            <w:pPr>
              <w:rPr>
                <w:rFonts w:cstheme="minorHAnsi"/>
              </w:rPr>
            </w:pPr>
            <w:r w:rsidRPr="00A25552">
              <w:rPr>
                <w:rFonts w:cstheme="minorHAnsi"/>
              </w:rPr>
              <w:t>Alcohol intoxication</w:t>
            </w:r>
          </w:p>
        </w:tc>
        <w:tc>
          <w:tcPr>
            <w:tcW w:w="1984" w:type="dxa"/>
          </w:tcPr>
          <w:p w14:paraId="410968BC" w14:textId="77777777" w:rsidR="006472EB" w:rsidRPr="00A25552" w:rsidRDefault="006472EB" w:rsidP="006472EB">
            <w:pPr>
              <w:rPr>
                <w:rFonts w:cstheme="minorHAnsi"/>
              </w:rPr>
            </w:pPr>
            <w:r w:rsidRPr="00A25552">
              <w:rPr>
                <w:rFonts w:cstheme="minorHAnsi"/>
              </w:rPr>
              <w:t>SNOMED</w:t>
            </w:r>
          </w:p>
        </w:tc>
        <w:tc>
          <w:tcPr>
            <w:tcW w:w="4796" w:type="dxa"/>
            <w:vAlign w:val="center"/>
          </w:tcPr>
          <w:p w14:paraId="2103BAF5" w14:textId="77777777" w:rsidR="006472EB" w:rsidRPr="00A25552" w:rsidRDefault="006472EB" w:rsidP="006472EB">
            <w:pPr>
              <w:rPr>
                <w:rFonts w:cstheme="minorHAnsi"/>
                <w:color w:val="000000"/>
              </w:rPr>
            </w:pPr>
            <w:r w:rsidRPr="00A25552">
              <w:rPr>
                <w:rFonts w:cstheme="minorHAnsi"/>
                <w:color w:val="000000"/>
              </w:rPr>
              <w:t>Alcohol intoxication; alcohol dependence; Uncomplicated alcohol withdrawal; Toxic effect of alcohol;</w:t>
            </w:r>
            <w:r w:rsidRPr="00A25552">
              <w:rPr>
                <w:rFonts w:cstheme="minorHAnsi"/>
              </w:rPr>
              <w:t xml:space="preserve"> </w:t>
            </w:r>
            <w:r w:rsidRPr="00A25552">
              <w:rPr>
                <w:rFonts w:cstheme="minorHAnsi"/>
                <w:color w:val="000000"/>
              </w:rPr>
              <w:t>Alcohol withdrawal induced convulsion</w:t>
            </w:r>
          </w:p>
        </w:tc>
      </w:tr>
    </w:tbl>
    <w:p w14:paraId="32D46660" w14:textId="0B47131A" w:rsidR="00C80EAD" w:rsidRPr="00A25552" w:rsidRDefault="00C80EAD" w:rsidP="00C80EAD">
      <w:pPr>
        <w:spacing w:after="0" w:line="240" w:lineRule="auto"/>
        <w:rPr>
          <w:rFonts w:cstheme="minorHAnsi"/>
          <w:b/>
          <w:sz w:val="24"/>
          <w:szCs w:val="24"/>
        </w:rPr>
      </w:pPr>
    </w:p>
    <w:p w14:paraId="68098D7D" w14:textId="77777777" w:rsidR="00C80EAD" w:rsidRPr="00A25552" w:rsidRDefault="00C80EAD" w:rsidP="00C80EAD">
      <w:pPr>
        <w:spacing w:after="0" w:line="240" w:lineRule="auto"/>
        <w:rPr>
          <w:rFonts w:cstheme="minorHAnsi"/>
          <w:b/>
          <w:sz w:val="24"/>
          <w:szCs w:val="24"/>
        </w:rPr>
      </w:pPr>
    </w:p>
    <w:p w14:paraId="274405B8" w14:textId="77777777" w:rsidR="00C80EAD" w:rsidRPr="00A25552" w:rsidRDefault="00C80EAD" w:rsidP="00C80EAD">
      <w:pPr>
        <w:spacing w:after="0" w:line="240" w:lineRule="auto"/>
        <w:rPr>
          <w:rFonts w:cstheme="minorHAnsi"/>
          <w:bCs/>
          <w:sz w:val="24"/>
          <w:szCs w:val="24"/>
        </w:rPr>
      </w:pPr>
    </w:p>
    <w:p w14:paraId="405D1727" w14:textId="77777777" w:rsidR="00C05A74" w:rsidRPr="00A25552" w:rsidRDefault="00C05A74" w:rsidP="00C80EAD">
      <w:pPr>
        <w:spacing w:after="0" w:line="240" w:lineRule="auto"/>
        <w:rPr>
          <w:rFonts w:cstheme="minorHAnsi"/>
          <w:b/>
          <w:sz w:val="24"/>
          <w:szCs w:val="24"/>
        </w:rPr>
      </w:pPr>
    </w:p>
    <w:p w14:paraId="4DAB40AD" w14:textId="77777777" w:rsidR="00C80EAD" w:rsidRDefault="00C80EAD" w:rsidP="00C80EAD">
      <w:pPr>
        <w:spacing w:after="0" w:line="240" w:lineRule="auto"/>
        <w:rPr>
          <w:b/>
          <w:bCs/>
        </w:rPr>
      </w:pPr>
    </w:p>
    <w:p w14:paraId="66B4B8CF" w14:textId="77777777" w:rsidR="00C80EAD" w:rsidRDefault="00C80EAD" w:rsidP="00C80EAD">
      <w:pPr>
        <w:spacing w:after="0" w:line="240" w:lineRule="auto"/>
        <w:rPr>
          <w:b/>
          <w:bCs/>
        </w:rPr>
      </w:pPr>
    </w:p>
    <w:p w14:paraId="08FE650B" w14:textId="77777777" w:rsidR="00C80EAD" w:rsidRDefault="00C80EAD" w:rsidP="00C80EAD">
      <w:pPr>
        <w:spacing w:after="0" w:line="240" w:lineRule="auto"/>
        <w:rPr>
          <w:b/>
          <w:bCs/>
        </w:rPr>
        <w:sectPr w:rsidR="00C80EAD" w:rsidSect="00C80EAD">
          <w:headerReference w:type="default" r:id="rId11"/>
          <w:pgSz w:w="11906" w:h="16838"/>
          <w:pgMar w:top="720" w:right="720" w:bottom="720" w:left="720" w:header="708" w:footer="708" w:gutter="0"/>
          <w:cols w:space="708"/>
          <w:docGrid w:linePitch="360"/>
        </w:sectPr>
      </w:pPr>
    </w:p>
    <w:p w14:paraId="58AC132E" w14:textId="77777777" w:rsidR="009468F6" w:rsidRDefault="009468F6" w:rsidP="00C80EAD">
      <w:pPr>
        <w:spacing w:after="0" w:line="240" w:lineRule="auto"/>
        <w:rPr>
          <w:b/>
          <w:bCs/>
        </w:rPr>
      </w:pPr>
    </w:p>
    <w:p w14:paraId="39597E0A" w14:textId="357D51C2" w:rsidR="00ED18BB" w:rsidRDefault="00ED18BB" w:rsidP="00C80EAD">
      <w:pPr>
        <w:spacing w:after="0" w:line="240" w:lineRule="auto"/>
        <w:rPr>
          <w:b/>
          <w:bCs/>
        </w:rPr>
      </w:pPr>
      <w:r w:rsidRPr="00A10F38">
        <w:rPr>
          <w:b/>
          <w:bCs/>
        </w:rPr>
        <w:t>Table S</w:t>
      </w:r>
      <w:r w:rsidR="00777B52">
        <w:rPr>
          <w:b/>
          <w:bCs/>
        </w:rPr>
        <w:t>3</w:t>
      </w:r>
      <w:r w:rsidRPr="00A10F38">
        <w:rPr>
          <w:b/>
          <w:bCs/>
        </w:rPr>
        <w:t xml:space="preserve">.  </w:t>
      </w:r>
      <w:r w:rsidR="000314DE">
        <w:rPr>
          <w:b/>
          <w:bCs/>
        </w:rPr>
        <w:t>Details of m</w:t>
      </w:r>
      <w:r w:rsidRPr="00A10F38">
        <w:rPr>
          <w:b/>
          <w:bCs/>
        </w:rPr>
        <w:t xml:space="preserve">edication </w:t>
      </w:r>
      <w:r w:rsidR="009468F6">
        <w:rPr>
          <w:b/>
          <w:bCs/>
        </w:rPr>
        <w:t>and condition categories</w:t>
      </w:r>
      <w:r w:rsidR="00A25552">
        <w:rPr>
          <w:b/>
          <w:bCs/>
        </w:rPr>
        <w:t xml:space="preserve">, GPIH </w:t>
      </w:r>
      <w:r w:rsidR="009468F6">
        <w:rPr>
          <w:b/>
          <w:bCs/>
        </w:rPr>
        <w:t>dataset</w:t>
      </w:r>
    </w:p>
    <w:p w14:paraId="24F1A3B4" w14:textId="77777777" w:rsidR="009468F6" w:rsidRDefault="009468F6" w:rsidP="00C80EAD">
      <w:pPr>
        <w:spacing w:after="0" w:line="240" w:lineRule="auto"/>
        <w:rPr>
          <w:b/>
          <w:bC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5"/>
        <w:gridCol w:w="7933"/>
      </w:tblGrid>
      <w:tr w:rsidR="002A6B39" w:rsidRPr="009468F6" w14:paraId="30BDA693" w14:textId="77777777" w:rsidTr="001D62BB">
        <w:trPr>
          <w:trHeight w:val="300"/>
        </w:trPr>
        <w:tc>
          <w:tcPr>
            <w:tcW w:w="1129" w:type="dxa"/>
            <w:shd w:val="clear" w:color="000000" w:fill="E7E6E6"/>
            <w:vAlign w:val="center"/>
            <w:hideMark/>
          </w:tcPr>
          <w:p w14:paraId="497564B6" w14:textId="77777777" w:rsidR="009468F6" w:rsidRPr="009468F6" w:rsidRDefault="009468F6" w:rsidP="009468F6">
            <w:pPr>
              <w:spacing w:after="0" w:line="240" w:lineRule="auto"/>
              <w:rPr>
                <w:rFonts w:ascii="Calibri" w:eastAsia="Times New Roman" w:hAnsi="Calibri" w:cs="Calibri"/>
                <w:b/>
                <w:bCs/>
                <w:color w:val="000000"/>
                <w:kern w:val="0"/>
                <w:lang w:eastAsia="en-GB"/>
                <w14:ligatures w14:val="none"/>
              </w:rPr>
            </w:pPr>
            <w:r w:rsidRPr="009468F6">
              <w:rPr>
                <w:rFonts w:ascii="Calibri" w:eastAsia="Times New Roman" w:hAnsi="Calibri" w:cs="Calibri"/>
                <w:b/>
                <w:bCs/>
                <w:color w:val="000000"/>
                <w:kern w:val="0"/>
                <w:lang w:eastAsia="en-GB"/>
                <w14:ligatures w14:val="none"/>
              </w:rPr>
              <w:t>Indicator</w:t>
            </w:r>
          </w:p>
        </w:tc>
        <w:tc>
          <w:tcPr>
            <w:tcW w:w="1565" w:type="dxa"/>
            <w:shd w:val="clear" w:color="000000" w:fill="E7E6E6"/>
            <w:vAlign w:val="center"/>
            <w:hideMark/>
          </w:tcPr>
          <w:p w14:paraId="37A573A8" w14:textId="77777777" w:rsidR="009468F6" w:rsidRPr="009468F6" w:rsidRDefault="009468F6" w:rsidP="009468F6">
            <w:pPr>
              <w:spacing w:after="0" w:line="240" w:lineRule="auto"/>
              <w:rPr>
                <w:rFonts w:ascii="Calibri" w:eastAsia="Times New Roman" w:hAnsi="Calibri" w:cs="Calibri"/>
                <w:b/>
                <w:bCs/>
                <w:color w:val="000000"/>
                <w:kern w:val="0"/>
                <w:lang w:eastAsia="en-GB"/>
                <w14:ligatures w14:val="none"/>
              </w:rPr>
            </w:pPr>
            <w:r w:rsidRPr="009468F6">
              <w:rPr>
                <w:rFonts w:ascii="Calibri" w:eastAsia="Times New Roman" w:hAnsi="Calibri" w:cs="Calibri"/>
                <w:b/>
                <w:bCs/>
                <w:color w:val="000000"/>
                <w:kern w:val="0"/>
                <w:lang w:eastAsia="en-GB"/>
                <w14:ligatures w14:val="none"/>
              </w:rPr>
              <w:t xml:space="preserve">Code </w:t>
            </w:r>
          </w:p>
        </w:tc>
        <w:tc>
          <w:tcPr>
            <w:tcW w:w="7933" w:type="dxa"/>
            <w:shd w:val="clear" w:color="000000" w:fill="E7E6E6"/>
            <w:vAlign w:val="center"/>
            <w:hideMark/>
          </w:tcPr>
          <w:p w14:paraId="4109D1AD" w14:textId="7AE65B2F" w:rsidR="009468F6" w:rsidRPr="009468F6" w:rsidRDefault="009468F6" w:rsidP="009468F6">
            <w:pPr>
              <w:spacing w:after="0" w:line="240" w:lineRule="auto"/>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Medication</w:t>
            </w:r>
            <w:r w:rsidR="002A6B39">
              <w:rPr>
                <w:rFonts w:ascii="Calibri" w:eastAsia="Times New Roman" w:hAnsi="Calibri" w:cs="Calibri"/>
                <w:b/>
                <w:bCs/>
                <w:color w:val="000000"/>
                <w:kern w:val="0"/>
                <w:lang w:eastAsia="en-GB"/>
                <w14:ligatures w14:val="none"/>
              </w:rPr>
              <w:t xml:space="preserve"> or condition</w:t>
            </w:r>
            <w:r>
              <w:rPr>
                <w:rFonts w:ascii="Calibri" w:eastAsia="Times New Roman" w:hAnsi="Calibri" w:cs="Calibri"/>
                <w:b/>
                <w:bCs/>
                <w:color w:val="000000"/>
                <w:kern w:val="0"/>
                <w:lang w:eastAsia="en-GB"/>
                <w14:ligatures w14:val="none"/>
              </w:rPr>
              <w:t xml:space="preserve"> categories</w:t>
            </w:r>
          </w:p>
        </w:tc>
      </w:tr>
      <w:tr w:rsidR="002A6B39" w:rsidRPr="009468F6" w14:paraId="7D35A618" w14:textId="77777777" w:rsidTr="001D62BB">
        <w:trPr>
          <w:trHeight w:val="868"/>
        </w:trPr>
        <w:tc>
          <w:tcPr>
            <w:tcW w:w="1129" w:type="dxa"/>
            <w:shd w:val="clear" w:color="auto" w:fill="auto"/>
            <w:vAlign w:val="center"/>
            <w:hideMark/>
          </w:tcPr>
          <w:p w14:paraId="76AC2F3D" w14:textId="77777777" w:rsidR="009468F6" w:rsidRPr="009468F6" w:rsidRDefault="009468F6" w:rsidP="009468F6">
            <w:pPr>
              <w:spacing w:after="0" w:line="240" w:lineRule="auto"/>
              <w:rPr>
                <w:rFonts w:eastAsia="Times New Roman" w:cstheme="minorHAnsi"/>
                <w:color w:val="000000"/>
                <w:kern w:val="0"/>
                <w:sz w:val="20"/>
                <w:szCs w:val="20"/>
                <w:lang w:eastAsia="en-GB"/>
                <w14:ligatures w14:val="none"/>
              </w:rPr>
            </w:pPr>
            <w:r w:rsidRPr="009468F6">
              <w:rPr>
                <w:rFonts w:eastAsia="Times New Roman" w:cstheme="minorHAnsi"/>
                <w:color w:val="000000"/>
                <w:kern w:val="0"/>
                <w:sz w:val="20"/>
                <w:szCs w:val="20"/>
                <w:lang w:eastAsia="en-GB"/>
                <w14:ligatures w14:val="none"/>
              </w:rPr>
              <w:t>Prescribing</w:t>
            </w:r>
          </w:p>
        </w:tc>
        <w:tc>
          <w:tcPr>
            <w:tcW w:w="1565" w:type="dxa"/>
            <w:shd w:val="clear" w:color="auto" w:fill="auto"/>
            <w:vAlign w:val="center"/>
            <w:hideMark/>
          </w:tcPr>
          <w:p w14:paraId="469D2F32" w14:textId="77777777" w:rsidR="009468F6" w:rsidRPr="009468F6" w:rsidRDefault="009468F6" w:rsidP="009468F6">
            <w:pPr>
              <w:spacing w:after="0" w:line="240" w:lineRule="auto"/>
              <w:rPr>
                <w:rFonts w:eastAsia="Times New Roman" w:cstheme="minorHAnsi"/>
                <w:color w:val="000000"/>
                <w:kern w:val="0"/>
                <w:sz w:val="18"/>
                <w:szCs w:val="18"/>
                <w:lang w:eastAsia="en-GB"/>
                <w14:ligatures w14:val="none"/>
              </w:rPr>
            </w:pPr>
            <w:r w:rsidRPr="009468F6">
              <w:rPr>
                <w:rFonts w:eastAsia="Times New Roman" w:cstheme="minorHAnsi"/>
                <w:color w:val="000000"/>
                <w:kern w:val="0"/>
                <w:sz w:val="18"/>
                <w:szCs w:val="18"/>
                <w:lang w:eastAsia="en-GB"/>
                <w14:ligatures w14:val="none"/>
              </w:rPr>
              <w:t>British National Formulary (BNF78, 2019-2020, bnf.org)</w:t>
            </w:r>
          </w:p>
        </w:tc>
        <w:tc>
          <w:tcPr>
            <w:tcW w:w="7933" w:type="dxa"/>
            <w:shd w:val="clear" w:color="auto" w:fill="auto"/>
            <w:vAlign w:val="center"/>
            <w:hideMark/>
          </w:tcPr>
          <w:p w14:paraId="7E93C2EE" w14:textId="617DCBFC"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AntacidsAndSimeticone</w:t>
            </w:r>
            <w:proofErr w:type="spellEnd"/>
            <w:r w:rsidR="002A6B39" w:rsidRPr="00BE4C2F">
              <w:rPr>
                <w:rFonts w:eastAsia="Times New Roman" w:cstheme="minorHAnsi"/>
                <w:color w:val="000000"/>
                <w:kern w:val="0"/>
                <w:sz w:val="20"/>
                <w:szCs w:val="20"/>
                <w:lang w:eastAsia="en-GB"/>
                <w14:ligatures w14:val="none"/>
              </w:rPr>
              <w:t xml:space="preserve"> ; </w:t>
            </w:r>
            <w:r w:rsidRPr="009468F6">
              <w:rPr>
                <w:rFonts w:eastAsia="Times New Roman" w:cstheme="minorHAnsi"/>
                <w:color w:val="000000"/>
                <w:kern w:val="0"/>
                <w:sz w:val="20"/>
                <w:szCs w:val="20"/>
                <w:lang w:eastAsia="en-GB"/>
                <w14:ligatures w14:val="none"/>
              </w:rPr>
              <w:t>Benzodiazepine</w:t>
            </w:r>
            <w:r w:rsidR="002A6B39"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MonoamineOxidaseInhibitors</w:t>
            </w:r>
            <w:proofErr w:type="spellEnd"/>
          </w:p>
          <w:p w14:paraId="0492578E" w14:textId="72C74DB4" w:rsidR="009468F6" w:rsidRPr="009468F6" w:rsidRDefault="009468F6" w:rsidP="002A6B39">
            <w:pPr>
              <w:spacing w:after="0" w:line="240" w:lineRule="auto"/>
              <w:rPr>
                <w:rFonts w:eastAsia="Times New Roman" w:cstheme="minorHAnsi"/>
                <w:color w:val="000000"/>
                <w:kern w:val="0"/>
                <w:sz w:val="18"/>
                <w:szCs w:val="18"/>
                <w:lang w:eastAsia="en-GB"/>
                <w14:ligatures w14:val="none"/>
              </w:rPr>
            </w:pPr>
            <w:r w:rsidRPr="009468F6">
              <w:rPr>
                <w:rFonts w:eastAsia="Times New Roman" w:cstheme="minorHAnsi"/>
                <w:color w:val="000000"/>
                <w:kern w:val="0"/>
                <w:sz w:val="20"/>
                <w:szCs w:val="20"/>
                <w:lang w:eastAsia="en-GB"/>
                <w14:ligatures w14:val="none"/>
              </w:rPr>
              <w:t>SNRIs</w:t>
            </w:r>
            <w:r w:rsidR="002A6B39" w:rsidRPr="00BE4C2F">
              <w:rPr>
                <w:rFonts w:eastAsia="Times New Roman" w:cstheme="minorHAnsi"/>
                <w:color w:val="000000"/>
                <w:kern w:val="0"/>
                <w:sz w:val="20"/>
                <w:szCs w:val="20"/>
                <w:lang w:eastAsia="en-GB"/>
                <w14:ligatures w14:val="none"/>
              </w:rPr>
              <w:t xml:space="preserve"> ; </w:t>
            </w:r>
            <w:r w:rsidRPr="009468F6">
              <w:rPr>
                <w:rFonts w:eastAsia="Times New Roman" w:cstheme="minorHAnsi"/>
                <w:color w:val="000000"/>
                <w:kern w:val="0"/>
                <w:sz w:val="20"/>
                <w:szCs w:val="20"/>
                <w:lang w:eastAsia="en-GB"/>
                <w14:ligatures w14:val="none"/>
              </w:rPr>
              <w:t>SSRIs</w:t>
            </w:r>
            <w:r w:rsidR="002A6B39"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TricyclicAntidepressantDrugs</w:t>
            </w:r>
            <w:proofErr w:type="spellEnd"/>
          </w:p>
        </w:tc>
      </w:tr>
      <w:tr w:rsidR="005F1B22" w:rsidRPr="009468F6" w14:paraId="36878FCC" w14:textId="77777777" w:rsidTr="001D62BB">
        <w:trPr>
          <w:trHeight w:val="3390"/>
        </w:trPr>
        <w:tc>
          <w:tcPr>
            <w:tcW w:w="1129" w:type="dxa"/>
            <w:shd w:val="clear" w:color="auto" w:fill="auto"/>
            <w:vAlign w:val="center"/>
            <w:hideMark/>
          </w:tcPr>
          <w:p w14:paraId="0E31D9D0" w14:textId="77777777" w:rsidR="009468F6" w:rsidRPr="009468F6" w:rsidRDefault="009468F6" w:rsidP="009468F6">
            <w:pPr>
              <w:spacing w:after="0" w:line="240" w:lineRule="auto"/>
              <w:rPr>
                <w:rFonts w:eastAsia="Times New Roman" w:cstheme="minorHAnsi"/>
                <w:color w:val="000000"/>
                <w:kern w:val="0"/>
                <w:sz w:val="20"/>
                <w:szCs w:val="20"/>
                <w:lang w:eastAsia="en-GB"/>
                <w14:ligatures w14:val="none"/>
              </w:rPr>
            </w:pPr>
            <w:r w:rsidRPr="009468F6">
              <w:rPr>
                <w:rFonts w:eastAsia="Times New Roman" w:cstheme="minorHAnsi"/>
                <w:color w:val="000000"/>
                <w:kern w:val="0"/>
                <w:sz w:val="20"/>
                <w:szCs w:val="20"/>
                <w:lang w:eastAsia="en-GB"/>
                <w14:ligatures w14:val="none"/>
              </w:rPr>
              <w:t>Depression</w:t>
            </w:r>
          </w:p>
        </w:tc>
        <w:tc>
          <w:tcPr>
            <w:tcW w:w="1565" w:type="dxa"/>
            <w:shd w:val="clear" w:color="auto" w:fill="auto"/>
            <w:vAlign w:val="center"/>
            <w:hideMark/>
          </w:tcPr>
          <w:p w14:paraId="297DB40A" w14:textId="77777777" w:rsidR="009468F6" w:rsidRPr="009468F6" w:rsidRDefault="009468F6" w:rsidP="009468F6">
            <w:pPr>
              <w:spacing w:after="0" w:line="240" w:lineRule="auto"/>
              <w:rPr>
                <w:rFonts w:eastAsia="Times New Roman" w:cstheme="minorHAnsi"/>
                <w:color w:val="000000"/>
                <w:kern w:val="0"/>
                <w:sz w:val="18"/>
                <w:szCs w:val="18"/>
                <w:lang w:eastAsia="en-GB"/>
                <w14:ligatures w14:val="none"/>
              </w:rPr>
            </w:pPr>
            <w:r w:rsidRPr="009468F6">
              <w:rPr>
                <w:rFonts w:eastAsia="Times New Roman" w:cstheme="minorHAnsi"/>
                <w:color w:val="000000"/>
                <w:kern w:val="0"/>
                <w:sz w:val="18"/>
                <w:szCs w:val="18"/>
                <w:lang w:eastAsia="en-GB"/>
                <w14:ligatures w14:val="none"/>
              </w:rPr>
              <w:t>SNOMED CT</w:t>
            </w:r>
          </w:p>
        </w:tc>
        <w:tc>
          <w:tcPr>
            <w:tcW w:w="7933" w:type="dxa"/>
            <w:shd w:val="clear" w:color="auto" w:fill="auto"/>
            <w:vAlign w:val="center"/>
            <w:hideMark/>
          </w:tcPr>
          <w:p w14:paraId="17168E74" w14:textId="77777777"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r w:rsidRPr="009468F6">
              <w:rPr>
                <w:rFonts w:eastAsia="Times New Roman" w:cstheme="minorHAnsi"/>
                <w:color w:val="000000"/>
                <w:kern w:val="0"/>
                <w:sz w:val="20"/>
                <w:szCs w:val="20"/>
                <w:lang w:eastAsia="en-GB"/>
                <w14:ligatures w14:val="none"/>
              </w:rPr>
              <w:t>Anhedonia Bipolar</w:t>
            </w:r>
          </w:p>
          <w:p w14:paraId="505DD6AE" w14:textId="77777777"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AffectiveDisorder</w:t>
            </w:r>
            <w:proofErr w:type="spellEnd"/>
          </w:p>
          <w:p w14:paraId="4C7E8733" w14:textId="77777777" w:rsidR="002A6B39" w:rsidRPr="00BE4C2F" w:rsidRDefault="002A6B39" w:rsidP="009468F6">
            <w:pPr>
              <w:spacing w:after="0" w:line="240" w:lineRule="auto"/>
              <w:rPr>
                <w:rFonts w:eastAsia="Times New Roman" w:cstheme="minorHAnsi"/>
                <w:color w:val="000000"/>
                <w:kern w:val="0"/>
                <w:sz w:val="20"/>
                <w:szCs w:val="20"/>
                <w:lang w:eastAsia="en-GB"/>
                <w14:ligatures w14:val="none"/>
              </w:rPr>
            </w:pPr>
          </w:p>
          <w:p w14:paraId="6FA95F71" w14:textId="7B401B8D"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CurrentEpisodeDepression</w:t>
            </w:r>
            <w:proofErr w:type="spellEnd"/>
            <w:r w:rsidR="002A6B39"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FindingOfDepressedMood</w:t>
            </w:r>
            <w:proofErr w:type="spellEnd"/>
            <w:r w:rsidR="002A6B39"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MildMajorDepressionSingleEpisode</w:t>
            </w:r>
            <w:proofErr w:type="spellEnd"/>
          </w:p>
          <w:p w14:paraId="7A3DB913" w14:textId="7B2951D0"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MildRecurrentMajor</w:t>
            </w:r>
            <w:proofErr w:type="spellEnd"/>
            <w:r w:rsidR="002A6B39"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DepressionModeratelySevere</w:t>
            </w:r>
            <w:proofErr w:type="spellEnd"/>
            <w:r w:rsidR="002A6B39" w:rsidRPr="00BE4C2F">
              <w:rPr>
                <w:rFonts w:eastAsia="Times New Roman" w:cstheme="minorHAnsi"/>
                <w:color w:val="000000"/>
                <w:kern w:val="0"/>
                <w:sz w:val="20"/>
                <w:szCs w:val="20"/>
                <w:lang w:eastAsia="en-GB"/>
                <w14:ligatures w14:val="none"/>
              </w:rPr>
              <w:t xml:space="preserve"> ; </w:t>
            </w:r>
            <w:r w:rsidRPr="009468F6">
              <w:rPr>
                <w:rFonts w:eastAsia="Times New Roman" w:cstheme="minorHAnsi"/>
                <w:color w:val="000000"/>
                <w:kern w:val="0"/>
                <w:sz w:val="20"/>
                <w:szCs w:val="20"/>
                <w:lang w:eastAsia="en-GB"/>
                <w14:ligatures w14:val="none"/>
              </w:rPr>
              <w:t xml:space="preserve">MajorDepressionSingleEpisode </w:t>
            </w:r>
          </w:p>
          <w:p w14:paraId="5C1F9E9F" w14:textId="1B67F26B"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ModerateMajorDepressionSingleEpisode</w:t>
            </w:r>
            <w:proofErr w:type="spellEnd"/>
            <w:r w:rsidRPr="009468F6">
              <w:rPr>
                <w:rFonts w:eastAsia="Times New Roman" w:cstheme="minorHAnsi"/>
                <w:color w:val="000000"/>
                <w:kern w:val="0"/>
                <w:sz w:val="20"/>
                <w:szCs w:val="20"/>
                <w:lang w:eastAsia="en-GB"/>
                <w14:ligatures w14:val="none"/>
              </w:rPr>
              <w:t xml:space="preserve"> </w:t>
            </w:r>
            <w:r w:rsidR="002A6B39"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ModerateRecurrentMajorDepression</w:t>
            </w:r>
            <w:proofErr w:type="spellEnd"/>
          </w:p>
          <w:p w14:paraId="172106CD" w14:textId="77777777" w:rsidR="002A6B39" w:rsidRPr="00BE4C2F" w:rsidRDefault="002A6B39" w:rsidP="002A6B39">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SevereMajorDepressiveDisWithAnxietySingleEpisode</w:t>
            </w:r>
            <w:proofErr w:type="spellEnd"/>
            <w:r w:rsidRPr="009468F6">
              <w:rPr>
                <w:rFonts w:eastAsia="Times New Roman" w:cstheme="minorHAnsi"/>
                <w:color w:val="000000"/>
                <w:kern w:val="0"/>
                <w:sz w:val="20"/>
                <w:szCs w:val="20"/>
                <w:lang w:eastAsia="en-GB"/>
                <w14:ligatures w14:val="none"/>
              </w:rPr>
              <w:t xml:space="preserve"> </w:t>
            </w:r>
            <w:r w:rsidRPr="00BE4C2F">
              <w:rPr>
                <w:rFonts w:eastAsia="Times New Roman" w:cstheme="minorHAnsi"/>
                <w:color w:val="000000"/>
                <w:kern w:val="0"/>
                <w:sz w:val="20"/>
                <w:szCs w:val="20"/>
                <w:lang w:eastAsia="en-GB"/>
                <w14:ligatures w14:val="none"/>
              </w:rPr>
              <w:t xml:space="preserve">; </w:t>
            </w:r>
            <w:proofErr w:type="spellStart"/>
            <w:r w:rsidRPr="009468F6">
              <w:rPr>
                <w:rFonts w:eastAsia="Times New Roman" w:cstheme="minorHAnsi"/>
                <w:color w:val="000000"/>
                <w:kern w:val="0"/>
                <w:sz w:val="20"/>
                <w:szCs w:val="20"/>
                <w:lang w:eastAsia="en-GB"/>
                <w14:ligatures w14:val="none"/>
              </w:rPr>
              <w:t>SevereRecurrentMajorDepression</w:t>
            </w:r>
            <w:proofErr w:type="spellEnd"/>
          </w:p>
          <w:p w14:paraId="089CB74D" w14:textId="77777777" w:rsidR="002A6B39" w:rsidRPr="00BE4C2F" w:rsidRDefault="002A6B39" w:rsidP="009468F6">
            <w:pPr>
              <w:spacing w:after="0" w:line="240" w:lineRule="auto"/>
              <w:rPr>
                <w:rFonts w:eastAsia="Times New Roman" w:cstheme="minorHAnsi"/>
                <w:color w:val="000000"/>
                <w:kern w:val="0"/>
                <w:sz w:val="20"/>
                <w:szCs w:val="20"/>
                <w:lang w:eastAsia="en-GB"/>
                <w14:ligatures w14:val="none"/>
              </w:rPr>
            </w:pPr>
          </w:p>
          <w:p w14:paraId="76208CE3" w14:textId="77777777"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OrganicMoodDisorder</w:t>
            </w:r>
            <w:proofErr w:type="spellEnd"/>
          </w:p>
          <w:p w14:paraId="1AE2A4C1" w14:textId="7F30BAD8"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PostpartumDepression</w:t>
            </w:r>
            <w:proofErr w:type="spellEnd"/>
          </w:p>
          <w:p w14:paraId="36937414" w14:textId="77777777" w:rsidR="002A6B39" w:rsidRPr="00BE4C2F" w:rsidRDefault="002A6B39" w:rsidP="009468F6">
            <w:pPr>
              <w:spacing w:after="0" w:line="240" w:lineRule="auto"/>
              <w:rPr>
                <w:rFonts w:eastAsia="Times New Roman" w:cstheme="minorHAnsi"/>
                <w:color w:val="000000"/>
                <w:kern w:val="0"/>
                <w:sz w:val="20"/>
                <w:szCs w:val="20"/>
                <w:lang w:eastAsia="en-GB"/>
                <w14:ligatures w14:val="none"/>
              </w:rPr>
            </w:pPr>
          </w:p>
          <w:p w14:paraId="707608EA" w14:textId="70C76876"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PsychosisAndSevereDepressionWithAndDueToBP</w:t>
            </w:r>
            <w:r w:rsidR="002A6B39" w:rsidRPr="00BE4C2F">
              <w:rPr>
                <w:rFonts w:eastAsia="Times New Roman" w:cstheme="minorHAnsi"/>
                <w:color w:val="000000"/>
                <w:kern w:val="0"/>
                <w:sz w:val="20"/>
                <w:szCs w:val="20"/>
                <w:lang w:eastAsia="en-GB"/>
                <w14:ligatures w14:val="none"/>
              </w:rPr>
              <w:t>D</w:t>
            </w:r>
            <w:proofErr w:type="spellEnd"/>
            <w:r w:rsidR="002A6B39"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SchizoaffectiveDisorderDepressiveType</w:t>
            </w:r>
            <w:proofErr w:type="spellEnd"/>
            <w:r w:rsidRPr="009468F6">
              <w:rPr>
                <w:rFonts w:eastAsia="Times New Roman" w:cstheme="minorHAnsi"/>
                <w:color w:val="000000"/>
                <w:kern w:val="0"/>
                <w:sz w:val="20"/>
                <w:szCs w:val="20"/>
                <w:lang w:eastAsia="en-GB"/>
                <w14:ligatures w14:val="none"/>
              </w:rPr>
              <w:t xml:space="preserve"> </w:t>
            </w:r>
          </w:p>
          <w:p w14:paraId="37692097" w14:textId="1D1F462E" w:rsidR="002A6B39"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SevereRecurrentMajorDepressionWithPsychoticFeature</w:t>
            </w:r>
            <w:proofErr w:type="spellEnd"/>
            <w:r w:rsidR="002A6B39" w:rsidRPr="00BE4C2F">
              <w:rPr>
                <w:rFonts w:eastAsia="Times New Roman" w:cstheme="minorHAnsi"/>
                <w:color w:val="000000"/>
                <w:kern w:val="0"/>
                <w:sz w:val="20"/>
                <w:szCs w:val="20"/>
                <w:lang w:eastAsia="en-GB"/>
                <w14:ligatures w14:val="none"/>
              </w:rPr>
              <w:t xml:space="preserve"> </w:t>
            </w:r>
            <w:proofErr w:type="spellStart"/>
            <w:r w:rsidRPr="009468F6">
              <w:rPr>
                <w:rFonts w:eastAsia="Times New Roman" w:cstheme="minorHAnsi"/>
                <w:color w:val="000000"/>
                <w:kern w:val="0"/>
                <w:sz w:val="20"/>
                <w:szCs w:val="20"/>
                <w:lang w:eastAsia="en-GB"/>
                <w14:ligatures w14:val="none"/>
              </w:rPr>
              <w:t>SingleMajorDepressiveEpisodeSevereWithPsychosis</w:t>
            </w:r>
            <w:proofErr w:type="spellEnd"/>
          </w:p>
          <w:p w14:paraId="0CE93878" w14:textId="77777777" w:rsidR="002A6B39" w:rsidRPr="00BE4C2F" w:rsidRDefault="002A6B39" w:rsidP="009468F6">
            <w:pPr>
              <w:spacing w:after="0" w:line="240" w:lineRule="auto"/>
              <w:rPr>
                <w:rFonts w:eastAsia="Times New Roman" w:cstheme="minorHAnsi"/>
                <w:color w:val="000000"/>
                <w:kern w:val="0"/>
                <w:sz w:val="20"/>
                <w:szCs w:val="20"/>
                <w:lang w:eastAsia="en-GB"/>
                <w14:ligatures w14:val="none"/>
              </w:rPr>
            </w:pPr>
          </w:p>
          <w:p w14:paraId="3CE84ABA" w14:textId="53D42701" w:rsidR="009468F6" w:rsidRPr="009468F6"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UndifferentiatedSchizophrenia</w:t>
            </w:r>
            <w:proofErr w:type="spellEnd"/>
          </w:p>
        </w:tc>
      </w:tr>
      <w:tr w:rsidR="005F1B22" w:rsidRPr="009468F6" w14:paraId="637E4E95" w14:textId="77777777" w:rsidTr="001D62BB">
        <w:trPr>
          <w:trHeight w:val="1200"/>
        </w:trPr>
        <w:tc>
          <w:tcPr>
            <w:tcW w:w="1129" w:type="dxa"/>
            <w:shd w:val="clear" w:color="auto" w:fill="auto"/>
            <w:vAlign w:val="center"/>
            <w:hideMark/>
          </w:tcPr>
          <w:p w14:paraId="09A450DE" w14:textId="77777777" w:rsidR="009468F6" w:rsidRPr="009468F6" w:rsidRDefault="009468F6" w:rsidP="009468F6">
            <w:pPr>
              <w:spacing w:after="0" w:line="240" w:lineRule="auto"/>
              <w:rPr>
                <w:rFonts w:eastAsia="Times New Roman" w:cstheme="minorHAnsi"/>
                <w:color w:val="000000"/>
                <w:kern w:val="0"/>
                <w:sz w:val="20"/>
                <w:szCs w:val="20"/>
                <w:lang w:eastAsia="en-GB"/>
                <w14:ligatures w14:val="none"/>
              </w:rPr>
            </w:pPr>
            <w:r w:rsidRPr="009468F6">
              <w:rPr>
                <w:rFonts w:eastAsia="Times New Roman" w:cstheme="minorHAnsi"/>
                <w:color w:val="000000"/>
                <w:kern w:val="0"/>
                <w:sz w:val="20"/>
                <w:szCs w:val="20"/>
                <w:lang w:eastAsia="en-GB"/>
                <w14:ligatures w14:val="none"/>
              </w:rPr>
              <w:t>Anxiety</w:t>
            </w:r>
          </w:p>
        </w:tc>
        <w:tc>
          <w:tcPr>
            <w:tcW w:w="1565" w:type="dxa"/>
            <w:shd w:val="clear" w:color="auto" w:fill="auto"/>
            <w:vAlign w:val="center"/>
            <w:hideMark/>
          </w:tcPr>
          <w:p w14:paraId="7FBEFA42" w14:textId="77777777" w:rsidR="009468F6" w:rsidRPr="009468F6" w:rsidRDefault="009468F6" w:rsidP="009468F6">
            <w:pPr>
              <w:spacing w:after="0" w:line="240" w:lineRule="auto"/>
              <w:rPr>
                <w:rFonts w:eastAsia="Times New Roman" w:cstheme="minorHAnsi"/>
                <w:color w:val="000000"/>
                <w:kern w:val="0"/>
                <w:sz w:val="18"/>
                <w:szCs w:val="18"/>
                <w:lang w:eastAsia="en-GB"/>
                <w14:ligatures w14:val="none"/>
              </w:rPr>
            </w:pPr>
            <w:r w:rsidRPr="009468F6">
              <w:rPr>
                <w:rFonts w:eastAsia="Times New Roman" w:cstheme="minorHAnsi"/>
                <w:color w:val="000000"/>
                <w:kern w:val="0"/>
                <w:sz w:val="18"/>
                <w:szCs w:val="18"/>
                <w:lang w:eastAsia="en-GB"/>
                <w14:ligatures w14:val="none"/>
              </w:rPr>
              <w:t>SNOMED CT</w:t>
            </w:r>
          </w:p>
        </w:tc>
        <w:tc>
          <w:tcPr>
            <w:tcW w:w="7933" w:type="dxa"/>
            <w:shd w:val="clear" w:color="auto" w:fill="auto"/>
            <w:vAlign w:val="center"/>
            <w:hideMark/>
          </w:tcPr>
          <w:p w14:paraId="0D10181E" w14:textId="77777777"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FindingOfAnxiety</w:t>
            </w:r>
            <w:proofErr w:type="spellEnd"/>
            <w:r w:rsidR="003E60B7" w:rsidRPr="00BE4C2F">
              <w:rPr>
                <w:rFonts w:eastAsia="Times New Roman" w:cstheme="minorHAnsi"/>
                <w:color w:val="000000"/>
                <w:kern w:val="0"/>
                <w:sz w:val="20"/>
                <w:szCs w:val="20"/>
                <w:lang w:eastAsia="en-GB"/>
                <w14:ligatures w14:val="none"/>
              </w:rPr>
              <w:t xml:space="preserve">; </w:t>
            </w:r>
            <w:proofErr w:type="spellStart"/>
            <w:r w:rsidRPr="009468F6">
              <w:rPr>
                <w:rFonts w:eastAsia="Times New Roman" w:cstheme="minorHAnsi"/>
                <w:color w:val="000000"/>
                <w:kern w:val="0"/>
                <w:sz w:val="20"/>
                <w:szCs w:val="20"/>
                <w:lang w:eastAsia="en-GB"/>
                <w14:ligatures w14:val="none"/>
              </w:rPr>
              <w:t>GeneralisedAnxietyDisorder</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IllnessAnxietyDisorder</w:t>
            </w:r>
            <w:proofErr w:type="spellEnd"/>
          </w:p>
          <w:p w14:paraId="0C60082B"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0B71B592" w14:textId="77777777"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ObsessiveCompulsiveDisorder</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OrganicAnxietyDisorder</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PanicDisorder</w:t>
            </w:r>
            <w:proofErr w:type="spellEnd"/>
            <w:r w:rsidR="003E60B7" w:rsidRPr="00BE4C2F">
              <w:rPr>
                <w:rFonts w:eastAsia="Times New Roman" w:cstheme="minorHAnsi"/>
                <w:color w:val="000000"/>
                <w:kern w:val="0"/>
                <w:sz w:val="20"/>
                <w:szCs w:val="20"/>
                <w:lang w:eastAsia="en-GB"/>
                <w14:ligatures w14:val="none"/>
              </w:rPr>
              <w:t xml:space="preserve"> </w:t>
            </w:r>
          </w:p>
          <w:p w14:paraId="13767048"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2ACF084D" w14:textId="244F5B83" w:rsidR="009468F6" w:rsidRPr="009468F6"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PosttraumaticStressDisorder</w:t>
            </w:r>
            <w:proofErr w:type="spellEnd"/>
          </w:p>
        </w:tc>
      </w:tr>
      <w:tr w:rsidR="002A6B39" w:rsidRPr="009468F6" w14:paraId="63A963E3" w14:textId="77777777" w:rsidTr="001D62BB">
        <w:trPr>
          <w:trHeight w:val="5068"/>
        </w:trPr>
        <w:tc>
          <w:tcPr>
            <w:tcW w:w="1129" w:type="dxa"/>
            <w:shd w:val="clear" w:color="auto" w:fill="auto"/>
            <w:vAlign w:val="center"/>
            <w:hideMark/>
          </w:tcPr>
          <w:p w14:paraId="7F999772" w14:textId="77777777" w:rsidR="009468F6" w:rsidRPr="009468F6" w:rsidRDefault="009468F6" w:rsidP="009468F6">
            <w:pPr>
              <w:spacing w:after="0" w:line="240" w:lineRule="auto"/>
              <w:rPr>
                <w:rFonts w:eastAsia="Times New Roman" w:cstheme="minorHAnsi"/>
                <w:color w:val="000000"/>
                <w:kern w:val="0"/>
                <w:sz w:val="20"/>
                <w:szCs w:val="20"/>
                <w:lang w:eastAsia="en-GB"/>
                <w14:ligatures w14:val="none"/>
              </w:rPr>
            </w:pPr>
            <w:r w:rsidRPr="009468F6">
              <w:rPr>
                <w:rFonts w:eastAsia="Times New Roman" w:cstheme="minorHAnsi"/>
                <w:color w:val="000000"/>
                <w:kern w:val="0"/>
                <w:sz w:val="20"/>
                <w:szCs w:val="20"/>
                <w:lang w:eastAsia="en-GB"/>
                <w14:ligatures w14:val="none"/>
              </w:rPr>
              <w:t>All Mental Health Disorders</w:t>
            </w:r>
          </w:p>
        </w:tc>
        <w:tc>
          <w:tcPr>
            <w:tcW w:w="1565" w:type="dxa"/>
            <w:shd w:val="clear" w:color="auto" w:fill="auto"/>
            <w:vAlign w:val="center"/>
            <w:hideMark/>
          </w:tcPr>
          <w:p w14:paraId="4253F124" w14:textId="09E399D4" w:rsidR="009468F6" w:rsidRPr="009468F6" w:rsidRDefault="00306841" w:rsidP="009468F6">
            <w:pPr>
              <w:spacing w:after="0" w:line="240" w:lineRule="auto"/>
              <w:rPr>
                <w:rFonts w:eastAsia="Times New Roman" w:cstheme="minorHAnsi"/>
                <w:color w:val="000000"/>
                <w:kern w:val="0"/>
                <w:sz w:val="18"/>
                <w:szCs w:val="18"/>
                <w:lang w:eastAsia="en-GB"/>
                <w14:ligatures w14:val="none"/>
              </w:rPr>
            </w:pPr>
            <w:r>
              <w:rPr>
                <w:rFonts w:eastAsia="Times New Roman" w:cstheme="minorHAnsi"/>
                <w:color w:val="000000"/>
                <w:kern w:val="0"/>
                <w:sz w:val="18"/>
                <w:szCs w:val="18"/>
                <w:lang w:eastAsia="en-GB"/>
                <w14:ligatures w14:val="none"/>
              </w:rPr>
              <w:t>SNOMED CT</w:t>
            </w:r>
          </w:p>
        </w:tc>
        <w:tc>
          <w:tcPr>
            <w:tcW w:w="7933" w:type="dxa"/>
            <w:shd w:val="clear" w:color="auto" w:fill="auto"/>
            <w:vAlign w:val="center"/>
            <w:hideMark/>
          </w:tcPr>
          <w:p w14:paraId="3E7A00C9" w14:textId="5AAAF8A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r w:rsidRPr="00BE4C2F">
              <w:rPr>
                <w:rFonts w:eastAsia="Times New Roman" w:cstheme="minorHAnsi"/>
                <w:color w:val="000000"/>
                <w:kern w:val="0"/>
                <w:sz w:val="20"/>
                <w:szCs w:val="20"/>
                <w:lang w:eastAsia="en-GB"/>
                <w14:ligatures w14:val="none"/>
              </w:rPr>
              <w:t xml:space="preserve">All conditions above for anxiety and depression, </w:t>
            </w:r>
            <w:r w:rsidRPr="00BE4C2F">
              <w:rPr>
                <w:rFonts w:eastAsia="Times New Roman" w:cstheme="minorHAnsi"/>
                <w:i/>
                <w:iCs/>
                <w:color w:val="000000"/>
                <w:kern w:val="0"/>
                <w:sz w:val="20"/>
                <w:szCs w:val="20"/>
                <w:lang w:eastAsia="en-GB"/>
                <w14:ligatures w14:val="none"/>
              </w:rPr>
              <w:t>in addition to</w:t>
            </w:r>
            <w:r w:rsidRPr="00BE4C2F">
              <w:rPr>
                <w:rFonts w:eastAsia="Times New Roman" w:cstheme="minorHAnsi"/>
                <w:color w:val="000000"/>
                <w:kern w:val="0"/>
                <w:sz w:val="20"/>
                <w:szCs w:val="20"/>
                <w:lang w:eastAsia="en-GB"/>
                <w14:ligatures w14:val="none"/>
              </w:rPr>
              <w:t xml:space="preserve"> </w:t>
            </w:r>
          </w:p>
          <w:p w14:paraId="7B49D73F"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6DB5285F" w14:textId="77777777"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AtypicalDepressiveDisorder</w:t>
            </w:r>
            <w:proofErr w:type="spellEnd"/>
          </w:p>
          <w:p w14:paraId="7D370831"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3F661A49" w14:textId="5F95B854"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FindingOfDecreaseInAppetite</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FindingOfFatigue</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FindingOfIrritability</w:t>
            </w:r>
            <w:proofErr w:type="spellEnd"/>
          </w:p>
          <w:p w14:paraId="2163DF82" w14:textId="77777777"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FindingOfPsychomotorAgitation</w:t>
            </w:r>
            <w:proofErr w:type="spellEnd"/>
          </w:p>
          <w:p w14:paraId="16F34185"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7CFACFB2" w14:textId="77777777" w:rsidR="003E60B7" w:rsidRPr="00BE4C2F" w:rsidRDefault="009468F6" w:rsidP="003E60B7">
            <w:pPr>
              <w:spacing w:after="0" w:line="240" w:lineRule="auto"/>
              <w:rPr>
                <w:rFonts w:eastAsia="Times New Roman" w:cstheme="minorHAnsi"/>
                <w:color w:val="00B05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HarmfulUseOfAlcohol</w:t>
            </w:r>
            <w:proofErr w:type="spellEnd"/>
            <w:r w:rsidR="003E60B7" w:rsidRPr="00BE4C2F">
              <w:rPr>
                <w:rFonts w:eastAsia="Times New Roman" w:cstheme="minorHAnsi"/>
                <w:color w:val="000000"/>
                <w:kern w:val="0"/>
                <w:sz w:val="20"/>
                <w:szCs w:val="20"/>
                <w:lang w:eastAsia="en-GB"/>
                <w14:ligatures w14:val="none"/>
              </w:rPr>
              <w:t xml:space="preserve"> ; </w:t>
            </w:r>
            <w:r w:rsidRPr="009468F6">
              <w:rPr>
                <w:rFonts w:eastAsia="Times New Roman" w:cstheme="minorHAnsi"/>
                <w:color w:val="000000"/>
                <w:kern w:val="0"/>
                <w:sz w:val="20"/>
                <w:szCs w:val="20"/>
                <w:lang w:eastAsia="en-GB"/>
                <w14:ligatures w14:val="none"/>
              </w:rPr>
              <w:t>HarmfulUseOfCannabis</w:t>
            </w:r>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HarmfulUseOfCocaine</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HarmfulUseOfHallucinogen</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HarmfulUseOfHypnotic</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HarmfulUseOfOpioid</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kern w:val="0"/>
                <w:sz w:val="20"/>
                <w:szCs w:val="20"/>
                <w:lang w:eastAsia="en-GB"/>
                <w14:ligatures w14:val="none"/>
              </w:rPr>
              <w:t>HarmfulUseOfSyntheticCannabinoid</w:t>
            </w:r>
            <w:proofErr w:type="spellEnd"/>
            <w:r w:rsidR="003E60B7" w:rsidRPr="00BE4C2F">
              <w:rPr>
                <w:rFonts w:eastAsia="Times New Roman" w:cstheme="minorHAnsi"/>
                <w:kern w:val="0"/>
                <w:sz w:val="20"/>
                <w:szCs w:val="20"/>
                <w:lang w:eastAsia="en-GB"/>
                <w14:ligatures w14:val="none"/>
              </w:rPr>
              <w:t xml:space="preserve">  ; </w:t>
            </w:r>
            <w:proofErr w:type="spellStart"/>
            <w:r w:rsidR="003E60B7" w:rsidRPr="009468F6">
              <w:rPr>
                <w:rFonts w:eastAsia="Times New Roman" w:cstheme="minorHAnsi"/>
                <w:kern w:val="0"/>
                <w:sz w:val="20"/>
                <w:szCs w:val="20"/>
                <w:lang w:eastAsia="en-GB"/>
                <w14:ligatures w14:val="none"/>
              </w:rPr>
              <w:t>SolventMisuse</w:t>
            </w:r>
            <w:proofErr w:type="spellEnd"/>
            <w:r w:rsidR="003E60B7" w:rsidRPr="009468F6">
              <w:rPr>
                <w:rFonts w:eastAsia="Times New Roman" w:cstheme="minorHAnsi"/>
                <w:kern w:val="0"/>
                <w:sz w:val="20"/>
                <w:szCs w:val="20"/>
                <w:lang w:eastAsia="en-GB"/>
                <w14:ligatures w14:val="none"/>
              </w:rPr>
              <w:t xml:space="preserve"> </w:t>
            </w:r>
          </w:p>
          <w:p w14:paraId="00727E4D"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5016B217" w14:textId="77777777"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IntentionallyHarmingSelf</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IntentionalPoisoning</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IntentionalPoisoningByDrug</w:t>
            </w:r>
            <w:proofErr w:type="spellEnd"/>
          </w:p>
          <w:p w14:paraId="4B899916"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7749633E" w14:textId="77777777"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NightmareDisorder</w:t>
            </w:r>
            <w:proofErr w:type="spellEnd"/>
            <w:r w:rsidR="003E60B7" w:rsidRPr="00BE4C2F">
              <w:rPr>
                <w:rFonts w:eastAsia="Times New Roman" w:cstheme="minorHAnsi"/>
                <w:color w:val="000000"/>
                <w:kern w:val="0"/>
                <w:sz w:val="20"/>
                <w:szCs w:val="20"/>
                <w:lang w:eastAsia="en-GB"/>
                <w14:ligatures w14:val="none"/>
              </w:rPr>
              <w:t xml:space="preserve"> ; </w:t>
            </w:r>
            <w:proofErr w:type="spellStart"/>
            <w:r w:rsidRPr="009468F6">
              <w:rPr>
                <w:rFonts w:eastAsia="Times New Roman" w:cstheme="minorHAnsi"/>
                <w:color w:val="000000"/>
                <w:kern w:val="0"/>
                <w:sz w:val="20"/>
                <w:szCs w:val="20"/>
                <w:lang w:eastAsia="en-GB"/>
                <w14:ligatures w14:val="none"/>
              </w:rPr>
              <w:t>NonOrganicDisorderOfTheSleepWakeSchedule</w:t>
            </w:r>
            <w:proofErr w:type="spellEnd"/>
            <w:r w:rsidR="003E60B7" w:rsidRPr="00BE4C2F">
              <w:rPr>
                <w:rFonts w:eastAsia="Times New Roman" w:cstheme="minorHAnsi"/>
                <w:color w:val="000000"/>
                <w:kern w:val="0"/>
                <w:sz w:val="20"/>
                <w:szCs w:val="20"/>
                <w:lang w:eastAsia="en-GB"/>
                <w14:ligatures w14:val="none"/>
              </w:rPr>
              <w:t xml:space="preserve"> ; </w:t>
            </w:r>
            <w:r w:rsidRPr="009468F6">
              <w:rPr>
                <w:rFonts w:eastAsia="Times New Roman" w:cstheme="minorHAnsi"/>
                <w:color w:val="000000"/>
                <w:kern w:val="0"/>
                <w:sz w:val="20"/>
                <w:szCs w:val="20"/>
                <w:lang w:eastAsia="en-GB"/>
                <w14:ligatures w14:val="none"/>
              </w:rPr>
              <w:t>NonorganicInsomnia</w:t>
            </w:r>
          </w:p>
          <w:p w14:paraId="70EE3C9D"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43B223AF" w14:textId="240FCA6A"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PrimaryHypersomnia</w:t>
            </w:r>
            <w:proofErr w:type="spellEnd"/>
          </w:p>
          <w:p w14:paraId="65C0BC19"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35DBEFBA" w14:textId="77777777" w:rsidR="003E60B7" w:rsidRPr="00BE4C2F"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OrganicMoodDisorder</w:t>
            </w:r>
            <w:proofErr w:type="spellEnd"/>
          </w:p>
          <w:p w14:paraId="7E9388E8" w14:textId="77777777" w:rsidR="003E60B7" w:rsidRPr="00BE4C2F" w:rsidRDefault="003E60B7" w:rsidP="009468F6">
            <w:pPr>
              <w:spacing w:after="0" w:line="240" w:lineRule="auto"/>
              <w:rPr>
                <w:rFonts w:eastAsia="Times New Roman" w:cstheme="minorHAnsi"/>
                <w:color w:val="000000"/>
                <w:kern w:val="0"/>
                <w:sz w:val="20"/>
                <w:szCs w:val="20"/>
                <w:lang w:eastAsia="en-GB"/>
                <w14:ligatures w14:val="none"/>
              </w:rPr>
            </w:pPr>
          </w:p>
          <w:p w14:paraId="5767B8DD" w14:textId="239C8117" w:rsidR="003E60B7" w:rsidRPr="00BE4C2F" w:rsidRDefault="009468F6" w:rsidP="009468F6">
            <w:pPr>
              <w:spacing w:after="0" w:line="240" w:lineRule="auto"/>
              <w:rPr>
                <w:rFonts w:eastAsia="Times New Roman" w:cstheme="minorHAnsi"/>
                <w:kern w:val="0"/>
                <w:sz w:val="20"/>
                <w:szCs w:val="20"/>
                <w:lang w:eastAsia="en-GB"/>
                <w14:ligatures w14:val="none"/>
              </w:rPr>
            </w:pPr>
            <w:proofErr w:type="spellStart"/>
            <w:r w:rsidRPr="009468F6">
              <w:rPr>
                <w:rFonts w:eastAsia="Times New Roman" w:cstheme="minorHAnsi"/>
                <w:kern w:val="0"/>
                <w:sz w:val="20"/>
                <w:szCs w:val="20"/>
                <w:lang w:eastAsia="en-GB"/>
                <w14:ligatures w14:val="none"/>
              </w:rPr>
              <w:t>SleepTerrorDisorder</w:t>
            </w:r>
            <w:proofErr w:type="spellEnd"/>
            <w:r w:rsidR="003E60B7" w:rsidRPr="00BE4C2F">
              <w:rPr>
                <w:rFonts w:eastAsia="Times New Roman" w:cstheme="minorHAnsi"/>
                <w:kern w:val="0"/>
                <w:sz w:val="20"/>
                <w:szCs w:val="20"/>
                <w:lang w:eastAsia="en-GB"/>
                <w14:ligatures w14:val="none"/>
              </w:rPr>
              <w:t xml:space="preserve"> ; </w:t>
            </w:r>
            <w:proofErr w:type="spellStart"/>
            <w:r w:rsidRPr="009468F6">
              <w:rPr>
                <w:rFonts w:eastAsia="Times New Roman" w:cstheme="minorHAnsi"/>
                <w:kern w:val="0"/>
                <w:sz w:val="20"/>
                <w:szCs w:val="20"/>
                <w:lang w:eastAsia="en-GB"/>
                <w14:ligatures w14:val="none"/>
              </w:rPr>
              <w:t>SleepWalkingDisorder</w:t>
            </w:r>
            <w:proofErr w:type="spellEnd"/>
          </w:p>
          <w:p w14:paraId="4935494A" w14:textId="77777777" w:rsidR="003E60B7" w:rsidRPr="00BE4C2F" w:rsidRDefault="003E60B7" w:rsidP="009468F6">
            <w:pPr>
              <w:spacing w:after="0" w:line="240" w:lineRule="auto"/>
              <w:rPr>
                <w:rFonts w:eastAsia="Times New Roman" w:cstheme="minorHAnsi"/>
                <w:color w:val="00B050"/>
                <w:kern w:val="0"/>
                <w:sz w:val="20"/>
                <w:szCs w:val="20"/>
                <w:lang w:eastAsia="en-GB"/>
                <w14:ligatures w14:val="none"/>
              </w:rPr>
            </w:pPr>
          </w:p>
          <w:p w14:paraId="0235C3E9" w14:textId="243A024B" w:rsidR="009468F6" w:rsidRPr="009468F6" w:rsidRDefault="009468F6" w:rsidP="009468F6">
            <w:pPr>
              <w:spacing w:after="0" w:line="240" w:lineRule="auto"/>
              <w:rPr>
                <w:rFonts w:eastAsia="Times New Roman" w:cstheme="minorHAnsi"/>
                <w:color w:val="000000"/>
                <w:kern w:val="0"/>
                <w:sz w:val="20"/>
                <w:szCs w:val="20"/>
                <w:lang w:eastAsia="en-GB"/>
                <w14:ligatures w14:val="none"/>
              </w:rPr>
            </w:pPr>
            <w:proofErr w:type="spellStart"/>
            <w:r w:rsidRPr="009468F6">
              <w:rPr>
                <w:rFonts w:eastAsia="Times New Roman" w:cstheme="minorHAnsi"/>
                <w:color w:val="000000"/>
                <w:kern w:val="0"/>
                <w:sz w:val="20"/>
                <w:szCs w:val="20"/>
                <w:lang w:eastAsia="en-GB"/>
                <w14:ligatures w14:val="none"/>
              </w:rPr>
              <w:t>UndifferentiatedSchizophrenia</w:t>
            </w:r>
            <w:proofErr w:type="spellEnd"/>
          </w:p>
        </w:tc>
      </w:tr>
    </w:tbl>
    <w:p w14:paraId="61B43B6A" w14:textId="77777777" w:rsidR="009468F6" w:rsidRDefault="009468F6" w:rsidP="00C80EAD">
      <w:pPr>
        <w:spacing w:after="0" w:line="240" w:lineRule="auto"/>
        <w:rPr>
          <w:b/>
          <w:bCs/>
        </w:rPr>
      </w:pPr>
    </w:p>
    <w:p w14:paraId="4831E908" w14:textId="77777777" w:rsidR="009468F6" w:rsidRDefault="009468F6" w:rsidP="00C80EAD">
      <w:pPr>
        <w:spacing w:after="0" w:line="240" w:lineRule="auto"/>
        <w:rPr>
          <w:b/>
          <w:bCs/>
        </w:rPr>
      </w:pPr>
    </w:p>
    <w:p w14:paraId="39451D13" w14:textId="44E49559" w:rsidR="00ED18BB" w:rsidRDefault="00ED18BB" w:rsidP="00C80EAD">
      <w:pPr>
        <w:spacing w:after="0" w:line="240" w:lineRule="auto"/>
      </w:pPr>
    </w:p>
    <w:p w14:paraId="2B793AC5" w14:textId="77777777" w:rsidR="00ED18BB" w:rsidRDefault="00ED18BB" w:rsidP="00C80EAD">
      <w:pPr>
        <w:spacing w:after="0" w:line="240" w:lineRule="auto"/>
      </w:pPr>
    </w:p>
    <w:p w14:paraId="64D05B60" w14:textId="77777777" w:rsidR="00ED18BB" w:rsidRDefault="00ED18BB" w:rsidP="00C80EAD">
      <w:pPr>
        <w:spacing w:after="0" w:line="240" w:lineRule="auto"/>
      </w:pPr>
    </w:p>
    <w:p w14:paraId="30D91A54" w14:textId="77777777" w:rsidR="009468F6" w:rsidRDefault="009468F6" w:rsidP="00C80EAD">
      <w:pPr>
        <w:spacing w:after="0" w:line="240" w:lineRule="auto"/>
      </w:pPr>
    </w:p>
    <w:p w14:paraId="3E837E10" w14:textId="77777777" w:rsidR="004305C3" w:rsidRDefault="004305C3" w:rsidP="00C80EAD">
      <w:pPr>
        <w:spacing w:after="0" w:line="240" w:lineRule="auto"/>
      </w:pPr>
    </w:p>
    <w:p w14:paraId="600E152A" w14:textId="77777777" w:rsidR="004305C3" w:rsidRDefault="004305C3" w:rsidP="00C80EAD">
      <w:pPr>
        <w:spacing w:after="0" w:line="240" w:lineRule="auto"/>
      </w:pPr>
    </w:p>
    <w:p w14:paraId="4565AF7E" w14:textId="77777777" w:rsidR="004305C3" w:rsidRDefault="004305C3" w:rsidP="00C80EAD">
      <w:pPr>
        <w:spacing w:after="0" w:line="240" w:lineRule="auto"/>
      </w:pPr>
    </w:p>
    <w:p w14:paraId="4D429A04" w14:textId="77777777" w:rsidR="004305C3" w:rsidRDefault="004305C3" w:rsidP="00C80EAD">
      <w:pPr>
        <w:spacing w:after="0" w:line="240" w:lineRule="auto"/>
      </w:pPr>
    </w:p>
    <w:p w14:paraId="715AC9E7" w14:textId="77777777" w:rsidR="004305C3" w:rsidRDefault="004305C3" w:rsidP="00C80EAD">
      <w:pPr>
        <w:spacing w:after="0" w:line="240" w:lineRule="auto"/>
      </w:pPr>
    </w:p>
    <w:p w14:paraId="06159A34" w14:textId="4DDA98B9" w:rsidR="004305C3" w:rsidRDefault="004305C3" w:rsidP="004305C3">
      <w:pPr>
        <w:spacing w:after="0" w:line="240" w:lineRule="auto"/>
        <w:rPr>
          <w:b/>
          <w:bCs/>
        </w:rPr>
      </w:pPr>
      <w:r w:rsidRPr="004305C3">
        <w:rPr>
          <w:b/>
          <w:bCs/>
        </w:rPr>
        <w:t xml:space="preserve">Table </w:t>
      </w:r>
      <w:r>
        <w:rPr>
          <w:b/>
          <w:bCs/>
        </w:rPr>
        <w:t>S4</w:t>
      </w:r>
      <w:r w:rsidRPr="004305C3">
        <w:rPr>
          <w:b/>
          <w:bCs/>
        </w:rPr>
        <w:t>.  Indicators for mental health category indicator counts in respective services</w:t>
      </w:r>
    </w:p>
    <w:p w14:paraId="13F07EAD" w14:textId="77777777" w:rsidR="004305C3" w:rsidRPr="004305C3" w:rsidRDefault="004305C3" w:rsidP="004305C3">
      <w:pPr>
        <w:spacing w:after="0" w:line="240" w:lineRule="auto"/>
        <w:rPr>
          <w:b/>
          <w:bCs/>
          <w:sz w:val="20"/>
          <w:szCs w:val="20"/>
        </w:rPr>
      </w:pPr>
    </w:p>
    <w:tbl>
      <w:tblPr>
        <w:tblpPr w:leftFromText="180" w:rightFromText="180" w:vertAnchor="text" w:horzAnchor="margin" w:tblpXSpec="center" w:tblpY="67"/>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40"/>
        <w:gridCol w:w="2020"/>
        <w:gridCol w:w="1701"/>
      </w:tblGrid>
      <w:tr w:rsidR="004305C3" w:rsidRPr="00AC7F5A" w14:paraId="62875DD1" w14:textId="77777777" w:rsidTr="004305C3">
        <w:trPr>
          <w:trHeight w:val="600"/>
        </w:trPr>
        <w:tc>
          <w:tcPr>
            <w:tcW w:w="1080" w:type="dxa"/>
            <w:shd w:val="clear" w:color="auto" w:fill="E8E8E8"/>
            <w:vAlign w:val="center"/>
            <w:hideMark/>
          </w:tcPr>
          <w:p w14:paraId="34ED88B8" w14:textId="77777777" w:rsidR="004305C3" w:rsidRPr="00F522BE" w:rsidRDefault="004305C3" w:rsidP="004305C3">
            <w:pPr>
              <w:spacing w:after="0" w:line="240" w:lineRule="auto"/>
              <w:jc w:val="center"/>
              <w:rPr>
                <w:rFonts w:eastAsia="Times New Roman" w:cstheme="minorHAnsi"/>
                <w:b/>
                <w:bCs/>
                <w:color w:val="000000"/>
                <w:kern w:val="0"/>
                <w:sz w:val="24"/>
                <w:szCs w:val="24"/>
                <w:lang w:eastAsia="en-GB"/>
                <w14:ligatures w14:val="none"/>
              </w:rPr>
            </w:pPr>
            <w:r w:rsidRPr="00F522BE">
              <w:rPr>
                <w:rFonts w:eastAsia="Times New Roman" w:cstheme="minorHAnsi"/>
                <w:b/>
                <w:bCs/>
                <w:color w:val="000000"/>
                <w:kern w:val="0"/>
                <w:sz w:val="24"/>
                <w:szCs w:val="24"/>
                <w:lang w:eastAsia="en-GB"/>
                <w14:ligatures w14:val="none"/>
              </w:rPr>
              <w:t>System</w:t>
            </w:r>
          </w:p>
        </w:tc>
        <w:tc>
          <w:tcPr>
            <w:tcW w:w="2640" w:type="dxa"/>
            <w:shd w:val="clear" w:color="auto" w:fill="E8E8E8"/>
            <w:vAlign w:val="center"/>
            <w:hideMark/>
          </w:tcPr>
          <w:p w14:paraId="17A2C51A" w14:textId="77777777" w:rsidR="004305C3" w:rsidRPr="00F522BE" w:rsidRDefault="004305C3" w:rsidP="004305C3">
            <w:pPr>
              <w:spacing w:after="0" w:line="240" w:lineRule="auto"/>
              <w:jc w:val="center"/>
              <w:rPr>
                <w:rFonts w:eastAsia="Times New Roman" w:cstheme="minorHAnsi"/>
                <w:b/>
                <w:bCs/>
                <w:color w:val="000000"/>
                <w:kern w:val="0"/>
                <w:sz w:val="24"/>
                <w:szCs w:val="24"/>
                <w:lang w:eastAsia="en-GB"/>
                <w14:ligatures w14:val="none"/>
              </w:rPr>
            </w:pPr>
            <w:r w:rsidRPr="00F522BE">
              <w:rPr>
                <w:rFonts w:eastAsia="Times New Roman" w:cstheme="minorHAnsi"/>
                <w:b/>
                <w:bCs/>
                <w:color w:val="000000"/>
                <w:kern w:val="0"/>
                <w:sz w:val="24"/>
                <w:szCs w:val="24"/>
                <w:lang w:eastAsia="en-GB"/>
                <w14:ligatures w14:val="none"/>
              </w:rPr>
              <w:t>Indicator</w:t>
            </w:r>
          </w:p>
        </w:tc>
        <w:tc>
          <w:tcPr>
            <w:tcW w:w="2020" w:type="dxa"/>
            <w:shd w:val="clear" w:color="auto" w:fill="E8E8E8"/>
            <w:vAlign w:val="center"/>
            <w:hideMark/>
          </w:tcPr>
          <w:p w14:paraId="5A702A25" w14:textId="77777777" w:rsidR="004305C3" w:rsidRPr="00F522BE" w:rsidRDefault="004305C3" w:rsidP="004305C3">
            <w:pPr>
              <w:spacing w:after="0" w:line="240" w:lineRule="auto"/>
              <w:jc w:val="center"/>
              <w:rPr>
                <w:rFonts w:eastAsia="Times New Roman"/>
                <w:b/>
                <w:bCs/>
                <w:color w:val="000000"/>
                <w:kern w:val="0"/>
                <w:sz w:val="24"/>
                <w:szCs w:val="24"/>
                <w:lang w:eastAsia="en-GB"/>
                <w14:ligatures w14:val="none"/>
              </w:rPr>
            </w:pPr>
            <w:r w:rsidRPr="3F94A7BC">
              <w:rPr>
                <w:rFonts w:eastAsia="Times New Roman"/>
                <w:b/>
                <w:bCs/>
                <w:color w:val="000000"/>
                <w:kern w:val="0"/>
                <w:sz w:val="24"/>
                <w:szCs w:val="24"/>
                <w:lang w:eastAsia="en-GB"/>
                <w14:ligatures w14:val="none"/>
              </w:rPr>
              <w:t xml:space="preserve">Mean Daily </w:t>
            </w:r>
            <w:r>
              <w:rPr>
                <w:rFonts w:eastAsia="Times New Roman"/>
                <w:b/>
                <w:bCs/>
                <w:color w:val="000000"/>
                <w:kern w:val="0"/>
                <w:sz w:val="24"/>
                <w:szCs w:val="24"/>
                <w:lang w:eastAsia="en-GB"/>
                <w14:ligatures w14:val="none"/>
              </w:rPr>
              <w:t>Indicators</w:t>
            </w:r>
          </w:p>
        </w:tc>
        <w:tc>
          <w:tcPr>
            <w:tcW w:w="1701" w:type="dxa"/>
            <w:shd w:val="clear" w:color="auto" w:fill="E8E8E8"/>
            <w:vAlign w:val="center"/>
            <w:hideMark/>
          </w:tcPr>
          <w:p w14:paraId="1C0DB405" w14:textId="77777777" w:rsidR="004305C3" w:rsidRPr="00F522BE" w:rsidRDefault="004305C3" w:rsidP="004305C3">
            <w:pPr>
              <w:spacing w:after="0" w:line="240" w:lineRule="auto"/>
              <w:jc w:val="center"/>
              <w:rPr>
                <w:rFonts w:eastAsia="Times New Roman" w:cstheme="minorHAnsi"/>
                <w:b/>
                <w:bCs/>
                <w:color w:val="000000"/>
                <w:kern w:val="0"/>
                <w:sz w:val="24"/>
                <w:szCs w:val="24"/>
                <w:lang w:eastAsia="en-GB"/>
                <w14:ligatures w14:val="none"/>
              </w:rPr>
            </w:pPr>
            <w:r w:rsidRPr="00F522BE">
              <w:rPr>
                <w:rFonts w:eastAsia="Times New Roman" w:cstheme="minorHAnsi"/>
                <w:b/>
                <w:bCs/>
                <w:color w:val="000000"/>
                <w:kern w:val="0"/>
                <w:sz w:val="24"/>
                <w:szCs w:val="24"/>
                <w:lang w:eastAsia="en-GB"/>
                <w14:ligatures w14:val="none"/>
              </w:rPr>
              <w:t>Stratified</w:t>
            </w:r>
          </w:p>
          <w:p w14:paraId="54BFF0D7" w14:textId="77777777" w:rsidR="004305C3" w:rsidRPr="00F522BE" w:rsidRDefault="004305C3" w:rsidP="004305C3">
            <w:pPr>
              <w:spacing w:after="0" w:line="240" w:lineRule="auto"/>
              <w:jc w:val="center"/>
              <w:rPr>
                <w:rFonts w:eastAsia="Times New Roman" w:cstheme="minorHAnsi"/>
                <w:b/>
                <w:bCs/>
                <w:color w:val="000000"/>
                <w:kern w:val="0"/>
                <w:sz w:val="24"/>
                <w:szCs w:val="24"/>
                <w:lang w:eastAsia="en-GB"/>
                <w14:ligatures w14:val="none"/>
              </w:rPr>
            </w:pPr>
            <w:r w:rsidRPr="00F522BE">
              <w:rPr>
                <w:rFonts w:eastAsia="Times New Roman" w:cstheme="minorHAnsi"/>
                <w:b/>
                <w:bCs/>
                <w:color w:val="000000"/>
                <w:kern w:val="0"/>
                <w:sz w:val="24"/>
                <w:szCs w:val="24"/>
                <w:lang w:eastAsia="en-GB"/>
                <w14:ligatures w14:val="none"/>
              </w:rPr>
              <w:t xml:space="preserve"> by Age (Y/N)</w:t>
            </w:r>
          </w:p>
        </w:tc>
      </w:tr>
      <w:tr w:rsidR="004305C3" w:rsidRPr="00AC7F5A" w14:paraId="505D5D21" w14:textId="77777777" w:rsidTr="004305C3">
        <w:trPr>
          <w:trHeight w:val="285"/>
        </w:trPr>
        <w:tc>
          <w:tcPr>
            <w:tcW w:w="1080" w:type="dxa"/>
            <w:vAlign w:val="center"/>
            <w:hideMark/>
          </w:tcPr>
          <w:p w14:paraId="7E270279" w14:textId="77777777" w:rsidR="004305C3" w:rsidRPr="00F522BE" w:rsidRDefault="004305C3" w:rsidP="004305C3">
            <w:pPr>
              <w:spacing w:after="0" w:line="240" w:lineRule="auto"/>
              <w:rPr>
                <w:rFonts w:eastAsia="Times New Roman" w:cstheme="minorHAnsi"/>
                <w:b/>
                <w:bCs/>
                <w:color w:val="000000"/>
                <w:kern w:val="0"/>
                <w:sz w:val="24"/>
                <w:szCs w:val="24"/>
                <w:lang w:eastAsia="en-GB"/>
                <w14:ligatures w14:val="none"/>
              </w:rPr>
            </w:pPr>
            <w:r>
              <w:rPr>
                <w:rFonts w:eastAsia="Times New Roman" w:cstheme="minorHAnsi"/>
                <w:b/>
                <w:bCs/>
                <w:color w:val="000000"/>
                <w:kern w:val="0"/>
                <w:sz w:val="24"/>
                <w:szCs w:val="24"/>
                <w:lang w:eastAsia="en-GB"/>
                <w14:ligatures w14:val="none"/>
              </w:rPr>
              <w:t>NHS 111</w:t>
            </w:r>
          </w:p>
        </w:tc>
        <w:tc>
          <w:tcPr>
            <w:tcW w:w="2640" w:type="dxa"/>
            <w:shd w:val="clear" w:color="auto" w:fill="auto"/>
            <w:vAlign w:val="center"/>
            <w:hideMark/>
          </w:tcPr>
          <w:p w14:paraId="3996DD36"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Sleep Difficulties</w:t>
            </w:r>
          </w:p>
        </w:tc>
        <w:tc>
          <w:tcPr>
            <w:tcW w:w="2020" w:type="dxa"/>
            <w:shd w:val="clear" w:color="auto" w:fill="auto"/>
            <w:vAlign w:val="center"/>
            <w:hideMark/>
          </w:tcPr>
          <w:p w14:paraId="6BB120D4"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32</w:t>
            </w:r>
          </w:p>
        </w:tc>
        <w:tc>
          <w:tcPr>
            <w:tcW w:w="1701" w:type="dxa"/>
            <w:shd w:val="clear" w:color="auto" w:fill="auto"/>
            <w:vAlign w:val="center"/>
            <w:hideMark/>
          </w:tcPr>
          <w:p w14:paraId="05455869" w14:textId="77777777" w:rsidR="004305C3" w:rsidRPr="005833BC" w:rsidRDefault="004305C3" w:rsidP="004305C3">
            <w:pPr>
              <w:spacing w:after="0" w:line="240" w:lineRule="auto"/>
              <w:jc w:val="center"/>
              <w:rPr>
                <w:rFonts w:eastAsia="Times New Roman" w:cstheme="minorHAnsi"/>
                <w:color w:val="000000"/>
                <w:kern w:val="0"/>
                <w:sz w:val="24"/>
                <w:szCs w:val="24"/>
                <w:lang w:eastAsia="en-GB"/>
                <w14:ligatures w14:val="none"/>
              </w:rPr>
            </w:pPr>
            <w:r w:rsidRPr="005833BC">
              <w:rPr>
                <w:rFonts w:eastAsia="Times New Roman" w:cstheme="minorHAnsi"/>
                <w:color w:val="000000"/>
                <w:kern w:val="0"/>
                <w:sz w:val="24"/>
                <w:szCs w:val="24"/>
                <w:lang w:eastAsia="en-GB"/>
                <w14:ligatures w14:val="none"/>
              </w:rPr>
              <w:t>N</w:t>
            </w:r>
          </w:p>
        </w:tc>
      </w:tr>
      <w:tr w:rsidR="004305C3" w:rsidRPr="00AC7F5A" w14:paraId="11131BEB" w14:textId="77777777" w:rsidTr="004305C3">
        <w:trPr>
          <w:trHeight w:val="285"/>
        </w:trPr>
        <w:tc>
          <w:tcPr>
            <w:tcW w:w="1080" w:type="dxa"/>
            <w:vAlign w:val="center"/>
            <w:hideMark/>
          </w:tcPr>
          <w:p w14:paraId="28CAA28A" w14:textId="77777777" w:rsidR="004305C3" w:rsidRPr="00F522BE" w:rsidRDefault="004305C3" w:rsidP="004305C3">
            <w:pPr>
              <w:spacing w:after="0" w:line="240" w:lineRule="auto"/>
              <w:rPr>
                <w:rFonts w:eastAsia="Times New Roman" w:cstheme="minorHAnsi"/>
                <w:b/>
                <w:bCs/>
                <w:color w:val="000000"/>
                <w:kern w:val="0"/>
                <w:sz w:val="24"/>
                <w:szCs w:val="24"/>
                <w:lang w:eastAsia="en-GB"/>
                <w14:ligatures w14:val="none"/>
              </w:rPr>
            </w:pPr>
            <w:r>
              <w:rPr>
                <w:rFonts w:eastAsia="Times New Roman" w:cstheme="minorHAnsi"/>
                <w:b/>
                <w:bCs/>
                <w:color w:val="000000"/>
                <w:kern w:val="0"/>
                <w:sz w:val="24"/>
                <w:szCs w:val="24"/>
                <w:lang w:eastAsia="en-GB"/>
                <w14:ligatures w14:val="none"/>
              </w:rPr>
              <w:t>GPOOH</w:t>
            </w:r>
          </w:p>
        </w:tc>
        <w:tc>
          <w:tcPr>
            <w:tcW w:w="2640" w:type="dxa"/>
            <w:shd w:val="clear" w:color="auto" w:fill="auto"/>
            <w:vAlign w:val="center"/>
            <w:hideMark/>
          </w:tcPr>
          <w:p w14:paraId="00CA6306" w14:textId="77777777" w:rsidR="004305C3" w:rsidRPr="00207528" w:rsidRDefault="004305C3" w:rsidP="004305C3">
            <w:pPr>
              <w:spacing w:after="0" w:line="240" w:lineRule="auto"/>
              <w:jc w:val="center"/>
              <w:rPr>
                <w:rFonts w:eastAsia="Times New Roman" w:cstheme="minorHAnsi"/>
                <w:kern w:val="0"/>
                <w:sz w:val="24"/>
                <w:szCs w:val="24"/>
                <w:lang w:eastAsia="en-GB"/>
                <w14:ligatures w14:val="none"/>
              </w:rPr>
            </w:pPr>
            <w:r w:rsidRPr="00207528">
              <w:rPr>
                <w:rFonts w:eastAsia="Times New Roman" w:cstheme="minorHAnsi"/>
                <w:kern w:val="0"/>
                <w:sz w:val="24"/>
                <w:szCs w:val="24"/>
                <w:lang w:eastAsia="en-GB"/>
                <w14:ligatures w14:val="none"/>
              </w:rPr>
              <w:t>Self-Harm</w:t>
            </w:r>
          </w:p>
        </w:tc>
        <w:tc>
          <w:tcPr>
            <w:tcW w:w="2020" w:type="dxa"/>
            <w:shd w:val="clear" w:color="auto" w:fill="auto"/>
            <w:vAlign w:val="center"/>
            <w:hideMark/>
          </w:tcPr>
          <w:p w14:paraId="6F459D51" w14:textId="77777777" w:rsidR="004305C3" w:rsidRPr="00207528" w:rsidRDefault="004305C3" w:rsidP="004305C3">
            <w:pPr>
              <w:spacing w:after="0" w:line="240" w:lineRule="auto"/>
              <w:jc w:val="center"/>
              <w:rPr>
                <w:rFonts w:eastAsia="Times New Roman" w:cstheme="minorHAnsi"/>
                <w:kern w:val="0"/>
                <w:sz w:val="24"/>
                <w:szCs w:val="24"/>
                <w:lang w:eastAsia="en-GB"/>
                <w14:ligatures w14:val="none"/>
              </w:rPr>
            </w:pPr>
            <w:r w:rsidRPr="00207528">
              <w:rPr>
                <w:rFonts w:eastAsia="Times New Roman" w:cstheme="minorHAnsi"/>
                <w:kern w:val="0"/>
                <w:sz w:val="24"/>
                <w:szCs w:val="24"/>
                <w:lang w:eastAsia="en-GB"/>
                <w14:ligatures w14:val="none"/>
              </w:rPr>
              <w:t>20</w:t>
            </w:r>
          </w:p>
        </w:tc>
        <w:tc>
          <w:tcPr>
            <w:tcW w:w="1701" w:type="dxa"/>
            <w:shd w:val="clear" w:color="auto" w:fill="auto"/>
            <w:vAlign w:val="center"/>
            <w:hideMark/>
          </w:tcPr>
          <w:p w14:paraId="5CB118D9" w14:textId="77777777" w:rsidR="004305C3" w:rsidRPr="005833BC" w:rsidRDefault="004305C3" w:rsidP="004305C3">
            <w:pPr>
              <w:spacing w:after="0" w:line="240" w:lineRule="auto"/>
              <w:jc w:val="center"/>
              <w:rPr>
                <w:rFonts w:eastAsia="Times New Roman" w:cstheme="minorHAnsi"/>
                <w:kern w:val="0"/>
                <w:sz w:val="24"/>
                <w:szCs w:val="24"/>
                <w:lang w:eastAsia="en-GB"/>
                <w14:ligatures w14:val="none"/>
              </w:rPr>
            </w:pPr>
            <w:r w:rsidRPr="005833BC">
              <w:rPr>
                <w:rFonts w:eastAsia="Times New Roman" w:cstheme="minorHAnsi"/>
                <w:kern w:val="0"/>
                <w:sz w:val="24"/>
                <w:szCs w:val="24"/>
                <w:lang w:eastAsia="en-GB"/>
                <w14:ligatures w14:val="none"/>
              </w:rPr>
              <w:t>N</w:t>
            </w:r>
          </w:p>
        </w:tc>
      </w:tr>
      <w:tr w:rsidR="004305C3" w:rsidRPr="00AC7F5A" w14:paraId="118C8DB1" w14:textId="77777777" w:rsidTr="004305C3">
        <w:trPr>
          <w:trHeight w:val="285"/>
        </w:trPr>
        <w:tc>
          <w:tcPr>
            <w:tcW w:w="1080" w:type="dxa"/>
            <w:vMerge w:val="restart"/>
            <w:vAlign w:val="center"/>
            <w:hideMark/>
          </w:tcPr>
          <w:p w14:paraId="2522CD1B" w14:textId="77777777" w:rsidR="004305C3" w:rsidRPr="00F522BE" w:rsidRDefault="004305C3" w:rsidP="004305C3">
            <w:pPr>
              <w:spacing w:after="0" w:line="240" w:lineRule="auto"/>
              <w:rPr>
                <w:rFonts w:eastAsia="Times New Roman" w:cstheme="minorHAnsi"/>
                <w:b/>
                <w:bCs/>
                <w:color w:val="000000"/>
                <w:kern w:val="0"/>
                <w:sz w:val="24"/>
                <w:szCs w:val="24"/>
                <w:lang w:eastAsia="en-GB"/>
                <w14:ligatures w14:val="none"/>
              </w:rPr>
            </w:pPr>
            <w:r>
              <w:rPr>
                <w:rFonts w:eastAsia="Times New Roman" w:cstheme="minorHAnsi"/>
                <w:b/>
                <w:bCs/>
                <w:color w:val="000000"/>
                <w:kern w:val="0"/>
                <w:sz w:val="24"/>
                <w:szCs w:val="24"/>
                <w:lang w:eastAsia="en-GB"/>
                <w14:ligatures w14:val="none"/>
              </w:rPr>
              <w:t>EDSSS</w:t>
            </w:r>
          </w:p>
        </w:tc>
        <w:tc>
          <w:tcPr>
            <w:tcW w:w="2640" w:type="dxa"/>
            <w:shd w:val="clear" w:color="auto" w:fill="auto"/>
            <w:vAlign w:val="center"/>
            <w:hideMark/>
          </w:tcPr>
          <w:p w14:paraId="43234A44"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Alcohol Intoxication</w:t>
            </w:r>
          </w:p>
        </w:tc>
        <w:tc>
          <w:tcPr>
            <w:tcW w:w="2020" w:type="dxa"/>
            <w:shd w:val="clear" w:color="auto" w:fill="auto"/>
            <w:vAlign w:val="center"/>
            <w:hideMark/>
          </w:tcPr>
          <w:p w14:paraId="3BE4FB27"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192</w:t>
            </w:r>
          </w:p>
        </w:tc>
        <w:tc>
          <w:tcPr>
            <w:tcW w:w="1701" w:type="dxa"/>
            <w:shd w:val="clear" w:color="auto" w:fill="auto"/>
            <w:vAlign w:val="center"/>
            <w:hideMark/>
          </w:tcPr>
          <w:p w14:paraId="5A83E8F3" w14:textId="77777777" w:rsidR="004305C3" w:rsidRPr="005833BC" w:rsidRDefault="004305C3" w:rsidP="004305C3">
            <w:pPr>
              <w:spacing w:after="0" w:line="240" w:lineRule="auto"/>
              <w:jc w:val="center"/>
              <w:rPr>
                <w:rFonts w:eastAsia="Times New Roman" w:cstheme="minorHAnsi"/>
                <w:color w:val="000000"/>
                <w:kern w:val="0"/>
                <w:sz w:val="24"/>
                <w:szCs w:val="24"/>
                <w:lang w:eastAsia="en-GB"/>
                <w14:ligatures w14:val="none"/>
              </w:rPr>
            </w:pPr>
            <w:r w:rsidRPr="005833BC">
              <w:rPr>
                <w:rFonts w:eastAsia="Times New Roman" w:cstheme="minorHAnsi"/>
                <w:color w:val="000000"/>
                <w:kern w:val="0"/>
                <w:sz w:val="24"/>
                <w:szCs w:val="24"/>
                <w:lang w:eastAsia="en-GB"/>
                <w14:ligatures w14:val="none"/>
              </w:rPr>
              <w:t>Y</w:t>
            </w:r>
          </w:p>
        </w:tc>
      </w:tr>
      <w:tr w:rsidR="004305C3" w:rsidRPr="00AC7F5A" w14:paraId="1E2731D1" w14:textId="77777777" w:rsidTr="004305C3">
        <w:trPr>
          <w:trHeight w:val="285"/>
        </w:trPr>
        <w:tc>
          <w:tcPr>
            <w:tcW w:w="1080" w:type="dxa"/>
            <w:vMerge/>
            <w:vAlign w:val="center"/>
            <w:hideMark/>
          </w:tcPr>
          <w:p w14:paraId="582489DA" w14:textId="77777777" w:rsidR="004305C3" w:rsidRPr="00F522BE" w:rsidRDefault="004305C3" w:rsidP="004305C3">
            <w:pPr>
              <w:spacing w:after="0" w:line="240" w:lineRule="auto"/>
              <w:rPr>
                <w:rFonts w:eastAsia="Times New Roman" w:cstheme="minorHAnsi"/>
                <w:b/>
                <w:bCs/>
                <w:color w:val="000000"/>
                <w:kern w:val="0"/>
                <w:sz w:val="24"/>
                <w:szCs w:val="24"/>
                <w:lang w:eastAsia="en-GB"/>
                <w14:ligatures w14:val="none"/>
              </w:rPr>
            </w:pPr>
          </w:p>
        </w:tc>
        <w:tc>
          <w:tcPr>
            <w:tcW w:w="2640" w:type="dxa"/>
            <w:shd w:val="clear" w:color="auto" w:fill="auto"/>
            <w:vAlign w:val="center"/>
            <w:hideMark/>
          </w:tcPr>
          <w:p w14:paraId="0CC96623"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Overdoses</w:t>
            </w:r>
          </w:p>
        </w:tc>
        <w:tc>
          <w:tcPr>
            <w:tcW w:w="2020" w:type="dxa"/>
            <w:shd w:val="clear" w:color="auto" w:fill="auto"/>
            <w:vAlign w:val="center"/>
            <w:hideMark/>
          </w:tcPr>
          <w:p w14:paraId="255FFC72"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214</w:t>
            </w:r>
          </w:p>
        </w:tc>
        <w:tc>
          <w:tcPr>
            <w:tcW w:w="1701" w:type="dxa"/>
            <w:shd w:val="clear" w:color="auto" w:fill="auto"/>
            <w:vAlign w:val="center"/>
            <w:hideMark/>
          </w:tcPr>
          <w:p w14:paraId="6E646FF0" w14:textId="77777777" w:rsidR="004305C3" w:rsidRPr="005833BC" w:rsidRDefault="004305C3" w:rsidP="004305C3">
            <w:pPr>
              <w:spacing w:after="0" w:line="240" w:lineRule="auto"/>
              <w:jc w:val="center"/>
              <w:rPr>
                <w:rFonts w:eastAsia="Times New Roman" w:cstheme="minorHAnsi"/>
                <w:color w:val="000000"/>
                <w:kern w:val="0"/>
                <w:sz w:val="24"/>
                <w:szCs w:val="24"/>
                <w:lang w:eastAsia="en-GB"/>
                <w14:ligatures w14:val="none"/>
              </w:rPr>
            </w:pPr>
            <w:r w:rsidRPr="005833BC">
              <w:rPr>
                <w:rFonts w:eastAsia="Times New Roman" w:cstheme="minorHAnsi"/>
                <w:color w:val="000000"/>
                <w:kern w:val="0"/>
                <w:sz w:val="24"/>
                <w:szCs w:val="24"/>
                <w:lang w:eastAsia="en-GB"/>
                <w14:ligatures w14:val="none"/>
              </w:rPr>
              <w:t>Y</w:t>
            </w:r>
          </w:p>
        </w:tc>
      </w:tr>
      <w:tr w:rsidR="004305C3" w:rsidRPr="00AC7F5A" w14:paraId="59F061A3" w14:textId="77777777" w:rsidTr="004305C3">
        <w:trPr>
          <w:trHeight w:val="285"/>
        </w:trPr>
        <w:tc>
          <w:tcPr>
            <w:tcW w:w="1080" w:type="dxa"/>
            <w:shd w:val="clear" w:color="auto" w:fill="auto"/>
            <w:vAlign w:val="center"/>
            <w:hideMark/>
          </w:tcPr>
          <w:p w14:paraId="60AEDA7E" w14:textId="77777777" w:rsidR="004305C3" w:rsidRPr="00F522BE" w:rsidRDefault="004305C3" w:rsidP="004305C3">
            <w:pPr>
              <w:spacing w:after="0" w:line="240" w:lineRule="auto"/>
              <w:jc w:val="center"/>
              <w:rPr>
                <w:rFonts w:eastAsia="Times New Roman" w:cstheme="minorHAnsi"/>
                <w:b/>
                <w:bCs/>
                <w:color w:val="000000"/>
                <w:kern w:val="0"/>
                <w:sz w:val="24"/>
                <w:szCs w:val="24"/>
                <w:lang w:eastAsia="en-GB"/>
                <w14:ligatures w14:val="none"/>
              </w:rPr>
            </w:pPr>
            <w:r w:rsidRPr="00F522BE">
              <w:rPr>
                <w:rFonts w:eastAsia="Times New Roman" w:cstheme="minorHAnsi"/>
                <w:b/>
                <w:bCs/>
                <w:color w:val="000000"/>
                <w:kern w:val="0"/>
                <w:sz w:val="24"/>
                <w:szCs w:val="24"/>
                <w:lang w:eastAsia="en-GB"/>
                <w14:ligatures w14:val="none"/>
              </w:rPr>
              <w:t>GPIH</w:t>
            </w:r>
          </w:p>
        </w:tc>
        <w:tc>
          <w:tcPr>
            <w:tcW w:w="2640" w:type="dxa"/>
            <w:shd w:val="clear" w:color="auto" w:fill="auto"/>
            <w:vAlign w:val="center"/>
            <w:hideMark/>
          </w:tcPr>
          <w:p w14:paraId="2F00FD20"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Prescriptions</w:t>
            </w:r>
          </w:p>
        </w:tc>
        <w:tc>
          <w:tcPr>
            <w:tcW w:w="2020" w:type="dxa"/>
            <w:shd w:val="clear" w:color="auto" w:fill="auto"/>
            <w:vAlign w:val="center"/>
            <w:hideMark/>
          </w:tcPr>
          <w:p w14:paraId="53FB76F0"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818</w:t>
            </w:r>
          </w:p>
        </w:tc>
        <w:tc>
          <w:tcPr>
            <w:tcW w:w="1701" w:type="dxa"/>
            <w:shd w:val="clear" w:color="auto" w:fill="auto"/>
            <w:vAlign w:val="center"/>
            <w:hideMark/>
          </w:tcPr>
          <w:p w14:paraId="710EA582" w14:textId="77777777" w:rsidR="004305C3" w:rsidRPr="005833BC" w:rsidRDefault="004305C3" w:rsidP="004305C3">
            <w:pPr>
              <w:spacing w:after="0" w:line="240" w:lineRule="auto"/>
              <w:jc w:val="center"/>
              <w:rPr>
                <w:rFonts w:eastAsia="Times New Roman" w:cstheme="minorHAnsi"/>
                <w:color w:val="000000"/>
                <w:kern w:val="0"/>
                <w:sz w:val="24"/>
                <w:szCs w:val="24"/>
                <w:lang w:eastAsia="en-GB"/>
                <w14:ligatures w14:val="none"/>
              </w:rPr>
            </w:pPr>
            <w:r w:rsidRPr="005833BC">
              <w:rPr>
                <w:rFonts w:eastAsia="Times New Roman" w:cstheme="minorHAnsi"/>
                <w:color w:val="000000"/>
                <w:kern w:val="0"/>
                <w:sz w:val="24"/>
                <w:szCs w:val="24"/>
                <w:lang w:eastAsia="en-GB"/>
                <w14:ligatures w14:val="none"/>
              </w:rPr>
              <w:t>Y</w:t>
            </w:r>
          </w:p>
        </w:tc>
      </w:tr>
      <w:tr w:rsidR="004305C3" w:rsidRPr="00AC7F5A" w14:paraId="7B000755" w14:textId="77777777" w:rsidTr="004305C3">
        <w:trPr>
          <w:trHeight w:val="285"/>
        </w:trPr>
        <w:tc>
          <w:tcPr>
            <w:tcW w:w="1080" w:type="dxa"/>
            <w:shd w:val="clear" w:color="auto" w:fill="auto"/>
            <w:vAlign w:val="center"/>
          </w:tcPr>
          <w:p w14:paraId="75DE9C54" w14:textId="77777777" w:rsidR="004305C3" w:rsidRPr="00F522BE" w:rsidRDefault="004305C3" w:rsidP="004305C3">
            <w:pPr>
              <w:spacing w:after="0" w:line="240" w:lineRule="auto"/>
              <w:jc w:val="center"/>
              <w:rPr>
                <w:rFonts w:eastAsia="Times New Roman" w:cstheme="minorHAnsi"/>
                <w:b/>
                <w:bCs/>
                <w:color w:val="000000"/>
                <w:kern w:val="0"/>
                <w:sz w:val="24"/>
                <w:szCs w:val="24"/>
                <w:lang w:eastAsia="en-GB"/>
                <w14:ligatures w14:val="none"/>
              </w:rPr>
            </w:pPr>
            <w:r w:rsidRPr="00F522BE">
              <w:rPr>
                <w:rFonts w:eastAsia="Times New Roman" w:cstheme="minorHAnsi"/>
                <w:b/>
                <w:bCs/>
                <w:color w:val="000000"/>
                <w:kern w:val="0"/>
                <w:sz w:val="24"/>
                <w:szCs w:val="24"/>
                <w:lang w:eastAsia="en-GB"/>
                <w14:ligatures w14:val="none"/>
              </w:rPr>
              <w:t>NASS</w:t>
            </w:r>
          </w:p>
        </w:tc>
        <w:tc>
          <w:tcPr>
            <w:tcW w:w="2640" w:type="dxa"/>
            <w:shd w:val="clear" w:color="auto" w:fill="auto"/>
            <w:vAlign w:val="center"/>
          </w:tcPr>
          <w:p w14:paraId="782034DA"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Overdoses</w:t>
            </w:r>
          </w:p>
        </w:tc>
        <w:tc>
          <w:tcPr>
            <w:tcW w:w="2020" w:type="dxa"/>
            <w:shd w:val="clear" w:color="auto" w:fill="auto"/>
            <w:vAlign w:val="center"/>
          </w:tcPr>
          <w:p w14:paraId="06989698" w14:textId="77777777" w:rsidR="004305C3" w:rsidRPr="00F522BE" w:rsidRDefault="004305C3" w:rsidP="004305C3">
            <w:pPr>
              <w:spacing w:after="0" w:line="240" w:lineRule="auto"/>
              <w:jc w:val="center"/>
              <w:rPr>
                <w:rFonts w:eastAsia="Times New Roman" w:cstheme="minorHAnsi"/>
                <w:color w:val="000000"/>
                <w:kern w:val="0"/>
                <w:sz w:val="24"/>
                <w:szCs w:val="24"/>
                <w:lang w:eastAsia="en-GB"/>
                <w14:ligatures w14:val="none"/>
              </w:rPr>
            </w:pPr>
            <w:r w:rsidRPr="00F522BE">
              <w:rPr>
                <w:rFonts w:eastAsia="Times New Roman" w:cstheme="minorHAnsi"/>
                <w:color w:val="000000"/>
                <w:kern w:val="0"/>
                <w:sz w:val="24"/>
                <w:szCs w:val="24"/>
                <w:lang w:eastAsia="en-GB"/>
                <w14:ligatures w14:val="none"/>
              </w:rPr>
              <w:t>530</w:t>
            </w:r>
          </w:p>
        </w:tc>
        <w:tc>
          <w:tcPr>
            <w:tcW w:w="1701" w:type="dxa"/>
            <w:shd w:val="clear" w:color="auto" w:fill="auto"/>
            <w:vAlign w:val="center"/>
          </w:tcPr>
          <w:p w14:paraId="26D60163" w14:textId="77777777" w:rsidR="004305C3" w:rsidRPr="005833BC" w:rsidRDefault="004305C3" w:rsidP="004305C3">
            <w:pPr>
              <w:spacing w:after="0" w:line="240" w:lineRule="auto"/>
              <w:jc w:val="center"/>
              <w:rPr>
                <w:rFonts w:eastAsia="Times New Roman" w:cstheme="minorHAnsi"/>
                <w:color w:val="000000"/>
                <w:kern w:val="0"/>
                <w:sz w:val="24"/>
                <w:szCs w:val="24"/>
                <w:lang w:eastAsia="en-GB"/>
                <w14:ligatures w14:val="none"/>
              </w:rPr>
            </w:pPr>
            <w:r w:rsidRPr="005833BC">
              <w:rPr>
                <w:rFonts w:eastAsia="Times New Roman" w:cstheme="minorHAnsi"/>
                <w:color w:val="000000"/>
                <w:kern w:val="0"/>
                <w:sz w:val="24"/>
                <w:szCs w:val="24"/>
                <w:lang w:eastAsia="en-GB"/>
                <w14:ligatures w14:val="none"/>
              </w:rPr>
              <w:t>N</w:t>
            </w:r>
          </w:p>
        </w:tc>
      </w:tr>
    </w:tbl>
    <w:p w14:paraId="0936FCC1" w14:textId="77777777" w:rsidR="004305C3" w:rsidRDefault="004305C3" w:rsidP="00C80EAD">
      <w:pPr>
        <w:spacing w:after="0" w:line="240" w:lineRule="auto"/>
      </w:pPr>
    </w:p>
    <w:p w14:paraId="017855FC" w14:textId="77777777" w:rsidR="004305C3" w:rsidRDefault="004305C3" w:rsidP="00C80EAD">
      <w:pPr>
        <w:spacing w:after="0" w:line="240" w:lineRule="auto"/>
      </w:pPr>
    </w:p>
    <w:p w14:paraId="63E6C8BD" w14:textId="77777777" w:rsidR="004305C3" w:rsidRDefault="004305C3" w:rsidP="00C80EAD">
      <w:pPr>
        <w:spacing w:after="0" w:line="240" w:lineRule="auto"/>
      </w:pPr>
    </w:p>
    <w:p w14:paraId="21A7040E" w14:textId="77777777" w:rsidR="004305C3" w:rsidRDefault="004305C3" w:rsidP="00C80EAD">
      <w:pPr>
        <w:spacing w:after="0" w:line="240" w:lineRule="auto"/>
      </w:pPr>
    </w:p>
    <w:p w14:paraId="5A4D8A0C" w14:textId="77777777" w:rsidR="004305C3" w:rsidRDefault="004305C3" w:rsidP="00C80EAD">
      <w:pPr>
        <w:spacing w:after="0" w:line="240" w:lineRule="auto"/>
      </w:pPr>
    </w:p>
    <w:p w14:paraId="3C51AA36" w14:textId="77777777" w:rsidR="004305C3" w:rsidRDefault="004305C3" w:rsidP="00C80EAD">
      <w:pPr>
        <w:spacing w:after="0" w:line="240" w:lineRule="auto"/>
      </w:pPr>
    </w:p>
    <w:p w14:paraId="0900EE1D" w14:textId="77777777" w:rsidR="004305C3" w:rsidRDefault="004305C3" w:rsidP="00C80EAD">
      <w:pPr>
        <w:spacing w:after="0" w:line="240" w:lineRule="auto"/>
      </w:pPr>
    </w:p>
    <w:p w14:paraId="49EAD09C" w14:textId="77777777" w:rsidR="004305C3" w:rsidRDefault="004305C3" w:rsidP="00C80EAD">
      <w:pPr>
        <w:spacing w:after="0" w:line="240" w:lineRule="auto"/>
      </w:pPr>
    </w:p>
    <w:p w14:paraId="6BBEE1AD" w14:textId="77777777" w:rsidR="004305C3" w:rsidRDefault="004305C3" w:rsidP="00C80EAD">
      <w:pPr>
        <w:spacing w:after="0" w:line="240" w:lineRule="auto"/>
      </w:pPr>
    </w:p>
    <w:p w14:paraId="1F5774C5" w14:textId="77777777" w:rsidR="004305C3" w:rsidRDefault="004305C3" w:rsidP="00C80EAD">
      <w:pPr>
        <w:spacing w:after="0" w:line="240" w:lineRule="auto"/>
      </w:pPr>
    </w:p>
    <w:p w14:paraId="79C3F727" w14:textId="77777777" w:rsidR="004305C3" w:rsidRDefault="004305C3" w:rsidP="00C80EAD">
      <w:pPr>
        <w:spacing w:after="0" w:line="240" w:lineRule="auto"/>
      </w:pPr>
    </w:p>
    <w:p w14:paraId="561EE896" w14:textId="7F36B697" w:rsidR="004305C3" w:rsidRDefault="004305C3" w:rsidP="004305C3">
      <w:pPr>
        <w:spacing w:after="0" w:line="240" w:lineRule="auto"/>
        <w:jc w:val="center"/>
      </w:pPr>
      <w:r w:rsidRPr="00E278EB">
        <w:rPr>
          <w:b/>
          <w:bCs/>
          <w:sz w:val="20"/>
          <w:szCs w:val="20"/>
        </w:rPr>
        <w:t>Notes:</w:t>
      </w:r>
      <w:r>
        <w:rPr>
          <w:sz w:val="20"/>
          <w:szCs w:val="20"/>
        </w:rPr>
        <w:t xml:space="preserve"> NHS111 – National Health Service 111 telephone service; GPOOH – General Practitioner Out-of-Hours; EDSSS – Emergency Department Syndromic Surveillance System; Surveillance; GPIH – General Practitioner In-Hours;</w:t>
      </w:r>
      <w:r>
        <w:rPr>
          <w:sz w:val="20"/>
          <w:szCs w:val="20"/>
        </w:rPr>
        <w:t xml:space="preserve"> NASS – National Ambulance Syndromic Surveillance System;</w:t>
      </w:r>
      <w:r>
        <w:rPr>
          <w:sz w:val="20"/>
          <w:szCs w:val="20"/>
        </w:rPr>
        <w:t xml:space="preserve"> N/A – Not Available</w:t>
      </w:r>
    </w:p>
    <w:p w14:paraId="4B6715D9" w14:textId="77777777" w:rsidR="004305C3" w:rsidRDefault="004305C3" w:rsidP="00C80EAD">
      <w:pPr>
        <w:spacing w:after="0" w:line="240" w:lineRule="auto"/>
      </w:pPr>
    </w:p>
    <w:p w14:paraId="316AAB1F" w14:textId="77777777" w:rsidR="004305C3" w:rsidRDefault="004305C3" w:rsidP="00C80EAD">
      <w:pPr>
        <w:spacing w:after="0" w:line="240" w:lineRule="auto"/>
      </w:pPr>
    </w:p>
    <w:p w14:paraId="295C731B" w14:textId="77777777" w:rsidR="004305C3" w:rsidRDefault="004305C3" w:rsidP="00C80EAD">
      <w:pPr>
        <w:spacing w:after="0" w:line="240" w:lineRule="auto"/>
      </w:pPr>
    </w:p>
    <w:p w14:paraId="75745FA2" w14:textId="77777777" w:rsidR="004305C3" w:rsidRDefault="004305C3" w:rsidP="00C80EAD">
      <w:pPr>
        <w:spacing w:after="0" w:line="240" w:lineRule="auto"/>
      </w:pPr>
    </w:p>
    <w:p w14:paraId="0503FD0F" w14:textId="0CB2AA26" w:rsidR="004305C3" w:rsidRPr="004305C3" w:rsidRDefault="004305C3" w:rsidP="00C80EAD">
      <w:pPr>
        <w:spacing w:after="0" w:line="240" w:lineRule="auto"/>
        <w:rPr>
          <w:b/>
          <w:bCs/>
        </w:rPr>
      </w:pPr>
      <w:r w:rsidRPr="004305C3">
        <w:rPr>
          <w:b/>
          <w:bCs/>
        </w:rPr>
        <w:t xml:space="preserve">Table S5. </w:t>
      </w:r>
      <w:r w:rsidRPr="004305C3">
        <w:rPr>
          <w:b/>
          <w:bCs/>
        </w:rPr>
        <w:t xml:space="preserve">Percentage differences between actual and counterfactual utilisation for </w:t>
      </w:r>
      <w:r w:rsidRPr="004305C3">
        <w:rPr>
          <w:b/>
          <w:bCs/>
        </w:rPr>
        <w:t>MH</w:t>
      </w:r>
      <w:r w:rsidRPr="004305C3">
        <w:rPr>
          <w:b/>
          <w:bCs/>
        </w:rPr>
        <w:t xml:space="preserve"> indicators.</w:t>
      </w:r>
    </w:p>
    <w:tbl>
      <w:tblPr>
        <w:tblpPr w:leftFromText="180" w:rightFromText="180" w:vertAnchor="page" w:horzAnchor="margin" w:tblpXSpec="center" w:tblpY="7153"/>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06"/>
        <w:gridCol w:w="1304"/>
        <w:gridCol w:w="1304"/>
        <w:gridCol w:w="1304"/>
        <w:gridCol w:w="1304"/>
        <w:gridCol w:w="1304"/>
      </w:tblGrid>
      <w:tr w:rsidR="004305C3" w:rsidRPr="00D55EC4" w14:paraId="783C4A6D" w14:textId="77777777" w:rsidTr="006C03C6">
        <w:trPr>
          <w:trHeight w:val="1023"/>
        </w:trPr>
        <w:tc>
          <w:tcPr>
            <w:tcW w:w="562" w:type="dxa"/>
            <w:shd w:val="clear" w:color="auto" w:fill="E7E6E6" w:themeFill="background2"/>
            <w:textDirection w:val="btLr"/>
            <w:vAlign w:val="center"/>
          </w:tcPr>
          <w:p w14:paraId="0350FAFD" w14:textId="77777777" w:rsidR="004305C3" w:rsidRPr="00D55EC4" w:rsidRDefault="004305C3" w:rsidP="004305C3">
            <w:pPr>
              <w:spacing w:after="0" w:line="240" w:lineRule="auto"/>
              <w:jc w:val="center"/>
              <w:rPr>
                <w:rFonts w:ascii="Calibri" w:eastAsia="Times New Roman" w:hAnsi="Calibri" w:cs="Calibri"/>
                <w:b/>
                <w:bCs/>
                <w:color w:val="000000"/>
                <w:kern w:val="0"/>
                <w:sz w:val="24"/>
                <w:szCs w:val="24"/>
                <w:lang w:eastAsia="en-GB"/>
                <w14:ligatures w14:val="none"/>
              </w:rPr>
            </w:pPr>
            <w:r>
              <w:rPr>
                <w:rFonts w:ascii="Calibri" w:eastAsia="Times New Roman" w:hAnsi="Calibri" w:cs="Calibri"/>
                <w:b/>
                <w:bCs/>
                <w:color w:val="000000"/>
                <w:kern w:val="0"/>
                <w:sz w:val="24"/>
                <w:szCs w:val="24"/>
                <w:lang w:eastAsia="en-GB"/>
                <w14:ligatures w14:val="none"/>
              </w:rPr>
              <w:t>System</w:t>
            </w:r>
          </w:p>
        </w:tc>
        <w:tc>
          <w:tcPr>
            <w:tcW w:w="1706" w:type="dxa"/>
            <w:shd w:val="clear" w:color="auto" w:fill="E7E6E6" w:themeFill="background2"/>
            <w:vAlign w:val="center"/>
          </w:tcPr>
          <w:p w14:paraId="54B97C7F" w14:textId="77777777" w:rsidR="004305C3" w:rsidRPr="006C03C6" w:rsidRDefault="004305C3" w:rsidP="004305C3">
            <w:pPr>
              <w:spacing w:after="0" w:line="240" w:lineRule="auto"/>
              <w:jc w:val="center"/>
              <w:rPr>
                <w:rFonts w:ascii="Calibri" w:eastAsia="Times New Roman" w:hAnsi="Calibri" w:cs="Calibri"/>
                <w:b/>
                <w:bCs/>
                <w:color w:val="000000"/>
                <w:kern w:val="0"/>
                <w:sz w:val="24"/>
                <w:szCs w:val="24"/>
                <w:lang w:eastAsia="en-GB"/>
                <w14:ligatures w14:val="none"/>
              </w:rPr>
            </w:pPr>
            <w:r w:rsidRPr="006C03C6">
              <w:rPr>
                <w:rFonts w:ascii="Calibri" w:eastAsia="Times New Roman" w:hAnsi="Calibri" w:cs="Calibri"/>
                <w:b/>
                <w:bCs/>
                <w:color w:val="000000"/>
                <w:kern w:val="0"/>
                <w:sz w:val="24"/>
                <w:szCs w:val="24"/>
                <w:lang w:eastAsia="en-GB"/>
                <w14:ligatures w14:val="none"/>
              </w:rPr>
              <w:t>Period \ Indicator</w:t>
            </w:r>
          </w:p>
        </w:tc>
        <w:tc>
          <w:tcPr>
            <w:tcW w:w="1304" w:type="dxa"/>
            <w:shd w:val="clear" w:color="auto" w:fill="E7E6E6" w:themeFill="background2"/>
            <w:vAlign w:val="center"/>
          </w:tcPr>
          <w:p w14:paraId="6AEA0401" w14:textId="77777777" w:rsidR="004305C3" w:rsidRPr="00D55EC4" w:rsidRDefault="004305C3" w:rsidP="004305C3">
            <w:pPr>
              <w:spacing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b/>
                <w:bCs/>
                <w:kern w:val="0"/>
                <w:sz w:val="24"/>
                <w:szCs w:val="24"/>
                <w:lang w:eastAsia="en-GB"/>
                <w14:ligatures w14:val="none"/>
              </w:rPr>
              <w:t>PR</w:t>
            </w:r>
            <w:r w:rsidRPr="00D55EC4">
              <w:rPr>
                <w:rFonts w:ascii="Calibri" w:eastAsia="Times New Roman" w:hAnsi="Calibri" w:cs="Calibri"/>
                <w:b/>
                <w:bCs/>
                <w:kern w:val="0"/>
                <w:sz w:val="24"/>
                <w:szCs w:val="24"/>
                <w:lang w:eastAsia="en-GB"/>
                <w14:ligatures w14:val="none"/>
              </w:rPr>
              <w:t>L1</w:t>
            </w:r>
          </w:p>
        </w:tc>
        <w:tc>
          <w:tcPr>
            <w:tcW w:w="1304" w:type="dxa"/>
            <w:shd w:val="clear" w:color="auto" w:fill="E7E6E6" w:themeFill="background2"/>
            <w:vAlign w:val="center"/>
          </w:tcPr>
          <w:p w14:paraId="2EA8927A" w14:textId="77777777" w:rsidR="004305C3" w:rsidRPr="00D55EC4" w:rsidRDefault="004305C3" w:rsidP="004305C3">
            <w:pPr>
              <w:spacing w:after="0" w:line="240" w:lineRule="auto"/>
              <w:jc w:val="center"/>
              <w:rPr>
                <w:rFonts w:ascii="Calibri" w:eastAsia="Times New Roman" w:hAnsi="Calibri" w:cs="Calibri"/>
                <w:color w:val="000000"/>
                <w:kern w:val="0"/>
                <w:sz w:val="24"/>
                <w:szCs w:val="24"/>
                <w:lang w:eastAsia="en-GB"/>
                <w14:ligatures w14:val="none"/>
              </w:rPr>
            </w:pPr>
            <w:r w:rsidRPr="00D55EC4">
              <w:rPr>
                <w:rFonts w:ascii="Calibri" w:eastAsia="Times New Roman" w:hAnsi="Calibri" w:cs="Calibri"/>
                <w:b/>
                <w:bCs/>
                <w:kern w:val="0"/>
                <w:sz w:val="24"/>
                <w:szCs w:val="24"/>
                <w:lang w:eastAsia="en-GB"/>
                <w14:ligatures w14:val="none"/>
              </w:rPr>
              <w:t>L1</w:t>
            </w:r>
          </w:p>
        </w:tc>
        <w:tc>
          <w:tcPr>
            <w:tcW w:w="1304" w:type="dxa"/>
            <w:shd w:val="clear" w:color="auto" w:fill="E7E6E6" w:themeFill="background2"/>
            <w:vAlign w:val="center"/>
          </w:tcPr>
          <w:p w14:paraId="14080C65" w14:textId="77777777" w:rsidR="004305C3" w:rsidRPr="00D55EC4" w:rsidRDefault="004305C3" w:rsidP="004305C3">
            <w:pPr>
              <w:spacing w:after="0" w:line="240" w:lineRule="auto"/>
              <w:jc w:val="center"/>
              <w:rPr>
                <w:rFonts w:ascii="Calibri" w:eastAsia="Times New Roman" w:hAnsi="Calibri" w:cs="Calibri"/>
                <w:color w:val="000000"/>
                <w:kern w:val="0"/>
                <w:sz w:val="24"/>
                <w:szCs w:val="24"/>
                <w:lang w:eastAsia="en-GB"/>
                <w14:ligatures w14:val="none"/>
              </w:rPr>
            </w:pPr>
            <w:r w:rsidRPr="00D55EC4">
              <w:rPr>
                <w:rFonts w:ascii="Calibri" w:eastAsia="Times New Roman" w:hAnsi="Calibri" w:cs="Calibri"/>
                <w:b/>
                <w:bCs/>
                <w:kern w:val="0"/>
                <w:sz w:val="24"/>
                <w:szCs w:val="24"/>
                <w:lang w:eastAsia="en-GB"/>
                <w14:ligatures w14:val="none"/>
              </w:rPr>
              <w:t>PL1</w:t>
            </w:r>
          </w:p>
        </w:tc>
        <w:tc>
          <w:tcPr>
            <w:tcW w:w="1304" w:type="dxa"/>
            <w:shd w:val="clear" w:color="auto" w:fill="E7E6E6" w:themeFill="background2"/>
            <w:vAlign w:val="center"/>
          </w:tcPr>
          <w:p w14:paraId="13D02967" w14:textId="77777777" w:rsidR="004305C3" w:rsidRPr="00D55EC4" w:rsidRDefault="004305C3" w:rsidP="004305C3">
            <w:pPr>
              <w:spacing w:after="0" w:line="240" w:lineRule="auto"/>
              <w:jc w:val="center"/>
              <w:rPr>
                <w:rFonts w:ascii="Calibri" w:eastAsia="Times New Roman" w:hAnsi="Calibri" w:cs="Calibri"/>
                <w:color w:val="000000"/>
                <w:kern w:val="0"/>
                <w:sz w:val="24"/>
                <w:szCs w:val="24"/>
                <w:lang w:eastAsia="en-GB"/>
                <w14:ligatures w14:val="none"/>
              </w:rPr>
            </w:pPr>
            <w:r w:rsidRPr="00D55EC4">
              <w:rPr>
                <w:rFonts w:ascii="Calibri" w:eastAsia="Times New Roman" w:hAnsi="Calibri" w:cs="Calibri"/>
                <w:b/>
                <w:bCs/>
                <w:kern w:val="0"/>
                <w:sz w:val="24"/>
                <w:szCs w:val="24"/>
                <w:lang w:eastAsia="en-GB"/>
                <w14:ligatures w14:val="none"/>
              </w:rPr>
              <w:t>L2</w:t>
            </w:r>
          </w:p>
        </w:tc>
        <w:tc>
          <w:tcPr>
            <w:tcW w:w="1304" w:type="dxa"/>
            <w:shd w:val="clear" w:color="auto" w:fill="E7E6E6" w:themeFill="background2"/>
            <w:vAlign w:val="center"/>
          </w:tcPr>
          <w:p w14:paraId="33D11C6D" w14:textId="77777777" w:rsidR="004305C3" w:rsidRPr="00D55EC4" w:rsidRDefault="004305C3" w:rsidP="004305C3">
            <w:pPr>
              <w:spacing w:after="0" w:line="240" w:lineRule="auto"/>
              <w:jc w:val="center"/>
              <w:rPr>
                <w:rFonts w:ascii="Calibri" w:eastAsia="Times New Roman" w:hAnsi="Calibri" w:cs="Calibri"/>
                <w:color w:val="000000"/>
                <w:kern w:val="0"/>
                <w:sz w:val="24"/>
                <w:szCs w:val="24"/>
                <w:lang w:eastAsia="en-GB"/>
                <w14:ligatures w14:val="none"/>
              </w:rPr>
            </w:pPr>
            <w:r w:rsidRPr="00D55EC4">
              <w:rPr>
                <w:rFonts w:ascii="Calibri" w:eastAsia="Times New Roman" w:hAnsi="Calibri" w:cs="Calibri"/>
                <w:b/>
                <w:bCs/>
                <w:kern w:val="0"/>
                <w:sz w:val="24"/>
                <w:szCs w:val="24"/>
                <w:lang w:eastAsia="en-GB"/>
                <w14:ligatures w14:val="none"/>
              </w:rPr>
              <w:t>PL2</w:t>
            </w:r>
          </w:p>
        </w:tc>
      </w:tr>
      <w:tr w:rsidR="004305C3" w:rsidRPr="00D55EC4" w14:paraId="04254F13" w14:textId="77777777" w:rsidTr="004305C3">
        <w:trPr>
          <w:trHeight w:val="514"/>
        </w:trPr>
        <w:tc>
          <w:tcPr>
            <w:tcW w:w="562" w:type="dxa"/>
            <w:vMerge w:val="restart"/>
            <w:textDirection w:val="btLr"/>
            <w:vAlign w:val="center"/>
            <w:hideMark/>
          </w:tcPr>
          <w:p w14:paraId="3C0026B8" w14:textId="77777777" w:rsidR="004305C3" w:rsidRPr="00D55EC4" w:rsidRDefault="004305C3" w:rsidP="004305C3">
            <w:pPr>
              <w:spacing w:after="0" w:line="240" w:lineRule="auto"/>
              <w:ind w:left="113" w:right="113"/>
              <w:rPr>
                <w:rFonts w:ascii="Calibri" w:eastAsia="Times New Roman" w:hAnsi="Calibri" w:cs="Calibri"/>
                <w:b/>
                <w:bCs/>
                <w:color w:val="000000"/>
                <w:kern w:val="0"/>
                <w:sz w:val="24"/>
                <w:szCs w:val="24"/>
                <w:lang w:eastAsia="en-GB"/>
                <w14:ligatures w14:val="none"/>
              </w:rPr>
            </w:pPr>
            <w:r>
              <w:rPr>
                <w:rFonts w:ascii="Calibri" w:eastAsia="Times New Roman" w:hAnsi="Calibri" w:cs="Calibri"/>
                <w:b/>
                <w:bCs/>
                <w:color w:val="000000"/>
                <w:kern w:val="0"/>
                <w:sz w:val="24"/>
                <w:szCs w:val="24"/>
                <w:lang w:eastAsia="en-GB"/>
                <w14:ligatures w14:val="none"/>
              </w:rPr>
              <w:t xml:space="preserve">  EDSSS</w:t>
            </w:r>
          </w:p>
        </w:tc>
        <w:tc>
          <w:tcPr>
            <w:tcW w:w="1706" w:type="dxa"/>
            <w:shd w:val="clear" w:color="auto" w:fill="auto"/>
            <w:vAlign w:val="center"/>
            <w:hideMark/>
          </w:tcPr>
          <w:p w14:paraId="6CDA22B4" w14:textId="77777777" w:rsidR="004305C3" w:rsidRPr="002F7D91" w:rsidRDefault="004305C3" w:rsidP="004305C3">
            <w:pPr>
              <w:spacing w:after="0" w:line="240" w:lineRule="auto"/>
              <w:jc w:val="center"/>
              <w:rPr>
                <w:rFonts w:ascii="Calibri" w:eastAsia="Times New Roman" w:hAnsi="Calibri" w:cs="Calibri"/>
                <w:kern w:val="0"/>
                <w:lang w:eastAsia="en-GB"/>
                <w14:ligatures w14:val="none"/>
              </w:rPr>
            </w:pPr>
            <w:r w:rsidRPr="002F7D91">
              <w:rPr>
                <w:rFonts w:ascii="Calibri" w:eastAsia="Times New Roman" w:hAnsi="Calibri" w:cs="Calibri"/>
                <w:kern w:val="0"/>
                <w:lang w:eastAsia="en-GB"/>
                <w14:ligatures w14:val="none"/>
              </w:rPr>
              <w:t>Overdoses</w:t>
            </w:r>
            <w:r>
              <w:rPr>
                <w:rFonts w:ascii="Calibri" w:eastAsia="Times New Roman" w:hAnsi="Calibri" w:cs="Calibri"/>
                <w:kern w:val="0"/>
                <w:lang w:eastAsia="en-GB"/>
                <w14:ligatures w14:val="none"/>
              </w:rPr>
              <w:t xml:space="preserve"> </w:t>
            </w:r>
          </w:p>
        </w:tc>
        <w:tc>
          <w:tcPr>
            <w:tcW w:w="1304" w:type="dxa"/>
            <w:shd w:val="clear" w:color="auto" w:fill="auto"/>
            <w:vAlign w:val="center"/>
            <w:hideMark/>
          </w:tcPr>
          <w:p w14:paraId="077246A2"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-3.3</w:t>
            </w:r>
          </w:p>
          <w:p w14:paraId="460C766A"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(-7.2, 0.4)</w:t>
            </w:r>
          </w:p>
        </w:tc>
        <w:tc>
          <w:tcPr>
            <w:tcW w:w="1304" w:type="dxa"/>
            <w:shd w:val="clear" w:color="auto" w:fill="auto"/>
            <w:vAlign w:val="center"/>
            <w:hideMark/>
          </w:tcPr>
          <w:p w14:paraId="672797DF"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-22.2</w:t>
            </w:r>
          </w:p>
          <w:p w14:paraId="74FA3E45"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(-27.5, -17.4)</w:t>
            </w:r>
          </w:p>
        </w:tc>
        <w:tc>
          <w:tcPr>
            <w:tcW w:w="1304" w:type="dxa"/>
            <w:shd w:val="clear" w:color="auto" w:fill="auto"/>
            <w:vAlign w:val="center"/>
            <w:hideMark/>
          </w:tcPr>
          <w:p w14:paraId="3F33CB5C"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3.0</w:t>
            </w:r>
          </w:p>
          <w:p w14:paraId="410D70A6"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(-0.4, 6.1)</w:t>
            </w:r>
          </w:p>
        </w:tc>
        <w:tc>
          <w:tcPr>
            <w:tcW w:w="1304" w:type="dxa"/>
            <w:shd w:val="clear" w:color="auto" w:fill="auto"/>
            <w:vAlign w:val="center"/>
            <w:hideMark/>
          </w:tcPr>
          <w:p w14:paraId="3BA75D2F"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-4.6</w:t>
            </w:r>
          </w:p>
          <w:p w14:paraId="1EAE957D"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(-7.8, -1.7)</w:t>
            </w:r>
          </w:p>
        </w:tc>
        <w:tc>
          <w:tcPr>
            <w:tcW w:w="1304" w:type="dxa"/>
            <w:shd w:val="clear" w:color="auto" w:fill="auto"/>
            <w:vAlign w:val="center"/>
            <w:hideMark/>
          </w:tcPr>
          <w:p w14:paraId="2AA9A5D7"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7.9</w:t>
            </w:r>
          </w:p>
          <w:p w14:paraId="494C033E"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(4.4, 11.1)</w:t>
            </w:r>
          </w:p>
        </w:tc>
      </w:tr>
      <w:tr w:rsidR="004305C3" w:rsidRPr="00D55EC4" w14:paraId="6469A363" w14:textId="77777777" w:rsidTr="004305C3">
        <w:trPr>
          <w:trHeight w:val="621"/>
        </w:trPr>
        <w:tc>
          <w:tcPr>
            <w:tcW w:w="562" w:type="dxa"/>
            <w:vMerge/>
            <w:vAlign w:val="center"/>
            <w:hideMark/>
          </w:tcPr>
          <w:p w14:paraId="26572E72" w14:textId="77777777" w:rsidR="004305C3" w:rsidRPr="00D55EC4" w:rsidRDefault="004305C3" w:rsidP="004305C3">
            <w:pPr>
              <w:spacing w:after="0" w:line="240" w:lineRule="auto"/>
              <w:rPr>
                <w:rFonts w:ascii="Calibri" w:eastAsia="Times New Roman" w:hAnsi="Calibri" w:cs="Calibri"/>
                <w:b/>
                <w:bCs/>
                <w:color w:val="000000"/>
                <w:kern w:val="0"/>
                <w:sz w:val="24"/>
                <w:szCs w:val="24"/>
                <w:lang w:eastAsia="en-GB"/>
                <w14:ligatures w14:val="none"/>
              </w:rPr>
            </w:pPr>
          </w:p>
        </w:tc>
        <w:tc>
          <w:tcPr>
            <w:tcW w:w="1706" w:type="dxa"/>
            <w:shd w:val="clear" w:color="auto" w:fill="auto"/>
            <w:vAlign w:val="center"/>
            <w:hideMark/>
          </w:tcPr>
          <w:p w14:paraId="799D9B22" w14:textId="77777777" w:rsidR="004305C3" w:rsidRPr="002F7D91" w:rsidRDefault="004305C3" w:rsidP="004305C3">
            <w:pPr>
              <w:spacing w:after="0" w:line="240" w:lineRule="auto"/>
              <w:jc w:val="center"/>
              <w:rPr>
                <w:rFonts w:ascii="Calibri" w:eastAsia="Times New Roman" w:hAnsi="Calibri" w:cs="Calibri"/>
                <w:kern w:val="0"/>
                <w:lang w:eastAsia="en-GB"/>
                <w14:ligatures w14:val="none"/>
              </w:rPr>
            </w:pPr>
            <w:r w:rsidRPr="002F7D91">
              <w:rPr>
                <w:rFonts w:ascii="Calibri" w:eastAsia="Times New Roman" w:hAnsi="Calibri" w:cs="Calibri"/>
                <w:kern w:val="0"/>
                <w:lang w:eastAsia="en-GB"/>
                <w14:ligatures w14:val="none"/>
              </w:rPr>
              <w:t>Alcohol intoxication</w:t>
            </w:r>
            <w:r>
              <w:rPr>
                <w:rFonts w:ascii="Calibri" w:eastAsia="Times New Roman" w:hAnsi="Calibri" w:cs="Calibri"/>
                <w:kern w:val="0"/>
                <w:lang w:eastAsia="en-GB"/>
                <w14:ligatures w14:val="none"/>
              </w:rPr>
              <w:t xml:space="preserve"> </w:t>
            </w:r>
          </w:p>
        </w:tc>
        <w:tc>
          <w:tcPr>
            <w:tcW w:w="1304" w:type="dxa"/>
            <w:shd w:val="clear" w:color="auto" w:fill="auto"/>
            <w:vAlign w:val="center"/>
            <w:hideMark/>
          </w:tcPr>
          <w:p w14:paraId="2E5571BF"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-9.5</w:t>
            </w:r>
          </w:p>
          <w:p w14:paraId="1EF972BF"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(-15.4, -4.2)</w:t>
            </w:r>
          </w:p>
        </w:tc>
        <w:tc>
          <w:tcPr>
            <w:tcW w:w="1304" w:type="dxa"/>
            <w:shd w:val="clear" w:color="auto" w:fill="auto"/>
            <w:vAlign w:val="center"/>
            <w:hideMark/>
          </w:tcPr>
          <w:p w14:paraId="62B3D25D"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-35.8</w:t>
            </w:r>
          </w:p>
          <w:p w14:paraId="279A36D8"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(-44.0, -28.4)</w:t>
            </w:r>
          </w:p>
        </w:tc>
        <w:tc>
          <w:tcPr>
            <w:tcW w:w="1304" w:type="dxa"/>
            <w:shd w:val="clear" w:color="auto" w:fill="auto"/>
            <w:vAlign w:val="center"/>
            <w:hideMark/>
          </w:tcPr>
          <w:p w14:paraId="6236B603"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-1.0</w:t>
            </w:r>
          </w:p>
          <w:p w14:paraId="67F17E1C"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(-5.8, 3.4)</w:t>
            </w:r>
          </w:p>
        </w:tc>
        <w:tc>
          <w:tcPr>
            <w:tcW w:w="1304" w:type="dxa"/>
            <w:shd w:val="clear" w:color="auto" w:fill="auto"/>
            <w:vAlign w:val="center"/>
            <w:hideMark/>
          </w:tcPr>
          <w:p w14:paraId="367FDD07"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-19.0</w:t>
            </w:r>
          </w:p>
          <w:p w14:paraId="624F1BC0"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(-24.1, -14.4)</w:t>
            </w:r>
          </w:p>
        </w:tc>
        <w:tc>
          <w:tcPr>
            <w:tcW w:w="1304" w:type="dxa"/>
            <w:shd w:val="clear" w:color="auto" w:fill="auto"/>
            <w:vAlign w:val="center"/>
            <w:hideMark/>
          </w:tcPr>
          <w:p w14:paraId="0FE87629"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2.7</w:t>
            </w:r>
          </w:p>
          <w:p w14:paraId="6409BB77"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(-2.5, 7.3)</w:t>
            </w:r>
          </w:p>
        </w:tc>
      </w:tr>
      <w:tr w:rsidR="004305C3" w:rsidRPr="00D55EC4" w14:paraId="6E136DE7" w14:textId="77777777" w:rsidTr="004305C3">
        <w:trPr>
          <w:trHeight w:val="680"/>
        </w:trPr>
        <w:tc>
          <w:tcPr>
            <w:tcW w:w="562" w:type="dxa"/>
            <w:shd w:val="clear" w:color="auto" w:fill="auto"/>
            <w:textDirection w:val="btLr"/>
            <w:vAlign w:val="center"/>
            <w:hideMark/>
          </w:tcPr>
          <w:p w14:paraId="43AE0107" w14:textId="77777777" w:rsidR="004305C3" w:rsidRPr="00D55EC4" w:rsidRDefault="004305C3" w:rsidP="004305C3">
            <w:pPr>
              <w:spacing w:after="0" w:line="240" w:lineRule="auto"/>
              <w:jc w:val="center"/>
              <w:rPr>
                <w:rFonts w:ascii="Calibri" w:eastAsia="Times New Roman" w:hAnsi="Calibri" w:cs="Calibri"/>
                <w:b/>
                <w:bCs/>
                <w:color w:val="000000"/>
                <w:kern w:val="0"/>
                <w:sz w:val="24"/>
                <w:szCs w:val="24"/>
                <w:lang w:eastAsia="en-GB"/>
                <w14:ligatures w14:val="none"/>
              </w:rPr>
            </w:pPr>
            <w:r>
              <w:rPr>
                <w:rFonts w:ascii="Calibri" w:eastAsia="Times New Roman" w:hAnsi="Calibri" w:cs="Calibri"/>
                <w:b/>
                <w:bCs/>
                <w:color w:val="000000"/>
                <w:kern w:val="0"/>
                <w:sz w:val="24"/>
                <w:szCs w:val="24"/>
                <w:lang w:eastAsia="en-GB"/>
                <w14:ligatures w14:val="none"/>
              </w:rPr>
              <w:t>NASS</w:t>
            </w:r>
          </w:p>
        </w:tc>
        <w:tc>
          <w:tcPr>
            <w:tcW w:w="1706" w:type="dxa"/>
            <w:shd w:val="clear" w:color="auto" w:fill="auto"/>
            <w:vAlign w:val="center"/>
          </w:tcPr>
          <w:p w14:paraId="056A513F" w14:textId="77777777" w:rsidR="004305C3" w:rsidRDefault="004305C3" w:rsidP="004305C3">
            <w:pPr>
              <w:spacing w:after="0" w:line="240" w:lineRule="auto"/>
              <w:jc w:val="center"/>
              <w:rPr>
                <w:rFonts w:ascii="Calibri" w:eastAsia="Times New Roman" w:hAnsi="Calibri" w:cs="Calibri"/>
                <w:kern w:val="0"/>
                <w:lang w:eastAsia="en-GB"/>
                <w14:ligatures w14:val="none"/>
              </w:rPr>
            </w:pPr>
          </w:p>
          <w:p w14:paraId="5ABBA059" w14:textId="77777777" w:rsidR="004305C3" w:rsidRDefault="004305C3" w:rsidP="004305C3">
            <w:pPr>
              <w:spacing w:after="0" w:line="240" w:lineRule="auto"/>
              <w:jc w:val="center"/>
              <w:rPr>
                <w:rFonts w:ascii="Calibri" w:eastAsia="Times New Roman" w:hAnsi="Calibri" w:cs="Calibri"/>
                <w:kern w:val="0"/>
                <w:lang w:eastAsia="en-GB"/>
                <w14:ligatures w14:val="none"/>
              </w:rPr>
            </w:pPr>
            <w:r w:rsidRPr="002F7D91">
              <w:rPr>
                <w:rFonts w:ascii="Calibri" w:eastAsia="Times New Roman" w:hAnsi="Calibri" w:cs="Calibri"/>
                <w:kern w:val="0"/>
                <w:lang w:eastAsia="en-GB"/>
                <w14:ligatures w14:val="none"/>
              </w:rPr>
              <w:t>Overdoses</w:t>
            </w:r>
          </w:p>
          <w:p w14:paraId="6B035497" w14:textId="77777777" w:rsidR="004305C3" w:rsidRPr="002F7D91" w:rsidRDefault="004305C3" w:rsidP="004305C3">
            <w:pPr>
              <w:spacing w:after="0" w:line="240" w:lineRule="auto"/>
              <w:jc w:val="center"/>
              <w:rPr>
                <w:rFonts w:ascii="Calibri" w:eastAsia="Times New Roman" w:hAnsi="Calibri" w:cs="Calibri"/>
                <w:kern w:val="0"/>
                <w:lang w:eastAsia="en-GB"/>
                <w14:ligatures w14:val="none"/>
              </w:rPr>
            </w:pPr>
          </w:p>
        </w:tc>
        <w:tc>
          <w:tcPr>
            <w:tcW w:w="1304" w:type="dxa"/>
            <w:shd w:val="clear" w:color="auto" w:fill="auto"/>
            <w:vAlign w:val="center"/>
          </w:tcPr>
          <w:p w14:paraId="79D11206"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2.3</w:t>
            </w:r>
          </w:p>
          <w:p w14:paraId="64AD630B"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(-1.1, 5.6)</w:t>
            </w:r>
          </w:p>
        </w:tc>
        <w:tc>
          <w:tcPr>
            <w:tcW w:w="1304" w:type="dxa"/>
            <w:shd w:val="clear" w:color="auto" w:fill="auto"/>
            <w:vAlign w:val="center"/>
          </w:tcPr>
          <w:p w14:paraId="6ABD885E"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-27.0</w:t>
            </w:r>
          </w:p>
          <w:p w14:paraId="04256328"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(-32.1, -22.3)</w:t>
            </w:r>
          </w:p>
        </w:tc>
        <w:tc>
          <w:tcPr>
            <w:tcW w:w="1304" w:type="dxa"/>
            <w:shd w:val="clear" w:color="auto" w:fill="auto"/>
            <w:vAlign w:val="center"/>
          </w:tcPr>
          <w:p w14:paraId="2959A350"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-9.5</w:t>
            </w:r>
          </w:p>
          <w:p w14:paraId="6EDB0D3A"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(-13.0, -6.3)</w:t>
            </w:r>
          </w:p>
        </w:tc>
        <w:tc>
          <w:tcPr>
            <w:tcW w:w="1304" w:type="dxa"/>
            <w:shd w:val="clear" w:color="auto" w:fill="auto"/>
            <w:vAlign w:val="center"/>
          </w:tcPr>
          <w:p w14:paraId="649749C0"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-13.3</w:t>
            </w:r>
          </w:p>
          <w:p w14:paraId="1AF5494E"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(-16.4, -10.3)</w:t>
            </w:r>
          </w:p>
        </w:tc>
        <w:tc>
          <w:tcPr>
            <w:tcW w:w="1304" w:type="dxa"/>
            <w:shd w:val="clear" w:color="auto" w:fill="auto"/>
            <w:vAlign w:val="center"/>
          </w:tcPr>
          <w:p w14:paraId="4F0A0728"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3.1</w:t>
            </w:r>
          </w:p>
          <w:p w14:paraId="4EC170DB"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(-0.3, 6.3)</w:t>
            </w:r>
          </w:p>
        </w:tc>
      </w:tr>
      <w:tr w:rsidR="004305C3" w:rsidRPr="00D55EC4" w14:paraId="3767D6BC" w14:textId="77777777" w:rsidTr="004305C3">
        <w:trPr>
          <w:cantSplit/>
          <w:trHeight w:val="1134"/>
        </w:trPr>
        <w:tc>
          <w:tcPr>
            <w:tcW w:w="562" w:type="dxa"/>
            <w:textDirection w:val="btLr"/>
            <w:vAlign w:val="center"/>
            <w:hideMark/>
          </w:tcPr>
          <w:p w14:paraId="7A6C29C8" w14:textId="77777777" w:rsidR="004305C3" w:rsidRPr="00D55EC4" w:rsidRDefault="004305C3" w:rsidP="004305C3">
            <w:pPr>
              <w:spacing w:after="0" w:line="240" w:lineRule="auto"/>
              <w:ind w:left="113" w:right="113"/>
              <w:rPr>
                <w:rFonts w:ascii="Calibri" w:eastAsia="Times New Roman" w:hAnsi="Calibri" w:cs="Calibri"/>
                <w:b/>
                <w:bCs/>
                <w:color w:val="000000"/>
                <w:kern w:val="0"/>
                <w:sz w:val="24"/>
                <w:szCs w:val="24"/>
                <w:lang w:eastAsia="en-GB"/>
                <w14:ligatures w14:val="none"/>
              </w:rPr>
            </w:pPr>
            <w:r>
              <w:rPr>
                <w:rFonts w:ascii="Calibri" w:eastAsia="Times New Roman" w:hAnsi="Calibri" w:cs="Calibri"/>
                <w:b/>
                <w:bCs/>
                <w:color w:val="000000"/>
                <w:kern w:val="0"/>
                <w:sz w:val="24"/>
                <w:szCs w:val="24"/>
                <w:lang w:eastAsia="en-GB"/>
                <w14:ligatures w14:val="none"/>
              </w:rPr>
              <w:t xml:space="preserve">    GPIH</w:t>
            </w:r>
          </w:p>
        </w:tc>
        <w:tc>
          <w:tcPr>
            <w:tcW w:w="1706" w:type="dxa"/>
            <w:shd w:val="clear" w:color="auto" w:fill="auto"/>
            <w:vAlign w:val="center"/>
            <w:hideMark/>
          </w:tcPr>
          <w:p w14:paraId="228BC908" w14:textId="77777777" w:rsidR="004305C3" w:rsidRPr="002F7D91" w:rsidRDefault="004305C3" w:rsidP="004305C3">
            <w:pPr>
              <w:spacing w:after="0" w:line="240" w:lineRule="auto"/>
              <w:jc w:val="center"/>
              <w:rPr>
                <w:rFonts w:ascii="Calibri" w:eastAsia="Times New Roman" w:hAnsi="Calibri" w:cs="Calibri"/>
                <w:kern w:val="0"/>
                <w:lang w:eastAsia="en-GB"/>
                <w14:ligatures w14:val="none"/>
              </w:rPr>
            </w:pPr>
            <w:r w:rsidRPr="002F7D91">
              <w:rPr>
                <w:rFonts w:ascii="Calibri" w:eastAsia="Times New Roman" w:hAnsi="Calibri" w:cs="Calibri"/>
                <w:kern w:val="0"/>
                <w:lang w:eastAsia="en-GB"/>
                <w14:ligatures w14:val="none"/>
              </w:rPr>
              <w:t>Prescriptions</w:t>
            </w:r>
          </w:p>
        </w:tc>
        <w:tc>
          <w:tcPr>
            <w:tcW w:w="1304" w:type="dxa"/>
            <w:shd w:val="clear" w:color="auto" w:fill="auto"/>
            <w:vAlign w:val="center"/>
            <w:hideMark/>
          </w:tcPr>
          <w:p w14:paraId="67ABF69E"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-12.2</w:t>
            </w:r>
          </w:p>
          <w:p w14:paraId="4B210CE0"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(-17.7, -7.3)</w:t>
            </w:r>
          </w:p>
        </w:tc>
        <w:tc>
          <w:tcPr>
            <w:tcW w:w="1304" w:type="dxa"/>
            <w:shd w:val="clear" w:color="auto" w:fill="auto"/>
            <w:vAlign w:val="center"/>
            <w:hideMark/>
          </w:tcPr>
          <w:p w14:paraId="4DF7C26B"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-26.3</w:t>
            </w:r>
          </w:p>
          <w:p w14:paraId="34EA62EE"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(-33.1, -20.2)</w:t>
            </w:r>
          </w:p>
        </w:tc>
        <w:tc>
          <w:tcPr>
            <w:tcW w:w="1304" w:type="dxa"/>
            <w:shd w:val="clear" w:color="auto" w:fill="auto"/>
            <w:vAlign w:val="center"/>
            <w:hideMark/>
          </w:tcPr>
          <w:p w14:paraId="1EE2190F"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-13.0</w:t>
            </w:r>
          </w:p>
          <w:p w14:paraId="62E80AB2"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(-17.9, -8.5)</w:t>
            </w:r>
          </w:p>
        </w:tc>
        <w:tc>
          <w:tcPr>
            <w:tcW w:w="1304" w:type="dxa"/>
            <w:shd w:val="clear" w:color="auto" w:fill="auto"/>
            <w:vAlign w:val="center"/>
            <w:hideMark/>
          </w:tcPr>
          <w:p w14:paraId="7AEF3BFB"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-3.9</w:t>
            </w:r>
          </w:p>
          <w:p w14:paraId="46DD0CE9"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(-7.7, -0.4)</w:t>
            </w:r>
          </w:p>
        </w:tc>
        <w:tc>
          <w:tcPr>
            <w:tcW w:w="1304" w:type="dxa"/>
            <w:shd w:val="clear" w:color="auto" w:fill="auto"/>
            <w:vAlign w:val="center"/>
            <w:hideMark/>
          </w:tcPr>
          <w:p w14:paraId="294522E2"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-0.1</w:t>
            </w:r>
          </w:p>
          <w:p w14:paraId="5C580294"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(-4.8, 4.2)</w:t>
            </w:r>
          </w:p>
        </w:tc>
      </w:tr>
      <w:tr w:rsidR="004305C3" w:rsidRPr="00D55EC4" w14:paraId="4BB67D7A" w14:textId="77777777" w:rsidTr="004305C3">
        <w:trPr>
          <w:cantSplit/>
          <w:trHeight w:val="1134"/>
        </w:trPr>
        <w:tc>
          <w:tcPr>
            <w:tcW w:w="562" w:type="dxa"/>
            <w:textDirection w:val="btLr"/>
            <w:vAlign w:val="center"/>
            <w:hideMark/>
          </w:tcPr>
          <w:p w14:paraId="25A5C483" w14:textId="77777777" w:rsidR="004305C3" w:rsidRPr="00D55EC4" w:rsidRDefault="004305C3" w:rsidP="004305C3">
            <w:pPr>
              <w:spacing w:after="0" w:line="240" w:lineRule="auto"/>
              <w:ind w:left="113" w:right="113"/>
              <w:rPr>
                <w:rFonts w:ascii="Calibri" w:eastAsia="Times New Roman" w:hAnsi="Calibri" w:cs="Calibri"/>
                <w:b/>
                <w:bCs/>
                <w:color w:val="000000"/>
                <w:kern w:val="0"/>
                <w:sz w:val="24"/>
                <w:szCs w:val="24"/>
                <w:lang w:eastAsia="en-GB"/>
                <w14:ligatures w14:val="none"/>
              </w:rPr>
            </w:pPr>
            <w:r>
              <w:rPr>
                <w:rFonts w:ascii="Calibri" w:eastAsia="Times New Roman" w:hAnsi="Calibri" w:cs="Calibri"/>
                <w:b/>
                <w:bCs/>
                <w:color w:val="000000"/>
                <w:kern w:val="0"/>
                <w:sz w:val="24"/>
                <w:szCs w:val="24"/>
                <w:lang w:eastAsia="en-GB"/>
                <w14:ligatures w14:val="none"/>
              </w:rPr>
              <w:t>NHS 111</w:t>
            </w:r>
          </w:p>
        </w:tc>
        <w:tc>
          <w:tcPr>
            <w:tcW w:w="1706" w:type="dxa"/>
            <w:shd w:val="clear" w:color="auto" w:fill="auto"/>
            <w:vAlign w:val="center"/>
            <w:hideMark/>
          </w:tcPr>
          <w:p w14:paraId="6370A3BD" w14:textId="77777777" w:rsidR="004305C3" w:rsidRPr="002F7D91" w:rsidRDefault="004305C3" w:rsidP="004305C3">
            <w:pPr>
              <w:spacing w:after="0" w:line="240" w:lineRule="auto"/>
              <w:jc w:val="center"/>
              <w:rPr>
                <w:rFonts w:ascii="Calibri" w:eastAsia="Times New Roman" w:hAnsi="Calibri" w:cs="Calibri"/>
                <w:kern w:val="0"/>
                <w:lang w:eastAsia="en-GB"/>
                <w14:ligatures w14:val="none"/>
              </w:rPr>
            </w:pPr>
            <w:r w:rsidRPr="002F7D91">
              <w:rPr>
                <w:rFonts w:ascii="Calibri" w:eastAsia="Times New Roman" w:hAnsi="Calibri" w:cs="Calibri"/>
                <w:kern w:val="0"/>
                <w:lang w:eastAsia="en-GB"/>
                <w14:ligatures w14:val="none"/>
              </w:rPr>
              <w:t>Sleep Difficulties</w:t>
            </w:r>
            <w:r>
              <w:rPr>
                <w:rFonts w:ascii="Calibri" w:eastAsia="Times New Roman" w:hAnsi="Calibri" w:cs="Calibri"/>
                <w:kern w:val="0"/>
                <w:lang w:eastAsia="en-GB"/>
                <w14:ligatures w14:val="none"/>
              </w:rPr>
              <w:t xml:space="preserve"> </w:t>
            </w:r>
          </w:p>
        </w:tc>
        <w:tc>
          <w:tcPr>
            <w:tcW w:w="1304" w:type="dxa"/>
            <w:shd w:val="clear" w:color="auto" w:fill="auto"/>
            <w:vAlign w:val="center"/>
            <w:hideMark/>
          </w:tcPr>
          <w:p w14:paraId="734674CE"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-16.0</w:t>
            </w:r>
          </w:p>
          <w:p w14:paraId="70FBF94B"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(-27.7, -6.3)</w:t>
            </w:r>
          </w:p>
        </w:tc>
        <w:tc>
          <w:tcPr>
            <w:tcW w:w="1304" w:type="dxa"/>
            <w:shd w:val="clear" w:color="auto" w:fill="auto"/>
            <w:vAlign w:val="center"/>
            <w:hideMark/>
          </w:tcPr>
          <w:p w14:paraId="0D97B932"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19.6</w:t>
            </w:r>
          </w:p>
          <w:p w14:paraId="10A86BE3"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(10.2, 27.3)</w:t>
            </w:r>
          </w:p>
        </w:tc>
        <w:tc>
          <w:tcPr>
            <w:tcW w:w="1304" w:type="dxa"/>
            <w:shd w:val="clear" w:color="auto" w:fill="auto"/>
            <w:vAlign w:val="center"/>
            <w:hideMark/>
          </w:tcPr>
          <w:p w14:paraId="283FAA33"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20.4</w:t>
            </w:r>
          </w:p>
          <w:p w14:paraId="2D712BFD"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(13.1, 26.5)</w:t>
            </w:r>
          </w:p>
        </w:tc>
        <w:tc>
          <w:tcPr>
            <w:tcW w:w="1304" w:type="dxa"/>
            <w:shd w:val="clear" w:color="auto" w:fill="auto"/>
            <w:vAlign w:val="center"/>
            <w:hideMark/>
          </w:tcPr>
          <w:p w14:paraId="69B14AFF"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34.5</w:t>
            </w:r>
          </w:p>
          <w:p w14:paraId="5196FA6B"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(29.4, 38.8)</w:t>
            </w:r>
          </w:p>
        </w:tc>
        <w:tc>
          <w:tcPr>
            <w:tcW w:w="1304" w:type="dxa"/>
            <w:shd w:val="clear" w:color="auto" w:fill="auto"/>
            <w:vAlign w:val="center"/>
            <w:hideMark/>
          </w:tcPr>
          <w:p w14:paraId="2811B649"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26.3</w:t>
            </w:r>
          </w:p>
          <w:p w14:paraId="4A8AD913"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(18.6, 32.7)</w:t>
            </w:r>
          </w:p>
        </w:tc>
      </w:tr>
      <w:tr w:rsidR="004305C3" w:rsidRPr="00D55EC4" w14:paraId="503F5564" w14:textId="77777777" w:rsidTr="004305C3">
        <w:trPr>
          <w:cantSplit/>
          <w:trHeight w:val="1134"/>
        </w:trPr>
        <w:tc>
          <w:tcPr>
            <w:tcW w:w="562" w:type="dxa"/>
            <w:textDirection w:val="btLr"/>
            <w:vAlign w:val="center"/>
            <w:hideMark/>
          </w:tcPr>
          <w:p w14:paraId="32F8876A" w14:textId="77777777" w:rsidR="004305C3" w:rsidRPr="00D55EC4" w:rsidRDefault="004305C3" w:rsidP="004305C3">
            <w:pPr>
              <w:spacing w:after="0" w:line="240" w:lineRule="auto"/>
              <w:ind w:left="113" w:right="113"/>
              <w:rPr>
                <w:rFonts w:ascii="Calibri" w:eastAsia="Times New Roman" w:hAnsi="Calibri" w:cs="Calibri"/>
                <w:b/>
                <w:bCs/>
                <w:color w:val="000000"/>
                <w:kern w:val="0"/>
                <w:sz w:val="24"/>
                <w:szCs w:val="24"/>
                <w:lang w:eastAsia="en-GB"/>
                <w14:ligatures w14:val="none"/>
              </w:rPr>
            </w:pPr>
            <w:r>
              <w:rPr>
                <w:rFonts w:ascii="Calibri" w:eastAsia="Times New Roman" w:hAnsi="Calibri" w:cs="Calibri"/>
                <w:b/>
                <w:bCs/>
                <w:color w:val="000000"/>
                <w:kern w:val="0"/>
                <w:sz w:val="24"/>
                <w:szCs w:val="24"/>
                <w:lang w:eastAsia="en-GB"/>
                <w14:ligatures w14:val="none"/>
              </w:rPr>
              <w:t>GPOOH</w:t>
            </w:r>
          </w:p>
        </w:tc>
        <w:tc>
          <w:tcPr>
            <w:tcW w:w="1706" w:type="dxa"/>
            <w:shd w:val="clear" w:color="auto" w:fill="auto"/>
            <w:vAlign w:val="center"/>
            <w:hideMark/>
          </w:tcPr>
          <w:p w14:paraId="036FBC09" w14:textId="77777777" w:rsidR="004305C3" w:rsidRDefault="004305C3" w:rsidP="004305C3">
            <w:pPr>
              <w:spacing w:after="0" w:line="240" w:lineRule="auto"/>
              <w:jc w:val="center"/>
              <w:rPr>
                <w:rFonts w:ascii="Calibri" w:eastAsia="Times New Roman" w:hAnsi="Calibri" w:cs="Calibri"/>
                <w:kern w:val="0"/>
                <w:lang w:eastAsia="en-GB"/>
                <w14:ligatures w14:val="none"/>
              </w:rPr>
            </w:pPr>
            <w:r w:rsidRPr="002F7D91">
              <w:rPr>
                <w:rFonts w:ascii="Calibri" w:eastAsia="Times New Roman" w:hAnsi="Calibri" w:cs="Calibri"/>
                <w:kern w:val="0"/>
                <w:lang w:eastAsia="en-GB"/>
                <w14:ligatures w14:val="none"/>
              </w:rPr>
              <w:t>Self-harm</w:t>
            </w:r>
          </w:p>
          <w:p w14:paraId="708D6688" w14:textId="77777777" w:rsidR="004305C3" w:rsidRPr="002F7D91" w:rsidRDefault="004305C3" w:rsidP="004305C3">
            <w:pPr>
              <w:spacing w:after="0" w:line="240" w:lineRule="auto"/>
              <w:jc w:val="center"/>
              <w:rPr>
                <w:rFonts w:ascii="Calibri" w:eastAsia="Times New Roman" w:hAnsi="Calibri" w:cs="Calibri"/>
                <w:kern w:val="0"/>
                <w:lang w:eastAsia="en-GB"/>
                <w14:ligatures w14:val="none"/>
              </w:rPr>
            </w:pPr>
          </w:p>
        </w:tc>
        <w:tc>
          <w:tcPr>
            <w:tcW w:w="1304" w:type="dxa"/>
            <w:shd w:val="clear" w:color="auto" w:fill="auto"/>
            <w:vAlign w:val="center"/>
            <w:hideMark/>
          </w:tcPr>
          <w:p w14:paraId="7BA35142"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-25.7</w:t>
            </w:r>
          </w:p>
          <w:p w14:paraId="437159DF"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(-41.7, -12.9)</w:t>
            </w:r>
          </w:p>
        </w:tc>
        <w:tc>
          <w:tcPr>
            <w:tcW w:w="1304" w:type="dxa"/>
            <w:shd w:val="clear" w:color="auto" w:fill="auto"/>
            <w:vAlign w:val="center"/>
            <w:hideMark/>
          </w:tcPr>
          <w:p w14:paraId="6E919474" w14:textId="77777777" w:rsidR="004305C3" w:rsidRPr="002F7D91" w:rsidRDefault="004305C3" w:rsidP="004305C3">
            <w:pPr>
              <w:spacing w:after="0" w:line="240" w:lineRule="auto"/>
              <w:jc w:val="center"/>
              <w:rPr>
                <w:rFonts w:eastAsia="Times New Roman" w:cstheme="minorHAnsi"/>
                <w:color w:val="4472C4" w:themeColor="accent1"/>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-15.9</w:t>
            </w:r>
          </w:p>
          <w:p w14:paraId="61F91B2D"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4472C4" w:themeColor="accent1"/>
                <w:kern w:val="0"/>
                <w:sz w:val="20"/>
                <w:szCs w:val="20"/>
                <w:lang w:eastAsia="en-GB"/>
                <w14:ligatures w14:val="none"/>
              </w:rPr>
              <w:t>(-31.8, -3.3)</w:t>
            </w:r>
          </w:p>
        </w:tc>
        <w:tc>
          <w:tcPr>
            <w:tcW w:w="1304" w:type="dxa"/>
            <w:shd w:val="clear" w:color="auto" w:fill="auto"/>
            <w:vAlign w:val="center"/>
            <w:hideMark/>
          </w:tcPr>
          <w:p w14:paraId="2C948310"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-8.3</w:t>
            </w:r>
          </w:p>
          <w:p w14:paraId="5874BE00"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(-19.9, 1.3)</w:t>
            </w:r>
          </w:p>
        </w:tc>
        <w:tc>
          <w:tcPr>
            <w:tcW w:w="1304" w:type="dxa"/>
            <w:shd w:val="clear" w:color="auto" w:fill="auto"/>
            <w:vAlign w:val="center"/>
            <w:hideMark/>
          </w:tcPr>
          <w:p w14:paraId="11A9E0E4"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37.5</w:t>
            </w:r>
          </w:p>
          <w:p w14:paraId="3D254AF8" w14:textId="77777777" w:rsidR="004305C3" w:rsidRPr="002F7D91" w:rsidRDefault="004305C3" w:rsidP="004305C3">
            <w:pPr>
              <w:spacing w:after="0" w:line="240" w:lineRule="auto"/>
              <w:jc w:val="center"/>
              <w:rPr>
                <w:rFonts w:eastAsia="Times New Roman" w:cstheme="minorHAnsi"/>
                <w:color w:val="ED7D31" w:themeColor="accent2"/>
                <w:kern w:val="0"/>
                <w:sz w:val="20"/>
                <w:szCs w:val="20"/>
                <w:lang w:eastAsia="en-GB"/>
                <w14:ligatures w14:val="none"/>
              </w:rPr>
            </w:pPr>
            <w:r w:rsidRPr="002F7D91">
              <w:rPr>
                <w:rFonts w:eastAsia="Times New Roman" w:cstheme="minorHAnsi"/>
                <w:color w:val="ED7D31" w:themeColor="accent2"/>
                <w:kern w:val="0"/>
                <w:sz w:val="20"/>
                <w:szCs w:val="20"/>
                <w:lang w:eastAsia="en-GB"/>
                <w14:ligatures w14:val="none"/>
              </w:rPr>
              <w:t>(31.2, 42.8)</w:t>
            </w:r>
          </w:p>
        </w:tc>
        <w:tc>
          <w:tcPr>
            <w:tcW w:w="1304" w:type="dxa"/>
            <w:shd w:val="clear" w:color="auto" w:fill="auto"/>
            <w:vAlign w:val="center"/>
            <w:hideMark/>
          </w:tcPr>
          <w:p w14:paraId="5AB9D227"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2.7</w:t>
            </w:r>
          </w:p>
          <w:p w14:paraId="25BFF5A4" w14:textId="77777777" w:rsidR="004305C3" w:rsidRPr="002F7D91" w:rsidRDefault="004305C3" w:rsidP="004305C3">
            <w:pPr>
              <w:spacing w:after="0" w:line="240" w:lineRule="auto"/>
              <w:jc w:val="center"/>
              <w:rPr>
                <w:rFonts w:eastAsia="Times New Roman" w:cstheme="minorHAnsi"/>
                <w:color w:val="000000"/>
                <w:kern w:val="0"/>
                <w:sz w:val="20"/>
                <w:szCs w:val="20"/>
                <w:lang w:eastAsia="en-GB"/>
                <w14:ligatures w14:val="none"/>
              </w:rPr>
            </w:pPr>
            <w:r w:rsidRPr="002F7D91">
              <w:rPr>
                <w:rFonts w:eastAsia="Times New Roman" w:cstheme="minorHAnsi"/>
                <w:color w:val="000000"/>
                <w:kern w:val="0"/>
                <w:sz w:val="20"/>
                <w:szCs w:val="20"/>
                <w:lang w:eastAsia="en-GB"/>
                <w14:ligatures w14:val="none"/>
              </w:rPr>
              <w:t>(-8.9, 12.0)</w:t>
            </w:r>
          </w:p>
        </w:tc>
      </w:tr>
    </w:tbl>
    <w:p w14:paraId="4CD3C080" w14:textId="77777777" w:rsidR="004305C3" w:rsidRDefault="004305C3" w:rsidP="00C80EAD">
      <w:pPr>
        <w:spacing w:after="0" w:line="240" w:lineRule="auto"/>
      </w:pPr>
    </w:p>
    <w:p w14:paraId="207B05EC" w14:textId="77777777" w:rsidR="004305C3" w:rsidRDefault="004305C3" w:rsidP="00C80EAD">
      <w:pPr>
        <w:spacing w:after="0" w:line="240" w:lineRule="auto"/>
      </w:pPr>
    </w:p>
    <w:p w14:paraId="71B8BB1E" w14:textId="77777777" w:rsidR="004305C3" w:rsidRDefault="004305C3" w:rsidP="00C80EAD">
      <w:pPr>
        <w:spacing w:after="0" w:line="240" w:lineRule="auto"/>
      </w:pPr>
    </w:p>
    <w:p w14:paraId="3B0665B1" w14:textId="77777777" w:rsidR="004305C3" w:rsidRDefault="004305C3" w:rsidP="00C80EAD">
      <w:pPr>
        <w:spacing w:after="0" w:line="240" w:lineRule="auto"/>
      </w:pPr>
    </w:p>
    <w:p w14:paraId="3BDD47C2" w14:textId="77777777" w:rsidR="004305C3" w:rsidRDefault="004305C3" w:rsidP="00C80EAD">
      <w:pPr>
        <w:spacing w:after="0" w:line="240" w:lineRule="auto"/>
      </w:pPr>
    </w:p>
    <w:p w14:paraId="0B5ADAE4" w14:textId="77777777" w:rsidR="004305C3" w:rsidRDefault="004305C3" w:rsidP="00C80EAD">
      <w:pPr>
        <w:spacing w:after="0" w:line="240" w:lineRule="auto"/>
      </w:pPr>
    </w:p>
    <w:p w14:paraId="157C7970" w14:textId="77777777" w:rsidR="004305C3" w:rsidRDefault="004305C3" w:rsidP="00C80EAD">
      <w:pPr>
        <w:spacing w:after="0" w:line="240" w:lineRule="auto"/>
      </w:pPr>
    </w:p>
    <w:p w14:paraId="639403A6" w14:textId="77777777" w:rsidR="004305C3" w:rsidRDefault="004305C3" w:rsidP="00C80EAD">
      <w:pPr>
        <w:spacing w:after="0" w:line="240" w:lineRule="auto"/>
      </w:pPr>
    </w:p>
    <w:p w14:paraId="44E9FD70" w14:textId="77777777" w:rsidR="004305C3" w:rsidRDefault="004305C3" w:rsidP="00C80EAD">
      <w:pPr>
        <w:spacing w:after="0" w:line="240" w:lineRule="auto"/>
      </w:pPr>
    </w:p>
    <w:p w14:paraId="7C17ED31" w14:textId="77777777" w:rsidR="004305C3" w:rsidRDefault="004305C3" w:rsidP="00C80EAD">
      <w:pPr>
        <w:spacing w:after="0" w:line="240" w:lineRule="auto"/>
      </w:pPr>
    </w:p>
    <w:p w14:paraId="602C5D2A" w14:textId="77777777" w:rsidR="004305C3" w:rsidRDefault="004305C3" w:rsidP="00C80EAD">
      <w:pPr>
        <w:spacing w:after="0" w:line="240" w:lineRule="auto"/>
      </w:pPr>
    </w:p>
    <w:p w14:paraId="6FDE5CCB" w14:textId="77777777" w:rsidR="004305C3" w:rsidRDefault="004305C3" w:rsidP="00C80EAD">
      <w:pPr>
        <w:spacing w:after="0" w:line="240" w:lineRule="auto"/>
      </w:pPr>
    </w:p>
    <w:p w14:paraId="0DBA89DB" w14:textId="77777777" w:rsidR="004305C3" w:rsidRDefault="004305C3" w:rsidP="00C80EAD">
      <w:pPr>
        <w:spacing w:after="0" w:line="240" w:lineRule="auto"/>
      </w:pPr>
    </w:p>
    <w:p w14:paraId="7185B1B9" w14:textId="77777777" w:rsidR="004305C3" w:rsidRDefault="004305C3" w:rsidP="00C80EAD">
      <w:pPr>
        <w:spacing w:after="0" w:line="240" w:lineRule="auto"/>
      </w:pPr>
    </w:p>
    <w:p w14:paraId="68CC1E45" w14:textId="77777777" w:rsidR="004305C3" w:rsidRDefault="004305C3" w:rsidP="00C80EAD">
      <w:pPr>
        <w:spacing w:after="0" w:line="240" w:lineRule="auto"/>
      </w:pPr>
    </w:p>
    <w:p w14:paraId="46106FCC" w14:textId="77777777" w:rsidR="004305C3" w:rsidRDefault="004305C3" w:rsidP="00C80EAD">
      <w:pPr>
        <w:spacing w:after="0" w:line="240" w:lineRule="auto"/>
      </w:pPr>
    </w:p>
    <w:p w14:paraId="63E0E8DC" w14:textId="77777777" w:rsidR="004305C3" w:rsidRDefault="004305C3" w:rsidP="00C80EAD">
      <w:pPr>
        <w:spacing w:after="0" w:line="240" w:lineRule="auto"/>
      </w:pPr>
    </w:p>
    <w:p w14:paraId="578D95AF" w14:textId="77777777" w:rsidR="004305C3" w:rsidRDefault="004305C3" w:rsidP="00C80EAD">
      <w:pPr>
        <w:spacing w:after="0" w:line="240" w:lineRule="auto"/>
      </w:pPr>
    </w:p>
    <w:p w14:paraId="3448E3D2" w14:textId="77777777" w:rsidR="004305C3" w:rsidRDefault="004305C3" w:rsidP="00C80EAD">
      <w:pPr>
        <w:spacing w:after="0" w:line="240" w:lineRule="auto"/>
      </w:pPr>
    </w:p>
    <w:p w14:paraId="462EDF6C" w14:textId="77777777" w:rsidR="004305C3" w:rsidRDefault="004305C3" w:rsidP="00C80EAD">
      <w:pPr>
        <w:spacing w:after="0" w:line="240" w:lineRule="auto"/>
      </w:pPr>
    </w:p>
    <w:p w14:paraId="59CC8D4C" w14:textId="77777777" w:rsidR="004305C3" w:rsidRDefault="004305C3" w:rsidP="00C80EAD">
      <w:pPr>
        <w:spacing w:after="0" w:line="240" w:lineRule="auto"/>
      </w:pPr>
    </w:p>
    <w:p w14:paraId="47FB056D" w14:textId="77777777" w:rsidR="004305C3" w:rsidRDefault="004305C3" w:rsidP="00C80EAD">
      <w:pPr>
        <w:spacing w:after="0" w:line="240" w:lineRule="auto"/>
      </w:pPr>
    </w:p>
    <w:p w14:paraId="5DCF7F75" w14:textId="77777777" w:rsidR="004305C3" w:rsidRDefault="004305C3" w:rsidP="00C80EAD">
      <w:pPr>
        <w:spacing w:after="0" w:line="240" w:lineRule="auto"/>
      </w:pPr>
    </w:p>
    <w:p w14:paraId="1511E7F7" w14:textId="77777777" w:rsidR="004305C3" w:rsidRDefault="004305C3" w:rsidP="00C80EAD">
      <w:pPr>
        <w:spacing w:after="0" w:line="240" w:lineRule="auto"/>
      </w:pPr>
    </w:p>
    <w:p w14:paraId="7C00F93A" w14:textId="77777777" w:rsidR="004305C3" w:rsidRDefault="004305C3" w:rsidP="00C80EAD">
      <w:pPr>
        <w:spacing w:after="0" w:line="240" w:lineRule="auto"/>
      </w:pPr>
    </w:p>
    <w:p w14:paraId="07D1066B" w14:textId="77777777" w:rsidR="004305C3" w:rsidRDefault="004305C3" w:rsidP="00C80EAD">
      <w:pPr>
        <w:spacing w:after="0" w:line="240" w:lineRule="auto"/>
      </w:pPr>
    </w:p>
    <w:p w14:paraId="3AC5BA1E" w14:textId="77777777" w:rsidR="004305C3" w:rsidRPr="00354BF5" w:rsidRDefault="004305C3" w:rsidP="004305C3">
      <w:pPr>
        <w:spacing w:after="0" w:line="240" w:lineRule="auto"/>
        <w:jc w:val="center"/>
        <w:rPr>
          <w:sz w:val="20"/>
          <w:szCs w:val="20"/>
        </w:rPr>
      </w:pPr>
      <w:r w:rsidRPr="00354BF5">
        <w:rPr>
          <w:b/>
          <w:bCs/>
          <w:sz w:val="20"/>
          <w:szCs w:val="20"/>
        </w:rPr>
        <w:t>Notes:</w:t>
      </w:r>
      <w:r w:rsidRPr="00354BF5">
        <w:rPr>
          <w:sz w:val="20"/>
          <w:szCs w:val="20"/>
        </w:rPr>
        <w:t xml:space="preserve">  Values are % difference with 95% confidence intervals.  Orange or blue font items have 95% CI entirely above or below zero.  </w:t>
      </w:r>
      <w:r w:rsidRPr="00354BF5">
        <w:rPr>
          <w:color w:val="ED7D31" w:themeColor="accent2"/>
          <w:sz w:val="20"/>
          <w:szCs w:val="20"/>
        </w:rPr>
        <w:t>Orange font</w:t>
      </w:r>
      <w:r w:rsidRPr="00354BF5">
        <w:rPr>
          <w:sz w:val="20"/>
          <w:szCs w:val="20"/>
        </w:rPr>
        <w:t xml:space="preserve"> is higher </w:t>
      </w:r>
      <w:r>
        <w:rPr>
          <w:sz w:val="20"/>
          <w:szCs w:val="20"/>
        </w:rPr>
        <w:t>utilisation</w:t>
      </w:r>
      <w:r w:rsidRPr="00354BF5">
        <w:rPr>
          <w:sz w:val="20"/>
          <w:szCs w:val="20"/>
        </w:rPr>
        <w:t xml:space="preserve"> than counterfactual; </w:t>
      </w:r>
      <w:r w:rsidRPr="00354BF5">
        <w:rPr>
          <w:color w:val="4472C4" w:themeColor="accent1"/>
          <w:sz w:val="20"/>
          <w:szCs w:val="20"/>
        </w:rPr>
        <w:t xml:space="preserve">blue font </w:t>
      </w:r>
      <w:r w:rsidRPr="00354BF5">
        <w:rPr>
          <w:sz w:val="20"/>
          <w:szCs w:val="20"/>
        </w:rPr>
        <w:t xml:space="preserve">highlights lower than expected presentations. </w:t>
      </w:r>
      <w:r w:rsidRPr="00354BF5">
        <w:rPr>
          <w:b/>
          <w:bCs/>
          <w:sz w:val="20"/>
          <w:szCs w:val="20"/>
        </w:rPr>
        <w:t xml:space="preserve">PRL1: </w:t>
      </w:r>
      <w:r w:rsidRPr="00354BF5">
        <w:rPr>
          <w:sz w:val="20"/>
          <w:szCs w:val="20"/>
        </w:rPr>
        <w:t xml:space="preserve">Pre-lockdown 1: February 25 to March 22, 2020; </w:t>
      </w:r>
      <w:r w:rsidRPr="00354BF5">
        <w:rPr>
          <w:b/>
          <w:bCs/>
          <w:sz w:val="20"/>
          <w:szCs w:val="20"/>
        </w:rPr>
        <w:t>L1:</w:t>
      </w:r>
      <w:r w:rsidRPr="00354BF5">
        <w:rPr>
          <w:sz w:val="20"/>
          <w:szCs w:val="20"/>
        </w:rPr>
        <w:t xml:space="preserve"> Lockdown 1: March 23 to May 31, 2020; </w:t>
      </w:r>
      <w:r w:rsidRPr="00354BF5">
        <w:rPr>
          <w:b/>
          <w:bCs/>
          <w:sz w:val="20"/>
          <w:szCs w:val="20"/>
        </w:rPr>
        <w:t>PL1:</w:t>
      </w:r>
      <w:r w:rsidRPr="00354BF5">
        <w:rPr>
          <w:sz w:val="20"/>
          <w:szCs w:val="20"/>
        </w:rPr>
        <w:t xml:space="preserve"> Post Lockdown 1: June 1 to November 4, 2020;  </w:t>
      </w:r>
      <w:r w:rsidRPr="00354BF5">
        <w:rPr>
          <w:b/>
          <w:bCs/>
          <w:sz w:val="20"/>
          <w:szCs w:val="20"/>
        </w:rPr>
        <w:t>L2:</w:t>
      </w:r>
      <w:r w:rsidRPr="00354BF5">
        <w:rPr>
          <w:sz w:val="20"/>
          <w:szCs w:val="20"/>
        </w:rPr>
        <w:t xml:space="preserve"> Lockdown 2: November 5, 2020 to March 7, 2021;  </w:t>
      </w:r>
      <w:r w:rsidRPr="00354BF5">
        <w:rPr>
          <w:b/>
          <w:bCs/>
          <w:sz w:val="20"/>
          <w:szCs w:val="20"/>
        </w:rPr>
        <w:t>PL2:</w:t>
      </w:r>
      <w:r w:rsidRPr="00354BF5">
        <w:rPr>
          <w:sz w:val="20"/>
          <w:szCs w:val="20"/>
        </w:rPr>
        <w:t xml:space="preserve"> Post-Lockdown 2: March 8 to July 7, 2021. NHS111 – National Health Service 111 telephone service; GPIH – General Practitioner In-Hours; GPOOH; General Practitioner Out-of-Hours; EDSSS – Emergency Department Syndromic Surveillance System</w:t>
      </w:r>
    </w:p>
    <w:p w14:paraId="4CCB3FD1" w14:textId="675315B0" w:rsidR="004305C3" w:rsidRDefault="004305C3" w:rsidP="00C80EAD">
      <w:pPr>
        <w:spacing w:after="0" w:line="240" w:lineRule="auto"/>
        <w:sectPr w:rsidR="004305C3" w:rsidSect="009468F6">
          <w:pgSz w:w="11906" w:h="16838"/>
          <w:pgMar w:top="720" w:right="720" w:bottom="720" w:left="720" w:header="708" w:footer="708" w:gutter="0"/>
          <w:cols w:space="708"/>
          <w:docGrid w:linePitch="360"/>
        </w:sectPr>
      </w:pPr>
    </w:p>
    <w:p w14:paraId="049C3201" w14:textId="2C5C2612" w:rsidR="00ED18BB" w:rsidRDefault="00ED18BB" w:rsidP="00C80EAD">
      <w:pPr>
        <w:spacing w:after="0" w:line="240" w:lineRule="auto"/>
      </w:pPr>
    </w:p>
    <w:p w14:paraId="4D2FAA77" w14:textId="77777777" w:rsidR="008522BF" w:rsidRDefault="008522BF" w:rsidP="00C80EAD">
      <w:pPr>
        <w:spacing w:after="0" w:line="240" w:lineRule="auto"/>
      </w:pPr>
    </w:p>
    <w:p w14:paraId="7F820117" w14:textId="5CB8AE37" w:rsidR="008522BF" w:rsidRDefault="008522BF" w:rsidP="00C80EAD">
      <w:pPr>
        <w:spacing w:after="0" w:line="240" w:lineRule="auto"/>
      </w:pPr>
      <w:r w:rsidRPr="00B1534A">
        <w:rPr>
          <w:b/>
          <w:bCs/>
        </w:rPr>
        <w:t>Figure S1.</w:t>
      </w:r>
      <w:r>
        <w:t xml:space="preserve">  GP in Hours prescriptions for mental health conditions and calls to NHS111 about sleep difficulties.</w:t>
      </w:r>
    </w:p>
    <w:p w14:paraId="0BC476CF" w14:textId="77777777" w:rsidR="008522BF" w:rsidRDefault="008522BF" w:rsidP="00C80EAD">
      <w:pPr>
        <w:spacing w:after="0" w:line="240" w:lineRule="auto"/>
      </w:pPr>
    </w:p>
    <w:p w14:paraId="08762AC5" w14:textId="77777777" w:rsidR="00B1534A" w:rsidRDefault="008522BF" w:rsidP="00C80EAD">
      <w:pPr>
        <w:spacing w:after="0" w:line="240" w:lineRule="auto"/>
      </w:pPr>
      <w:r w:rsidRPr="008522BF">
        <w:rPr>
          <w:noProof/>
        </w:rPr>
        <w:drawing>
          <wp:inline distT="0" distB="0" distL="0" distR="0" wp14:anchorId="130BEE60" wp14:editId="0C6F2F3A">
            <wp:extent cx="9539248" cy="5040351"/>
            <wp:effectExtent l="0" t="0" r="5080" b="8255"/>
            <wp:docPr id="15607479" name="Picture 4">
              <a:extLst xmlns:a="http://schemas.openxmlformats.org/drawingml/2006/main">
                <a:ext uri="{FF2B5EF4-FFF2-40B4-BE49-F238E27FC236}">
                  <a16:creationId xmlns:a16="http://schemas.microsoft.com/office/drawing/2014/main" id="{662BEC14-D5C8-A45B-C820-83B7E7887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62BEC14-D5C8-A45B-C820-83B7E7887E29}"/>
                        </a:ext>
                      </a:extLst>
                    </pic:cNvPr>
                    <pic:cNvPicPr>
                      <a:picLocks noChangeAspect="1"/>
                    </pic:cNvPicPr>
                  </pic:nvPicPr>
                  <pic:blipFill>
                    <a:blip r:embed="rId12"/>
                    <a:stretch>
                      <a:fillRect/>
                    </a:stretch>
                  </pic:blipFill>
                  <pic:spPr>
                    <a:xfrm>
                      <a:off x="0" y="0"/>
                      <a:ext cx="9540615" cy="5041073"/>
                    </a:xfrm>
                    <a:prstGeom prst="rect">
                      <a:avLst/>
                    </a:prstGeom>
                  </pic:spPr>
                </pic:pic>
              </a:graphicData>
            </a:graphic>
          </wp:inline>
        </w:drawing>
      </w:r>
    </w:p>
    <w:p w14:paraId="491643C3" w14:textId="38536E88" w:rsidR="008522BF" w:rsidRDefault="00B1534A" w:rsidP="00C80EAD">
      <w:pPr>
        <w:spacing w:after="0" w:line="240" w:lineRule="auto"/>
      </w:pPr>
      <w:r w:rsidRPr="00B1534A">
        <w:t xml:space="preserve">Notes: Vertical lines represent starts of different time periods.  </w:t>
      </w:r>
      <w:r w:rsidR="008522BF">
        <w:br w:type="page"/>
      </w:r>
    </w:p>
    <w:p w14:paraId="3678C27A" w14:textId="77777777" w:rsidR="008522BF" w:rsidRDefault="008522BF" w:rsidP="00C80EAD">
      <w:pPr>
        <w:spacing w:after="0" w:line="240" w:lineRule="auto"/>
      </w:pPr>
    </w:p>
    <w:p w14:paraId="5A638530" w14:textId="3998245F" w:rsidR="008522BF" w:rsidRDefault="008522BF" w:rsidP="00C80EAD">
      <w:pPr>
        <w:spacing w:after="0" w:line="240" w:lineRule="auto"/>
      </w:pPr>
      <w:r w:rsidRPr="00B1534A">
        <w:rPr>
          <w:b/>
          <w:bCs/>
        </w:rPr>
        <w:t>Figure S2.</w:t>
      </w:r>
      <w:r>
        <w:t xml:space="preserve">  Mental health indicators : emergency department attendances for alcohol intoxication or alcohol overdose; ambulance attendances for overdoses and GP out of Hours calls for self-harm events</w:t>
      </w:r>
    </w:p>
    <w:p w14:paraId="3A4E328C" w14:textId="77777777" w:rsidR="008522BF" w:rsidRDefault="008522BF" w:rsidP="00C80EAD">
      <w:pPr>
        <w:spacing w:after="0" w:line="240" w:lineRule="auto"/>
      </w:pPr>
    </w:p>
    <w:p w14:paraId="60490FD9" w14:textId="1F2B4FAD" w:rsidR="008522BF" w:rsidRDefault="008522BF" w:rsidP="00C80EAD">
      <w:pPr>
        <w:spacing w:after="0" w:line="240" w:lineRule="auto"/>
      </w:pPr>
      <w:r w:rsidRPr="008522BF">
        <w:rPr>
          <w:noProof/>
        </w:rPr>
        <w:drawing>
          <wp:inline distT="0" distB="0" distL="0" distR="0" wp14:anchorId="5B9C5F16" wp14:editId="0BA3739B">
            <wp:extent cx="9777730" cy="5174615"/>
            <wp:effectExtent l="0" t="0" r="0" b="6985"/>
            <wp:docPr id="5" name="Picture 4">
              <a:extLst xmlns:a="http://schemas.openxmlformats.org/drawingml/2006/main">
                <a:ext uri="{FF2B5EF4-FFF2-40B4-BE49-F238E27FC236}">
                  <a16:creationId xmlns:a16="http://schemas.microsoft.com/office/drawing/2014/main" id="{CCE7394C-C038-5DD8-7A3D-A29C98CCA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E7394C-C038-5DD8-7A3D-A29C98CCA524}"/>
                        </a:ext>
                      </a:extLst>
                    </pic:cNvPr>
                    <pic:cNvPicPr>
                      <a:picLocks noChangeAspect="1"/>
                    </pic:cNvPicPr>
                  </pic:nvPicPr>
                  <pic:blipFill rotWithShape="1">
                    <a:blip r:embed="rId13"/>
                    <a:srcRect t="475" b="-1"/>
                    <a:stretch/>
                  </pic:blipFill>
                  <pic:spPr>
                    <a:xfrm>
                      <a:off x="0" y="0"/>
                      <a:ext cx="9777730" cy="5174615"/>
                    </a:xfrm>
                    <a:prstGeom prst="rect">
                      <a:avLst/>
                    </a:prstGeom>
                  </pic:spPr>
                </pic:pic>
              </a:graphicData>
            </a:graphic>
          </wp:inline>
        </w:drawing>
      </w:r>
    </w:p>
    <w:p w14:paraId="506D843B" w14:textId="77777777" w:rsidR="008522BF" w:rsidRDefault="008522BF" w:rsidP="00C80EAD">
      <w:pPr>
        <w:spacing w:after="0" w:line="240" w:lineRule="auto"/>
      </w:pPr>
    </w:p>
    <w:p w14:paraId="65995F49" w14:textId="77777777" w:rsidR="00095542" w:rsidRDefault="00B1534A" w:rsidP="00C80EAD">
      <w:pPr>
        <w:spacing w:after="0" w:line="240" w:lineRule="auto"/>
      </w:pPr>
      <w:r w:rsidRPr="00B1534A">
        <w:t>Notes: Vertical lines represent starts of different time periods</w:t>
      </w:r>
    </w:p>
    <w:p w14:paraId="5C85F160" w14:textId="77777777" w:rsidR="00095542" w:rsidRDefault="00095542" w:rsidP="00C80EAD">
      <w:pPr>
        <w:spacing w:after="0" w:line="240" w:lineRule="auto"/>
      </w:pPr>
    </w:p>
    <w:p w14:paraId="5A4232A7" w14:textId="77777777" w:rsidR="00095542" w:rsidRDefault="00095542" w:rsidP="00C80EAD">
      <w:pPr>
        <w:spacing w:after="0" w:line="240" w:lineRule="auto"/>
        <w:sectPr w:rsidR="00095542" w:rsidSect="008522BF">
          <w:pgSz w:w="16838" w:h="11906" w:orient="landscape"/>
          <w:pgMar w:top="720" w:right="720" w:bottom="720" w:left="720" w:header="708" w:footer="708" w:gutter="0"/>
          <w:cols w:space="708"/>
          <w:docGrid w:linePitch="360"/>
        </w:sectPr>
      </w:pPr>
    </w:p>
    <w:p w14:paraId="013427EE" w14:textId="77777777" w:rsidR="00095542" w:rsidRPr="007E268A" w:rsidRDefault="00095542" w:rsidP="00C80EAD">
      <w:pPr>
        <w:spacing w:after="0" w:line="240" w:lineRule="auto"/>
        <w:rPr>
          <w:sz w:val="32"/>
          <w:szCs w:val="32"/>
        </w:rPr>
      </w:pPr>
    </w:p>
    <w:p w14:paraId="2E2E1677" w14:textId="6FABC499" w:rsidR="00814FAA" w:rsidRPr="007E268A" w:rsidRDefault="00814FAA" w:rsidP="00C80EAD">
      <w:pPr>
        <w:spacing w:after="0" w:line="240" w:lineRule="auto"/>
        <w:rPr>
          <w:i/>
          <w:iCs/>
        </w:rPr>
      </w:pPr>
      <w:bookmarkStart w:id="1" w:name="_Hlk202444238"/>
      <w:r w:rsidRPr="007E268A">
        <w:rPr>
          <w:b/>
          <w:bCs/>
        </w:rPr>
        <w:t>Figure S</w:t>
      </w:r>
      <w:r w:rsidR="00F14888" w:rsidRPr="007E268A">
        <w:rPr>
          <w:b/>
          <w:bCs/>
        </w:rPr>
        <w:t>3</w:t>
      </w:r>
      <w:r w:rsidRPr="007E268A">
        <w:rPr>
          <w:b/>
          <w:bCs/>
        </w:rPr>
        <w:t>: Forest Plot of GP-In-Hours Mental Health Indicators Stratified by Age Group.</w:t>
      </w:r>
      <w:r w:rsidRPr="007E268A">
        <w:t xml:space="preserve"> </w:t>
      </w:r>
      <w:bookmarkStart w:id="2" w:name="_Hlk151373115"/>
      <w:r w:rsidRPr="007E268A">
        <w:t>Percent change compared with counterfactual estimates is displayed on the x-axis, with a spaced vertical line during each period representing a 0% change. Each individual indicator and their respective surveillance system is reported on the Y-axis.</w:t>
      </w:r>
      <w:bookmarkEnd w:id="2"/>
      <w:r w:rsidRPr="007E268A">
        <w:t xml:space="preserve">  </w:t>
      </w:r>
    </w:p>
    <w:bookmarkEnd w:id="1"/>
    <w:p w14:paraId="6EC3A06C" w14:textId="77777777" w:rsidR="008733FD" w:rsidRPr="00EF7BF3" w:rsidRDefault="008733FD" w:rsidP="00C80EAD">
      <w:pPr>
        <w:spacing w:after="0" w:line="240" w:lineRule="auto"/>
        <w:rPr>
          <w:b/>
          <w:bCs/>
        </w:rPr>
      </w:pPr>
    </w:p>
    <w:p w14:paraId="3920B038" w14:textId="55A51B53" w:rsidR="00814FAA" w:rsidRDefault="008733FD" w:rsidP="00C80EAD">
      <w:pPr>
        <w:spacing w:after="0" w:line="240" w:lineRule="auto"/>
      </w:pPr>
      <w:r w:rsidRPr="008733FD">
        <w:rPr>
          <w:noProof/>
        </w:rPr>
        <w:drawing>
          <wp:inline distT="0" distB="0" distL="0" distR="0" wp14:anchorId="3A16340B" wp14:editId="40243BED">
            <wp:extent cx="9610875" cy="5120640"/>
            <wp:effectExtent l="0" t="0" r="9525" b="3810"/>
            <wp:docPr id="7" name="Picture 6">
              <a:extLst xmlns:a="http://schemas.openxmlformats.org/drawingml/2006/main">
                <a:ext uri="{FF2B5EF4-FFF2-40B4-BE49-F238E27FC236}">
                  <a16:creationId xmlns:a16="http://schemas.microsoft.com/office/drawing/2014/main" id="{AB65E365-5737-3897-FE9E-F3D50105F3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B65E365-5737-3897-FE9E-F3D50105F324}"/>
                        </a:ext>
                      </a:extLst>
                    </pic:cNvPr>
                    <pic:cNvPicPr>
                      <a:picLocks noChangeAspect="1"/>
                    </pic:cNvPicPr>
                  </pic:nvPicPr>
                  <pic:blipFill>
                    <a:blip r:embed="rId14"/>
                    <a:stretch>
                      <a:fillRect/>
                    </a:stretch>
                  </pic:blipFill>
                  <pic:spPr>
                    <a:xfrm>
                      <a:off x="0" y="0"/>
                      <a:ext cx="9620060" cy="5125534"/>
                    </a:xfrm>
                    <a:prstGeom prst="rect">
                      <a:avLst/>
                    </a:prstGeom>
                  </pic:spPr>
                </pic:pic>
              </a:graphicData>
            </a:graphic>
          </wp:inline>
        </w:drawing>
      </w:r>
    </w:p>
    <w:p w14:paraId="1299BFE9" w14:textId="77777777" w:rsidR="005A4764" w:rsidRDefault="005A4764" w:rsidP="00C80EAD">
      <w:pPr>
        <w:spacing w:after="0" w:line="240" w:lineRule="auto"/>
      </w:pPr>
    </w:p>
    <w:p w14:paraId="31589F5D" w14:textId="77777777" w:rsidR="00696171" w:rsidRDefault="00696171" w:rsidP="00C80EAD">
      <w:pPr>
        <w:spacing w:after="0" w:line="240" w:lineRule="auto"/>
        <w:rPr>
          <w:b/>
          <w:bCs/>
          <w:sz w:val="16"/>
          <w:szCs w:val="16"/>
        </w:rPr>
      </w:pPr>
      <w:r>
        <w:rPr>
          <w:b/>
          <w:bCs/>
          <w:sz w:val="16"/>
          <w:szCs w:val="16"/>
        </w:rPr>
        <w:br w:type="page"/>
      </w:r>
    </w:p>
    <w:p w14:paraId="30B49BCD" w14:textId="77777777" w:rsidR="00306841" w:rsidRPr="007E268A" w:rsidRDefault="00306841" w:rsidP="00C80EAD">
      <w:pPr>
        <w:spacing w:after="0" w:line="240" w:lineRule="auto"/>
        <w:rPr>
          <w:b/>
          <w:bCs/>
        </w:rPr>
      </w:pPr>
    </w:p>
    <w:p w14:paraId="2DB7F6F7" w14:textId="53A45F21" w:rsidR="00306841" w:rsidRPr="007E268A" w:rsidRDefault="00306841" w:rsidP="00306841">
      <w:pPr>
        <w:spacing w:after="0" w:line="240" w:lineRule="auto"/>
        <w:rPr>
          <w:i/>
          <w:iCs/>
        </w:rPr>
      </w:pPr>
      <w:r w:rsidRPr="007E268A">
        <w:rPr>
          <w:b/>
          <w:bCs/>
        </w:rPr>
        <w:t xml:space="preserve">Figure S4: Forest Plot of GP-In-Hours Mental Health Indicators Stratified by sex. </w:t>
      </w:r>
      <w:r w:rsidRPr="007E268A">
        <w:t xml:space="preserve">Percent change compared with counterfactual estimates is displayed on the x-axis, with a spaced vertical line during each period representing a 0% change. Each individual indicator and their respective surveillance system is reported on the Y-axis.  </w:t>
      </w:r>
    </w:p>
    <w:p w14:paraId="29151FE9" w14:textId="00383CB5" w:rsidR="00306841" w:rsidRDefault="00E93893" w:rsidP="00C80EAD">
      <w:pPr>
        <w:spacing w:after="0" w:line="240" w:lineRule="auto"/>
        <w:rPr>
          <w:b/>
          <w:bCs/>
          <w:sz w:val="16"/>
          <w:szCs w:val="16"/>
        </w:rPr>
      </w:pPr>
      <w:r>
        <w:rPr>
          <w:noProof/>
        </w:rPr>
        <w:drawing>
          <wp:anchor distT="0" distB="0" distL="114300" distR="114300" simplePos="0" relativeHeight="251658240" behindDoc="1" locked="0" layoutInCell="1" allowOverlap="1" wp14:anchorId="2D1E002D" wp14:editId="498237ED">
            <wp:simplePos x="0" y="0"/>
            <wp:positionH relativeFrom="margin">
              <wp:posOffset>-27305</wp:posOffset>
            </wp:positionH>
            <wp:positionV relativeFrom="paragraph">
              <wp:posOffset>146050</wp:posOffset>
            </wp:positionV>
            <wp:extent cx="9864725" cy="5083175"/>
            <wp:effectExtent l="0" t="0" r="3175" b="3175"/>
            <wp:wrapTight wrapText="bothSides">
              <wp:wrapPolygon edited="0">
                <wp:start x="0" y="0"/>
                <wp:lineTo x="0" y="21533"/>
                <wp:lineTo x="21565" y="21533"/>
                <wp:lineTo x="21565" y="0"/>
                <wp:lineTo x="0" y="0"/>
              </wp:wrapPolygon>
            </wp:wrapTight>
            <wp:docPr id="3" name="Picture 2" descr="Picture 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5, 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64725" cy="508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44289" w14:textId="6F7BECCC" w:rsidR="00306841" w:rsidRDefault="00306841" w:rsidP="00C80EAD">
      <w:pPr>
        <w:spacing w:after="0" w:line="240" w:lineRule="auto"/>
        <w:rPr>
          <w:b/>
          <w:bCs/>
          <w:sz w:val="16"/>
          <w:szCs w:val="16"/>
        </w:rPr>
      </w:pPr>
    </w:p>
    <w:p w14:paraId="2EC786AA" w14:textId="77777777" w:rsidR="00306841" w:rsidRDefault="00306841" w:rsidP="00C80EAD">
      <w:pPr>
        <w:spacing w:after="0" w:line="240" w:lineRule="auto"/>
        <w:rPr>
          <w:b/>
          <w:bCs/>
          <w:sz w:val="16"/>
          <w:szCs w:val="16"/>
        </w:rPr>
      </w:pPr>
    </w:p>
    <w:p w14:paraId="2879F8F7" w14:textId="353627EB" w:rsidR="00306841" w:rsidRDefault="00306841" w:rsidP="00C80EAD">
      <w:pPr>
        <w:spacing w:after="0" w:line="240" w:lineRule="auto"/>
        <w:rPr>
          <w:b/>
          <w:bCs/>
          <w:sz w:val="16"/>
          <w:szCs w:val="16"/>
        </w:rPr>
      </w:pPr>
    </w:p>
    <w:p w14:paraId="3DF83E93" w14:textId="77777777" w:rsidR="00306841" w:rsidRDefault="00306841" w:rsidP="00C80EAD">
      <w:pPr>
        <w:spacing w:after="0" w:line="240" w:lineRule="auto"/>
        <w:rPr>
          <w:b/>
          <w:bCs/>
          <w:sz w:val="16"/>
          <w:szCs w:val="16"/>
        </w:rPr>
      </w:pPr>
    </w:p>
    <w:p w14:paraId="53E7C66B" w14:textId="4CE35F70" w:rsidR="00306841" w:rsidRDefault="00306841" w:rsidP="00C80EAD">
      <w:pPr>
        <w:spacing w:after="0" w:line="240" w:lineRule="auto"/>
        <w:rPr>
          <w:b/>
          <w:bCs/>
          <w:sz w:val="16"/>
          <w:szCs w:val="16"/>
        </w:rPr>
      </w:pPr>
    </w:p>
    <w:p w14:paraId="78549106" w14:textId="77777777" w:rsidR="00306841" w:rsidRPr="007E268A" w:rsidRDefault="00306841" w:rsidP="00C80EAD">
      <w:pPr>
        <w:spacing w:after="0" w:line="240" w:lineRule="auto"/>
        <w:rPr>
          <w:b/>
          <w:bCs/>
        </w:rPr>
      </w:pPr>
    </w:p>
    <w:p w14:paraId="244E2CFD" w14:textId="77777777" w:rsidR="00E93893" w:rsidRPr="00EF7BF3" w:rsidRDefault="00E93893" w:rsidP="00E93893">
      <w:pPr>
        <w:spacing w:after="0" w:line="240" w:lineRule="auto"/>
        <w:rPr>
          <w:b/>
          <w:bCs/>
        </w:rPr>
      </w:pPr>
      <w:r w:rsidRPr="007E268A">
        <w:rPr>
          <w:b/>
          <w:bCs/>
        </w:rPr>
        <w:t>Figure S5: Forest Plot of GP-In-Hours Mental Health Indicators Stratified by Gender.</w:t>
      </w:r>
      <w:r w:rsidRPr="007E268A">
        <w:t xml:space="preserve"> Percent change compared with counterfactual estimates is displayed on the x-axis, with a spaced vertical line during each period representing a 0% change. Each individual indicator and their respective surveillance system is reported on the Y-axis.  </w:t>
      </w:r>
    </w:p>
    <w:p w14:paraId="183D62A9" w14:textId="10C14052" w:rsidR="00306841" w:rsidRDefault="00306841" w:rsidP="00C80EAD">
      <w:pPr>
        <w:spacing w:after="0" w:line="240" w:lineRule="auto"/>
        <w:rPr>
          <w:b/>
          <w:bCs/>
          <w:sz w:val="16"/>
          <w:szCs w:val="16"/>
        </w:rPr>
      </w:pPr>
    </w:p>
    <w:p w14:paraId="16FADF54" w14:textId="5959A690" w:rsidR="00306841" w:rsidRDefault="00306841" w:rsidP="00C80EAD">
      <w:pPr>
        <w:spacing w:after="0" w:line="240" w:lineRule="auto"/>
        <w:rPr>
          <w:b/>
          <w:bCs/>
          <w:sz w:val="16"/>
          <w:szCs w:val="16"/>
        </w:rPr>
      </w:pPr>
    </w:p>
    <w:p w14:paraId="5A4CB5FB" w14:textId="77777777" w:rsidR="00306841" w:rsidRDefault="00306841" w:rsidP="00C80EAD">
      <w:pPr>
        <w:spacing w:after="0" w:line="240" w:lineRule="auto"/>
        <w:rPr>
          <w:b/>
          <w:bCs/>
          <w:sz w:val="16"/>
          <w:szCs w:val="16"/>
        </w:rPr>
      </w:pPr>
    </w:p>
    <w:p w14:paraId="1179FB38" w14:textId="60CD34F2" w:rsidR="00306841" w:rsidRDefault="00E93893" w:rsidP="00C80EAD">
      <w:pPr>
        <w:spacing w:after="0" w:line="240" w:lineRule="auto"/>
        <w:rPr>
          <w:b/>
          <w:bCs/>
          <w:sz w:val="16"/>
          <w:szCs w:val="16"/>
        </w:rPr>
      </w:pPr>
      <w:r w:rsidRPr="008733FD">
        <w:rPr>
          <w:noProof/>
        </w:rPr>
        <w:drawing>
          <wp:anchor distT="0" distB="0" distL="114300" distR="114300" simplePos="0" relativeHeight="251659264" behindDoc="1" locked="0" layoutInCell="1" allowOverlap="1" wp14:anchorId="14197032" wp14:editId="3963A38B">
            <wp:simplePos x="0" y="0"/>
            <wp:positionH relativeFrom="column">
              <wp:posOffset>-49530</wp:posOffset>
            </wp:positionH>
            <wp:positionV relativeFrom="paragraph">
              <wp:posOffset>163830</wp:posOffset>
            </wp:positionV>
            <wp:extent cx="9777730" cy="5204460"/>
            <wp:effectExtent l="0" t="0" r="0" b="0"/>
            <wp:wrapTight wrapText="bothSides">
              <wp:wrapPolygon edited="0">
                <wp:start x="0" y="0"/>
                <wp:lineTo x="0" y="21505"/>
                <wp:lineTo x="21547" y="21505"/>
                <wp:lineTo x="21547" y="0"/>
                <wp:lineTo x="0" y="0"/>
              </wp:wrapPolygon>
            </wp:wrapTight>
            <wp:docPr id="2020881428" name="Picture 4" descr="A white sheet with red and blue dots&#10;&#10;AI-generated content may be incorrect.">
              <a:extLst xmlns:a="http://schemas.openxmlformats.org/drawingml/2006/main">
                <a:ext uri="{FF2B5EF4-FFF2-40B4-BE49-F238E27FC236}">
                  <a16:creationId xmlns:a16="http://schemas.microsoft.com/office/drawing/2014/main" id="{20D19E5F-0BCB-B380-997D-189D9CE365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81428" name="Picture 4" descr="A white sheet with red and blue dots&#10;&#10;AI-generated content may be incorrect.">
                      <a:extLst>
                        <a:ext uri="{FF2B5EF4-FFF2-40B4-BE49-F238E27FC236}">
                          <a16:creationId xmlns:a16="http://schemas.microsoft.com/office/drawing/2014/main" id="{20D19E5F-0BCB-B380-997D-189D9CE3654D}"/>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777730" cy="5204460"/>
                    </a:xfrm>
                    <a:prstGeom prst="rect">
                      <a:avLst/>
                    </a:prstGeom>
                  </pic:spPr>
                </pic:pic>
              </a:graphicData>
            </a:graphic>
            <wp14:sizeRelH relativeFrom="page">
              <wp14:pctWidth>0</wp14:pctWidth>
            </wp14:sizeRelH>
            <wp14:sizeRelV relativeFrom="page">
              <wp14:pctHeight>0</wp14:pctHeight>
            </wp14:sizeRelV>
          </wp:anchor>
        </w:drawing>
      </w:r>
    </w:p>
    <w:p w14:paraId="20DE863F" w14:textId="39D435DF" w:rsidR="00306841" w:rsidRDefault="00306841" w:rsidP="00C80EAD">
      <w:pPr>
        <w:spacing w:after="0" w:line="240" w:lineRule="auto"/>
        <w:rPr>
          <w:b/>
          <w:bCs/>
          <w:sz w:val="16"/>
          <w:szCs w:val="16"/>
        </w:rPr>
      </w:pPr>
    </w:p>
    <w:sectPr w:rsidR="00306841" w:rsidSect="008522B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D9F1" w14:textId="77777777" w:rsidR="00242AC7" w:rsidRDefault="00242AC7" w:rsidP="008522BF">
      <w:pPr>
        <w:spacing w:after="0" w:line="240" w:lineRule="auto"/>
      </w:pPr>
      <w:r>
        <w:separator/>
      </w:r>
    </w:p>
  </w:endnote>
  <w:endnote w:type="continuationSeparator" w:id="0">
    <w:p w14:paraId="3F15622F" w14:textId="77777777" w:rsidR="00242AC7" w:rsidRDefault="00242AC7" w:rsidP="0085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20AA" w14:textId="77777777" w:rsidR="00242AC7" w:rsidRDefault="00242AC7" w:rsidP="008522BF">
      <w:pPr>
        <w:spacing w:after="0" w:line="240" w:lineRule="auto"/>
      </w:pPr>
      <w:r>
        <w:separator/>
      </w:r>
    </w:p>
  </w:footnote>
  <w:footnote w:type="continuationSeparator" w:id="0">
    <w:p w14:paraId="7DDA7951" w14:textId="77777777" w:rsidR="00242AC7" w:rsidRDefault="00242AC7" w:rsidP="00852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62DB" w14:textId="46276E3A" w:rsidR="008522BF" w:rsidRDefault="008522BF">
    <w:pPr>
      <w:pStyle w:val="Header"/>
    </w:pPr>
    <w:r>
      <w:t xml:space="preserve">Supplementary data </w:t>
    </w:r>
    <w:r w:rsidRPr="008522BF">
      <w:rPr>
        <w:rFonts w:cstheme="minorHAnsi"/>
        <w:i/>
        <w:iCs/>
        <w:sz w:val="24"/>
        <w:szCs w:val="24"/>
      </w:rPr>
      <w:t>Mental health indicators during COVID-19 pandemic in England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C3F"/>
    <w:multiLevelType w:val="hybridMultilevel"/>
    <w:tmpl w:val="56E62130"/>
    <w:lvl w:ilvl="0" w:tplc="8D08F5F4">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933AC"/>
    <w:multiLevelType w:val="hybridMultilevel"/>
    <w:tmpl w:val="4BF670DC"/>
    <w:lvl w:ilvl="0" w:tplc="5CEEA1A8">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2C3064"/>
    <w:multiLevelType w:val="hybridMultilevel"/>
    <w:tmpl w:val="9F1A165E"/>
    <w:lvl w:ilvl="0" w:tplc="400462E6">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051309">
    <w:abstractNumId w:val="0"/>
  </w:num>
  <w:num w:numId="2" w16cid:durableId="1708526673">
    <w:abstractNumId w:val="1"/>
  </w:num>
  <w:num w:numId="3" w16cid:durableId="34644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BF"/>
    <w:rsid w:val="000314DE"/>
    <w:rsid w:val="000572D0"/>
    <w:rsid w:val="00095542"/>
    <w:rsid w:val="001431ED"/>
    <w:rsid w:val="001D62BB"/>
    <w:rsid w:val="001D76A7"/>
    <w:rsid w:val="0021779F"/>
    <w:rsid w:val="00242AC7"/>
    <w:rsid w:val="0028377F"/>
    <w:rsid w:val="002A6B39"/>
    <w:rsid w:val="002F4D43"/>
    <w:rsid w:val="002F5A97"/>
    <w:rsid w:val="00306841"/>
    <w:rsid w:val="00374EF5"/>
    <w:rsid w:val="00394911"/>
    <w:rsid w:val="003C2A9E"/>
    <w:rsid w:val="003E554D"/>
    <w:rsid w:val="003E60B7"/>
    <w:rsid w:val="00422860"/>
    <w:rsid w:val="004305C3"/>
    <w:rsid w:val="004311AE"/>
    <w:rsid w:val="00466B4A"/>
    <w:rsid w:val="004805EA"/>
    <w:rsid w:val="00496AC3"/>
    <w:rsid w:val="004C004C"/>
    <w:rsid w:val="00520AC1"/>
    <w:rsid w:val="00585A6C"/>
    <w:rsid w:val="00586A77"/>
    <w:rsid w:val="005A4764"/>
    <w:rsid w:val="005B28CA"/>
    <w:rsid w:val="005F1B22"/>
    <w:rsid w:val="006472EB"/>
    <w:rsid w:val="00696171"/>
    <w:rsid w:val="006C03C6"/>
    <w:rsid w:val="006E0C68"/>
    <w:rsid w:val="006E37DD"/>
    <w:rsid w:val="007174A5"/>
    <w:rsid w:val="007357E7"/>
    <w:rsid w:val="00777B52"/>
    <w:rsid w:val="007E268A"/>
    <w:rsid w:val="00814FAA"/>
    <w:rsid w:val="008522BF"/>
    <w:rsid w:val="0085630C"/>
    <w:rsid w:val="00863498"/>
    <w:rsid w:val="008733FD"/>
    <w:rsid w:val="008C5040"/>
    <w:rsid w:val="008D6182"/>
    <w:rsid w:val="008F01BA"/>
    <w:rsid w:val="009212DF"/>
    <w:rsid w:val="009468F6"/>
    <w:rsid w:val="00972D4E"/>
    <w:rsid w:val="00994D32"/>
    <w:rsid w:val="009B64F6"/>
    <w:rsid w:val="00A10E5F"/>
    <w:rsid w:val="00A25552"/>
    <w:rsid w:val="00A4538A"/>
    <w:rsid w:val="00A901DD"/>
    <w:rsid w:val="00AA1D08"/>
    <w:rsid w:val="00AB728A"/>
    <w:rsid w:val="00AD5A7E"/>
    <w:rsid w:val="00AE3895"/>
    <w:rsid w:val="00B1534A"/>
    <w:rsid w:val="00B2568A"/>
    <w:rsid w:val="00B81800"/>
    <w:rsid w:val="00B97849"/>
    <w:rsid w:val="00BB0F06"/>
    <w:rsid w:val="00BB1DE2"/>
    <w:rsid w:val="00BE4C2F"/>
    <w:rsid w:val="00C05A74"/>
    <w:rsid w:val="00C122D7"/>
    <w:rsid w:val="00C80EAD"/>
    <w:rsid w:val="00C96CF9"/>
    <w:rsid w:val="00CD4D13"/>
    <w:rsid w:val="00CF0A7F"/>
    <w:rsid w:val="00D25254"/>
    <w:rsid w:val="00D261FB"/>
    <w:rsid w:val="00D55EC4"/>
    <w:rsid w:val="00D604F5"/>
    <w:rsid w:val="00D96D1A"/>
    <w:rsid w:val="00E93893"/>
    <w:rsid w:val="00EB7096"/>
    <w:rsid w:val="00ED18BB"/>
    <w:rsid w:val="00F026FC"/>
    <w:rsid w:val="00F14888"/>
    <w:rsid w:val="00F15DF3"/>
    <w:rsid w:val="00F179A6"/>
    <w:rsid w:val="00F4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02D2"/>
  <w15:chartTrackingRefBased/>
  <w15:docId w15:val="{0E7757B4-FBB2-45FB-9BF2-49E9FED4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2BF"/>
  </w:style>
  <w:style w:type="paragraph" w:styleId="Footer">
    <w:name w:val="footer"/>
    <w:basedOn w:val="Normal"/>
    <w:link w:val="FooterChar"/>
    <w:uiPriority w:val="99"/>
    <w:unhideWhenUsed/>
    <w:rsid w:val="00852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2BF"/>
  </w:style>
  <w:style w:type="paragraph" w:styleId="ListParagraph">
    <w:name w:val="List Paragraph"/>
    <w:basedOn w:val="Normal"/>
    <w:uiPriority w:val="34"/>
    <w:qFormat/>
    <w:rsid w:val="00D261FB"/>
    <w:pPr>
      <w:ind w:left="720"/>
      <w:contextualSpacing/>
    </w:pPr>
  </w:style>
  <w:style w:type="table" w:styleId="TableGrid">
    <w:name w:val="Table Grid"/>
    <w:basedOn w:val="TableNormal"/>
    <w:uiPriority w:val="39"/>
    <w:rsid w:val="00C80E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EAD"/>
    <w:rPr>
      <w:color w:val="0563C1" w:themeColor="hyperlink"/>
      <w:u w:val="single"/>
    </w:rPr>
  </w:style>
  <w:style w:type="character" w:styleId="UnresolvedMention">
    <w:name w:val="Unresolved Mention"/>
    <w:basedOn w:val="DefaultParagraphFont"/>
    <w:uiPriority w:val="99"/>
    <w:semiHidden/>
    <w:unhideWhenUsed/>
    <w:rsid w:val="001D76A7"/>
    <w:rPr>
      <w:color w:val="605E5C"/>
      <w:shd w:val="clear" w:color="auto" w:fill="E1DFDD"/>
    </w:rPr>
  </w:style>
  <w:style w:type="character" w:styleId="CommentReference">
    <w:name w:val="annotation reference"/>
    <w:basedOn w:val="DefaultParagraphFont"/>
    <w:uiPriority w:val="99"/>
    <w:semiHidden/>
    <w:unhideWhenUsed/>
    <w:rsid w:val="002F4D43"/>
    <w:rPr>
      <w:sz w:val="16"/>
      <w:szCs w:val="16"/>
    </w:rPr>
  </w:style>
  <w:style w:type="paragraph" w:styleId="CommentText">
    <w:name w:val="annotation text"/>
    <w:basedOn w:val="Normal"/>
    <w:link w:val="CommentTextChar"/>
    <w:uiPriority w:val="99"/>
    <w:semiHidden/>
    <w:unhideWhenUsed/>
    <w:rsid w:val="002F4D43"/>
    <w:pPr>
      <w:spacing w:line="240" w:lineRule="auto"/>
    </w:pPr>
    <w:rPr>
      <w:sz w:val="20"/>
      <w:szCs w:val="20"/>
    </w:rPr>
  </w:style>
  <w:style w:type="character" w:customStyle="1" w:styleId="CommentTextChar">
    <w:name w:val="Comment Text Char"/>
    <w:basedOn w:val="DefaultParagraphFont"/>
    <w:link w:val="CommentText"/>
    <w:uiPriority w:val="99"/>
    <w:semiHidden/>
    <w:rsid w:val="002F4D43"/>
    <w:rPr>
      <w:sz w:val="20"/>
      <w:szCs w:val="20"/>
    </w:rPr>
  </w:style>
  <w:style w:type="paragraph" w:styleId="CommentSubject">
    <w:name w:val="annotation subject"/>
    <w:basedOn w:val="CommentText"/>
    <w:next w:val="CommentText"/>
    <w:link w:val="CommentSubjectChar"/>
    <w:uiPriority w:val="99"/>
    <w:semiHidden/>
    <w:unhideWhenUsed/>
    <w:rsid w:val="002F4D43"/>
    <w:rPr>
      <w:b/>
      <w:bCs/>
    </w:rPr>
  </w:style>
  <w:style w:type="character" w:customStyle="1" w:styleId="CommentSubjectChar">
    <w:name w:val="Comment Subject Char"/>
    <w:basedOn w:val="CommentTextChar"/>
    <w:link w:val="CommentSubject"/>
    <w:uiPriority w:val="99"/>
    <w:semiHidden/>
    <w:rsid w:val="002F4D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58791">
      <w:bodyDiv w:val="1"/>
      <w:marLeft w:val="0"/>
      <w:marRight w:val="0"/>
      <w:marTop w:val="0"/>
      <w:marBottom w:val="0"/>
      <w:divBdr>
        <w:top w:val="none" w:sz="0" w:space="0" w:color="auto"/>
        <w:left w:val="none" w:sz="0" w:space="0" w:color="auto"/>
        <w:bottom w:val="none" w:sz="0" w:space="0" w:color="auto"/>
        <w:right w:val="none" w:sz="0" w:space="0" w:color="auto"/>
      </w:divBdr>
    </w:div>
    <w:div w:id="17236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6/4/e011092"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hid.phc.ox.ac.u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pmc.ncbi.nlm.nih.gov/articles/PMC3417785/" TargetMode="External"/><Relationship Id="rId4" Type="http://schemas.openxmlformats.org/officeDocument/2006/relationships/webSettings" Target="webSettings.xml"/><Relationship Id="rId9" Type="http://schemas.openxmlformats.org/officeDocument/2006/relationships/hyperlink" Target="https://digital.nhs.uk/data-and-information/data-collections-and-data-sets/data-sets/emergency-care-data-set-ecd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Julii Brainard (MED - Staff)</dc:creator>
  <cp:keywords/>
  <dc:description/>
  <cp:lastModifiedBy>Campbell Robertson</cp:lastModifiedBy>
  <cp:revision>2</cp:revision>
  <dcterms:created xsi:type="dcterms:W3CDTF">2025-07-11T12:34:00Z</dcterms:created>
  <dcterms:modified xsi:type="dcterms:W3CDTF">2025-07-11T12:34:00Z</dcterms:modified>
</cp:coreProperties>
</file>