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7B5D8" w14:textId="77777777" w:rsidR="008672E2" w:rsidRDefault="008672E2" w:rsidP="008672E2">
      <w:pPr>
        <w:pStyle w:val="NoSpacing"/>
        <w:spacing w:line="360" w:lineRule="auto"/>
        <w:jc w:val="both"/>
        <w:rPr>
          <w:rFonts w:ascii="Calibri" w:hAnsi="Calibri" w:cs="Calibri"/>
          <w:b/>
          <w:bCs/>
          <w:lang w:val="en-US"/>
        </w:rPr>
      </w:pPr>
      <w:r w:rsidRPr="006C1AC0">
        <w:rPr>
          <w:rFonts w:ascii="Calibri" w:hAnsi="Calibri" w:cs="Calibri"/>
          <w:b/>
          <w:bCs/>
          <w:lang w:val="en-US"/>
        </w:rPr>
        <w:t>A</w:t>
      </w:r>
      <w:r>
        <w:rPr>
          <w:rFonts w:ascii="Calibri" w:hAnsi="Calibri" w:cs="Calibri"/>
          <w:b/>
          <w:bCs/>
          <w:lang w:val="en-US"/>
        </w:rPr>
        <w:t>PPENDIX</w:t>
      </w:r>
    </w:p>
    <w:p w14:paraId="4017F4BD" w14:textId="77777777" w:rsidR="008672E2" w:rsidRPr="005B17BE" w:rsidRDefault="008672E2" w:rsidP="008672E2">
      <w:pPr>
        <w:spacing w:line="360" w:lineRule="auto"/>
        <w:jc w:val="both"/>
        <w:rPr>
          <w:rFonts w:ascii="Calibri" w:hAnsi="Calibri" w:cs="Calibri"/>
          <w:b/>
          <w:bCs/>
          <w:i/>
          <w:iCs/>
          <w:sz w:val="22"/>
          <w:szCs w:val="22"/>
        </w:rPr>
      </w:pPr>
      <w:r w:rsidRPr="005B17BE">
        <w:rPr>
          <w:rFonts w:ascii="Calibri" w:hAnsi="Calibri" w:cs="Calibri"/>
          <w:b/>
          <w:bCs/>
          <w:i/>
          <w:iCs/>
          <w:sz w:val="22"/>
          <w:szCs w:val="22"/>
        </w:rPr>
        <w:t>Estimating the survival difference between cN0 and cN+</w:t>
      </w:r>
    </w:p>
    <w:p w14:paraId="7214C542" w14:textId="77777777" w:rsidR="008672E2" w:rsidRPr="005B17BE" w:rsidRDefault="008672E2" w:rsidP="008672E2">
      <w:pPr>
        <w:spacing w:line="360" w:lineRule="auto"/>
        <w:jc w:val="both"/>
        <w:rPr>
          <w:rFonts w:ascii="Calibri" w:hAnsi="Calibri" w:cs="Calibri"/>
          <w:sz w:val="22"/>
          <w:szCs w:val="22"/>
        </w:rPr>
      </w:pPr>
      <w:r w:rsidRPr="005B17BE">
        <w:rPr>
          <w:rFonts w:ascii="Calibri" w:hAnsi="Calibri" w:cs="Calibri"/>
          <w:sz w:val="22"/>
          <w:szCs w:val="22"/>
        </w:rPr>
        <w:t>This study aims to demonstrate a reduction in survival difference between cN+ and cN0 patients when comparing perioperative chemotherapy (POC) combined with radical cystectomy (RC) to RC alone. To do so, an estimate of this difference is required—an estimation that is not as straightforward as it may seem.</w:t>
      </w:r>
    </w:p>
    <w:p w14:paraId="21E06393" w14:textId="77777777" w:rsidR="008672E2" w:rsidRPr="005B17BE" w:rsidRDefault="008672E2" w:rsidP="008672E2">
      <w:pPr>
        <w:spacing w:line="360" w:lineRule="auto"/>
        <w:ind w:firstLine="720"/>
        <w:jc w:val="both"/>
        <w:rPr>
          <w:rFonts w:ascii="Calibri" w:hAnsi="Calibri" w:cs="Calibri"/>
          <w:sz w:val="22"/>
          <w:szCs w:val="22"/>
        </w:rPr>
      </w:pPr>
      <w:r w:rsidRPr="005B17BE">
        <w:rPr>
          <w:rFonts w:ascii="Calibri" w:hAnsi="Calibri" w:cs="Calibri"/>
          <w:sz w:val="22"/>
          <w:szCs w:val="22"/>
        </w:rPr>
        <w:t xml:space="preserve">While large surgical series have reported the hazard ratio (HR) for node-positive compared to node-negative status, these analyses are based on histopathological nodal status alone </w:t>
      </w:r>
      <w:r w:rsidRPr="005B17BE">
        <w:rPr>
          <w:rFonts w:ascii="Calibri" w:hAnsi="Calibri" w:cs="Calibri"/>
          <w:b/>
          <w:bCs/>
          <w:sz w:val="22"/>
          <w:szCs w:val="22"/>
        </w:rPr>
        <w:t>[1,2]</w:t>
      </w:r>
      <w:r w:rsidRPr="005B17BE">
        <w:rPr>
          <w:rFonts w:ascii="Calibri" w:hAnsi="Calibri" w:cs="Calibri"/>
          <w:sz w:val="22"/>
          <w:szCs w:val="22"/>
        </w:rPr>
        <w:t>. However, relying solely on this HR overlooks the fact that imaging sometimes misclassifies patients as node-negative when, in reality, nodal (micro-)metastases are already present. The opposite also occurs, albeit less frequently. As a result, the outcomes of cN+ and cN0 patients are more similar than expected based on histopathological data alone. In other words, this misclassification introduces a bias toward the null.</w:t>
      </w:r>
    </w:p>
    <w:p w14:paraId="3858B5C6" w14:textId="77777777" w:rsidR="008672E2" w:rsidRPr="005B17BE" w:rsidRDefault="008672E2" w:rsidP="008672E2">
      <w:pPr>
        <w:spacing w:line="360" w:lineRule="auto"/>
        <w:ind w:firstLine="720"/>
        <w:jc w:val="both"/>
        <w:rPr>
          <w:rFonts w:ascii="Calibri" w:hAnsi="Calibri" w:cs="Calibri"/>
          <w:sz w:val="22"/>
          <w:szCs w:val="22"/>
        </w:rPr>
      </w:pPr>
      <w:r w:rsidRPr="005B17BE">
        <w:rPr>
          <w:rFonts w:ascii="Calibri" w:hAnsi="Calibri" w:cs="Calibri"/>
          <w:sz w:val="22"/>
          <w:szCs w:val="22"/>
        </w:rPr>
        <w:t>Fortunately, this issue can be corrected, as the extent of such misclassification has been well documented. In the largest radiological study of its kind (</w:t>
      </w:r>
      <w:r w:rsidRPr="00495F53">
        <w:rPr>
          <w:rFonts w:ascii="Calibri" w:hAnsi="Calibri" w:cs="Calibri"/>
          <w:i/>
          <w:iCs/>
          <w:sz w:val="22"/>
          <w:szCs w:val="22"/>
        </w:rPr>
        <w:t>n</w:t>
      </w:r>
      <w:r w:rsidRPr="005B17BE">
        <w:rPr>
          <w:rFonts w:ascii="Calibri" w:hAnsi="Calibri" w:cs="Calibri"/>
          <w:sz w:val="22"/>
          <w:szCs w:val="22"/>
        </w:rPr>
        <w:t>=231), the sensitivity and specificity of c</w:t>
      </w:r>
      <w:r w:rsidRPr="005B17BE">
        <w:rPr>
          <w:rFonts w:ascii="Calibri" w:hAnsi="Calibri" w:cs="Calibri"/>
        </w:rPr>
        <w:t>omputed tomography</w:t>
      </w:r>
      <w:r w:rsidRPr="005B17BE">
        <w:rPr>
          <w:rFonts w:ascii="Calibri" w:hAnsi="Calibri" w:cs="Calibri"/>
          <w:sz w:val="22"/>
          <w:szCs w:val="22"/>
        </w:rPr>
        <w:t xml:space="preserve"> (CT) for detecting nodal metastasis were 53% and 94%, respectively </w:t>
      </w:r>
      <w:r w:rsidRPr="005B17BE">
        <w:rPr>
          <w:rFonts w:ascii="Calibri" w:hAnsi="Calibri" w:cs="Calibri"/>
          <w:b/>
          <w:bCs/>
          <w:sz w:val="22"/>
          <w:szCs w:val="22"/>
        </w:rPr>
        <w:t>[3]</w:t>
      </w:r>
      <w:r w:rsidRPr="005B17BE">
        <w:rPr>
          <w:rFonts w:ascii="Calibri" w:hAnsi="Calibri" w:cs="Calibri"/>
          <w:sz w:val="22"/>
          <w:szCs w:val="22"/>
        </w:rPr>
        <w:t xml:space="preserve">. Applying these findings to the study population of Shariat et al. yields a positive predictive value of 72% and a negative predictive value of 87% </w:t>
      </w:r>
      <w:r w:rsidRPr="005B17BE">
        <w:rPr>
          <w:rFonts w:ascii="Calibri" w:hAnsi="Calibri" w:cs="Calibri"/>
          <w:b/>
          <w:bCs/>
          <w:sz w:val="22"/>
          <w:szCs w:val="22"/>
        </w:rPr>
        <w:t>[2]</w:t>
      </w:r>
      <w:r w:rsidRPr="005B17BE">
        <w:rPr>
          <w:rFonts w:ascii="Calibri" w:hAnsi="Calibri" w:cs="Calibri"/>
          <w:sz w:val="22"/>
          <w:szCs w:val="22"/>
        </w:rPr>
        <w:t>. This results in the following contingency table:</w:t>
      </w:r>
    </w:p>
    <w:tbl>
      <w:tblPr>
        <w:tblStyle w:val="TableGrid"/>
        <w:tblW w:w="0" w:type="auto"/>
        <w:tblLook w:val="04A0" w:firstRow="1" w:lastRow="0" w:firstColumn="1" w:lastColumn="0" w:noHBand="0" w:noVBand="1"/>
      </w:tblPr>
      <w:tblGrid>
        <w:gridCol w:w="1144"/>
        <w:gridCol w:w="1121"/>
        <w:gridCol w:w="1119"/>
        <w:gridCol w:w="1003"/>
      </w:tblGrid>
      <w:tr w:rsidR="008672E2" w14:paraId="66CD7570" w14:textId="77777777" w:rsidTr="00856EE5">
        <w:tc>
          <w:tcPr>
            <w:tcW w:w="0" w:type="auto"/>
            <w:tcBorders>
              <w:top w:val="nil"/>
              <w:left w:val="nil"/>
            </w:tcBorders>
          </w:tcPr>
          <w:p w14:paraId="3E424FB0" w14:textId="77777777" w:rsidR="008672E2" w:rsidRPr="005B17BE" w:rsidRDefault="008672E2" w:rsidP="00856EE5">
            <w:pPr>
              <w:spacing w:line="360" w:lineRule="auto"/>
              <w:jc w:val="both"/>
              <w:rPr>
                <w:rFonts w:ascii="Calibri" w:hAnsi="Calibri" w:cs="Calibri"/>
                <w:sz w:val="22"/>
                <w:szCs w:val="22"/>
              </w:rPr>
            </w:pPr>
          </w:p>
        </w:tc>
        <w:tc>
          <w:tcPr>
            <w:tcW w:w="0" w:type="auto"/>
            <w:vAlign w:val="center"/>
          </w:tcPr>
          <w:p w14:paraId="10F7D5DA"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cN0</w:t>
            </w:r>
            <w:r>
              <w:rPr>
                <w:rFonts w:ascii="Calibri" w:hAnsi="Calibri" w:cs="Calibri"/>
                <w:sz w:val="22"/>
                <w:szCs w:val="22"/>
              </w:rPr>
              <w:t xml:space="preserve">, </w:t>
            </w:r>
            <w:r w:rsidRPr="00C72082">
              <w:rPr>
                <w:rFonts w:ascii="Calibri" w:hAnsi="Calibri" w:cs="Calibri"/>
                <w:i/>
                <w:iCs/>
                <w:sz w:val="22"/>
                <w:szCs w:val="22"/>
              </w:rPr>
              <w:t>n</w:t>
            </w:r>
            <w:r>
              <w:rPr>
                <w:rFonts w:ascii="Calibri" w:hAnsi="Calibri" w:cs="Calibri"/>
                <w:sz w:val="22"/>
                <w:szCs w:val="22"/>
              </w:rPr>
              <w:t xml:space="preserve"> (%)</w:t>
            </w:r>
          </w:p>
        </w:tc>
        <w:tc>
          <w:tcPr>
            <w:tcW w:w="0" w:type="auto"/>
            <w:vAlign w:val="center"/>
          </w:tcPr>
          <w:p w14:paraId="0ED3C78B"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cN+</w:t>
            </w:r>
            <w:r>
              <w:rPr>
                <w:rFonts w:ascii="Calibri" w:hAnsi="Calibri" w:cs="Calibri"/>
                <w:sz w:val="22"/>
                <w:szCs w:val="22"/>
              </w:rPr>
              <w:t xml:space="preserve">, </w:t>
            </w:r>
            <w:r w:rsidRPr="00C72082">
              <w:rPr>
                <w:rFonts w:ascii="Calibri" w:hAnsi="Calibri" w:cs="Calibri"/>
                <w:i/>
                <w:iCs/>
                <w:sz w:val="22"/>
                <w:szCs w:val="22"/>
              </w:rPr>
              <w:t>n</w:t>
            </w:r>
            <w:r>
              <w:rPr>
                <w:rFonts w:ascii="Calibri" w:hAnsi="Calibri" w:cs="Calibri"/>
                <w:sz w:val="22"/>
                <w:szCs w:val="22"/>
              </w:rPr>
              <w:t xml:space="preserve"> (%)</w:t>
            </w:r>
          </w:p>
        </w:tc>
        <w:tc>
          <w:tcPr>
            <w:tcW w:w="1003" w:type="dxa"/>
            <w:vAlign w:val="center"/>
          </w:tcPr>
          <w:p w14:paraId="6D9ACD93"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Total</w:t>
            </w:r>
          </w:p>
        </w:tc>
      </w:tr>
      <w:tr w:rsidR="008672E2" w14:paraId="7EB169F5" w14:textId="77777777" w:rsidTr="00856EE5">
        <w:tc>
          <w:tcPr>
            <w:tcW w:w="0" w:type="auto"/>
            <w:vAlign w:val="center"/>
          </w:tcPr>
          <w:p w14:paraId="731F3F66"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 xml:space="preserve">pN0, </w:t>
            </w:r>
            <w:r w:rsidRPr="00C72082">
              <w:rPr>
                <w:rFonts w:ascii="Calibri" w:hAnsi="Calibri" w:cs="Calibri"/>
                <w:i/>
                <w:iCs/>
                <w:sz w:val="22"/>
                <w:szCs w:val="22"/>
              </w:rPr>
              <w:t>n</w:t>
            </w:r>
            <w:r w:rsidRPr="005B17BE">
              <w:rPr>
                <w:rFonts w:ascii="Calibri" w:hAnsi="Calibri" w:cs="Calibri"/>
                <w:sz w:val="22"/>
                <w:szCs w:val="22"/>
              </w:rPr>
              <w:t xml:space="preserve"> (%)</w:t>
            </w:r>
          </w:p>
        </w:tc>
        <w:tc>
          <w:tcPr>
            <w:tcW w:w="0" w:type="auto"/>
            <w:vAlign w:val="center"/>
          </w:tcPr>
          <w:p w14:paraId="10D0139C"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638 (87)</w:t>
            </w:r>
          </w:p>
        </w:tc>
        <w:tc>
          <w:tcPr>
            <w:tcW w:w="0" w:type="auto"/>
            <w:vAlign w:val="center"/>
          </w:tcPr>
          <w:p w14:paraId="198CFC59"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41 (28)</w:t>
            </w:r>
          </w:p>
        </w:tc>
        <w:tc>
          <w:tcPr>
            <w:tcW w:w="1003" w:type="dxa"/>
            <w:vAlign w:val="center"/>
          </w:tcPr>
          <w:p w14:paraId="50B9B068"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679</w:t>
            </w:r>
          </w:p>
        </w:tc>
      </w:tr>
      <w:tr w:rsidR="008672E2" w14:paraId="3C42BA55" w14:textId="77777777" w:rsidTr="00856EE5">
        <w:tc>
          <w:tcPr>
            <w:tcW w:w="0" w:type="auto"/>
            <w:vAlign w:val="center"/>
          </w:tcPr>
          <w:p w14:paraId="773AD695"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 xml:space="preserve">pN+, </w:t>
            </w:r>
            <w:r w:rsidRPr="00C72082">
              <w:rPr>
                <w:rFonts w:ascii="Calibri" w:hAnsi="Calibri" w:cs="Calibri"/>
                <w:i/>
                <w:iCs/>
                <w:sz w:val="22"/>
                <w:szCs w:val="22"/>
              </w:rPr>
              <w:t>n</w:t>
            </w:r>
            <w:r w:rsidRPr="005B17BE">
              <w:rPr>
                <w:rFonts w:ascii="Calibri" w:hAnsi="Calibri" w:cs="Calibri"/>
                <w:sz w:val="22"/>
                <w:szCs w:val="22"/>
              </w:rPr>
              <w:t xml:space="preserve"> (%)</w:t>
            </w:r>
          </w:p>
        </w:tc>
        <w:tc>
          <w:tcPr>
            <w:tcW w:w="0" w:type="auto"/>
            <w:vAlign w:val="center"/>
          </w:tcPr>
          <w:p w14:paraId="274718A1"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93 (13)</w:t>
            </w:r>
          </w:p>
        </w:tc>
        <w:tc>
          <w:tcPr>
            <w:tcW w:w="0" w:type="auto"/>
            <w:vAlign w:val="center"/>
          </w:tcPr>
          <w:p w14:paraId="6D888DC3"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105 (72)</w:t>
            </w:r>
          </w:p>
        </w:tc>
        <w:tc>
          <w:tcPr>
            <w:tcW w:w="1003" w:type="dxa"/>
            <w:vAlign w:val="center"/>
          </w:tcPr>
          <w:p w14:paraId="2AB3514D"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198</w:t>
            </w:r>
          </w:p>
        </w:tc>
      </w:tr>
      <w:tr w:rsidR="008672E2" w14:paraId="1E199DA3" w14:textId="77777777" w:rsidTr="00856EE5">
        <w:tc>
          <w:tcPr>
            <w:tcW w:w="0" w:type="auto"/>
            <w:vAlign w:val="center"/>
          </w:tcPr>
          <w:p w14:paraId="66F33408"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Total</w:t>
            </w:r>
          </w:p>
        </w:tc>
        <w:tc>
          <w:tcPr>
            <w:tcW w:w="0" w:type="auto"/>
            <w:vAlign w:val="center"/>
          </w:tcPr>
          <w:p w14:paraId="1B1FF8FD"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731 (100)</w:t>
            </w:r>
          </w:p>
        </w:tc>
        <w:tc>
          <w:tcPr>
            <w:tcW w:w="0" w:type="auto"/>
            <w:vAlign w:val="center"/>
          </w:tcPr>
          <w:p w14:paraId="349FD2D5"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146 (100)</w:t>
            </w:r>
          </w:p>
        </w:tc>
        <w:tc>
          <w:tcPr>
            <w:tcW w:w="1003" w:type="dxa"/>
            <w:vAlign w:val="center"/>
          </w:tcPr>
          <w:p w14:paraId="726815CF" w14:textId="77777777" w:rsidR="008672E2" w:rsidRPr="005B17BE" w:rsidRDefault="008672E2" w:rsidP="00856EE5">
            <w:pPr>
              <w:spacing w:line="360" w:lineRule="auto"/>
              <w:jc w:val="center"/>
              <w:rPr>
                <w:rFonts w:ascii="Calibri" w:hAnsi="Calibri" w:cs="Calibri"/>
                <w:sz w:val="22"/>
                <w:szCs w:val="22"/>
              </w:rPr>
            </w:pPr>
            <w:r w:rsidRPr="005B17BE">
              <w:rPr>
                <w:rFonts w:ascii="Calibri" w:hAnsi="Calibri" w:cs="Calibri"/>
                <w:sz w:val="22"/>
                <w:szCs w:val="22"/>
              </w:rPr>
              <w:t>877</w:t>
            </w:r>
          </w:p>
        </w:tc>
      </w:tr>
    </w:tbl>
    <w:p w14:paraId="57C13E5F" w14:textId="77777777" w:rsidR="008672E2" w:rsidRPr="005B17BE" w:rsidRDefault="008672E2" w:rsidP="008672E2">
      <w:pPr>
        <w:spacing w:line="360" w:lineRule="auto"/>
        <w:jc w:val="both"/>
        <w:rPr>
          <w:rFonts w:ascii="Calibri" w:hAnsi="Calibri" w:cs="Calibri"/>
          <w:sz w:val="22"/>
          <w:szCs w:val="22"/>
        </w:rPr>
      </w:pPr>
    </w:p>
    <w:p w14:paraId="2B829948" w14:textId="77777777" w:rsidR="008672E2" w:rsidRPr="005B17BE" w:rsidRDefault="008672E2" w:rsidP="008672E2">
      <w:pPr>
        <w:spacing w:line="360" w:lineRule="auto"/>
        <w:jc w:val="both"/>
        <w:rPr>
          <w:rFonts w:ascii="Calibri" w:hAnsi="Calibri" w:cs="Calibri"/>
          <w:sz w:val="22"/>
          <w:szCs w:val="22"/>
        </w:rPr>
      </w:pPr>
      <w:r w:rsidRPr="005B17BE">
        <w:rPr>
          <w:rFonts w:ascii="Calibri" w:hAnsi="Calibri" w:cs="Calibri"/>
          <w:sz w:val="22"/>
          <w:szCs w:val="22"/>
        </w:rPr>
        <w:t>This table illustrates that if imaging had been used for preoperative staging, 731 patients would have been classified as cN0 and 146 as cN+. Among the 731 cN0 patients, 638 (87%) would have been truly pN0 (true negatives), while 93 (13%) would have already been pN+ at the time of imaging.</w:t>
      </w:r>
    </w:p>
    <w:p w14:paraId="4C3F1FAB" w14:textId="77777777" w:rsidR="008672E2" w:rsidRDefault="008672E2" w:rsidP="008672E2">
      <w:pPr>
        <w:spacing w:line="360" w:lineRule="auto"/>
        <w:ind w:firstLine="720"/>
        <w:jc w:val="both"/>
        <w:rPr>
          <w:rFonts w:ascii="Calibri" w:hAnsi="Calibri" w:cs="Calibri"/>
          <w:sz w:val="22"/>
          <w:szCs w:val="22"/>
        </w:rPr>
      </w:pPr>
      <w:r w:rsidRPr="005B17BE">
        <w:rPr>
          <w:rFonts w:ascii="Calibri" w:hAnsi="Calibri" w:cs="Calibri"/>
          <w:sz w:val="22"/>
          <w:szCs w:val="22"/>
        </w:rPr>
        <w:t>Shariat et al. report</w:t>
      </w:r>
      <w:r>
        <w:rPr>
          <w:rFonts w:ascii="Calibri" w:hAnsi="Calibri" w:cs="Calibri"/>
          <w:sz w:val="22"/>
          <w:szCs w:val="22"/>
        </w:rPr>
        <w:t>ed</w:t>
      </w:r>
      <w:r w:rsidRPr="005B17BE">
        <w:rPr>
          <w:rFonts w:ascii="Calibri" w:hAnsi="Calibri" w:cs="Calibri"/>
          <w:sz w:val="22"/>
          <w:szCs w:val="22"/>
        </w:rPr>
        <w:t xml:space="preserve"> an HR of 3.74 for recurrence-free survival in pN+ patients, with pN0 patients serving as the reference (HR=1) </w:t>
      </w:r>
      <w:r w:rsidRPr="005B17BE">
        <w:rPr>
          <w:rFonts w:ascii="Calibri" w:hAnsi="Calibri" w:cs="Calibri"/>
          <w:b/>
          <w:bCs/>
          <w:sz w:val="22"/>
          <w:szCs w:val="22"/>
        </w:rPr>
        <w:t>[2]</w:t>
      </w:r>
      <w:r w:rsidRPr="005B17BE">
        <w:rPr>
          <w:rFonts w:ascii="Calibri" w:hAnsi="Calibri" w:cs="Calibri"/>
          <w:sz w:val="22"/>
          <w:szCs w:val="22"/>
        </w:rPr>
        <w:t>. Given the above considerations, for 13% of cN0 patients (i.e., the 93 patients who were actually pN+), the hazard of 3.74 applies. Therefore, the overall hazard for the cN0 group can be calculated as follows:</w:t>
      </w:r>
    </w:p>
    <w:p w14:paraId="2CAECC06" w14:textId="77777777" w:rsidR="008672E2" w:rsidRPr="005B17BE" w:rsidRDefault="008672E2" w:rsidP="008672E2">
      <w:pPr>
        <w:spacing w:line="360" w:lineRule="auto"/>
        <w:jc w:val="both"/>
        <w:rPr>
          <w:rFonts w:ascii="Calibri" w:hAnsi="Calibri" w:cs="Calibri"/>
          <w:sz w:val="22"/>
          <w:szCs w:val="22"/>
        </w:rPr>
      </w:pPr>
      <w:r w:rsidRPr="005B17BE">
        <w:rPr>
          <w:rFonts w:ascii="Calibri" w:hAnsi="Calibri" w:cs="Calibri"/>
          <w:sz w:val="22"/>
          <w:szCs w:val="22"/>
        </w:rPr>
        <w:t>(0.87 * 1) + (0.13 * 3.74) = 1.36</w:t>
      </w:r>
    </w:p>
    <w:p w14:paraId="48D5C10B" w14:textId="77777777" w:rsidR="008672E2" w:rsidRPr="005B17BE" w:rsidRDefault="008672E2" w:rsidP="008672E2">
      <w:pPr>
        <w:spacing w:line="360" w:lineRule="auto"/>
        <w:jc w:val="both"/>
        <w:rPr>
          <w:rFonts w:ascii="Calibri" w:hAnsi="Calibri" w:cs="Calibri"/>
          <w:sz w:val="22"/>
          <w:szCs w:val="22"/>
        </w:rPr>
      </w:pPr>
      <w:r w:rsidRPr="005B17BE">
        <w:rPr>
          <w:rFonts w:ascii="Calibri" w:hAnsi="Calibri" w:cs="Calibri"/>
          <w:sz w:val="22"/>
          <w:szCs w:val="22"/>
        </w:rPr>
        <w:lastRenderedPageBreak/>
        <w:t xml:space="preserve">Using the same approach, the hazard for cN+ patients is estimated at 2.97. Thus, the </w:t>
      </w:r>
      <w:r>
        <w:rPr>
          <w:rFonts w:ascii="Calibri" w:hAnsi="Calibri" w:cs="Calibri"/>
          <w:sz w:val="22"/>
          <w:szCs w:val="22"/>
        </w:rPr>
        <w:t xml:space="preserve">HR </w:t>
      </w:r>
      <w:r w:rsidRPr="005B17BE">
        <w:rPr>
          <w:rFonts w:ascii="Calibri" w:hAnsi="Calibri" w:cs="Calibri"/>
          <w:sz w:val="22"/>
          <w:szCs w:val="22"/>
        </w:rPr>
        <w:t>for cN+ compared to cN0 is:</w:t>
      </w:r>
    </w:p>
    <w:p w14:paraId="4B5BAC0C" w14:textId="77777777" w:rsidR="008672E2" w:rsidRPr="005B17BE" w:rsidRDefault="008672E2" w:rsidP="008672E2">
      <w:pPr>
        <w:spacing w:line="360" w:lineRule="auto"/>
        <w:jc w:val="both"/>
        <w:rPr>
          <w:rFonts w:ascii="Calibri" w:hAnsi="Calibri" w:cs="Calibri"/>
          <w:sz w:val="22"/>
          <w:szCs w:val="22"/>
        </w:rPr>
      </w:pPr>
      <w:r w:rsidRPr="005B17BE">
        <w:rPr>
          <w:rFonts w:ascii="Calibri" w:hAnsi="Calibri" w:cs="Calibri"/>
          <w:sz w:val="22"/>
          <w:szCs w:val="22"/>
        </w:rPr>
        <w:t>2.97/1.36=2.19</w:t>
      </w:r>
    </w:p>
    <w:p w14:paraId="16E4152A" w14:textId="77777777" w:rsidR="008672E2" w:rsidRPr="005B17BE" w:rsidRDefault="008672E2" w:rsidP="008672E2">
      <w:pPr>
        <w:spacing w:line="360" w:lineRule="auto"/>
        <w:jc w:val="both"/>
        <w:rPr>
          <w:rFonts w:ascii="Calibri" w:hAnsi="Calibri" w:cs="Calibri"/>
          <w:sz w:val="22"/>
          <w:szCs w:val="22"/>
        </w:rPr>
      </w:pPr>
      <w:r w:rsidRPr="005B17BE">
        <w:rPr>
          <w:rFonts w:ascii="Calibri" w:hAnsi="Calibri" w:cs="Calibri"/>
          <w:sz w:val="22"/>
          <w:szCs w:val="22"/>
        </w:rPr>
        <w:t>This value serves as an appropriate upper limit for comparison with our study results. If the HR observed in our study is significantly lower than 2.19, we will have demonstrated a reduction in survival difference that cannot be explained by misclassification bias alone.</w:t>
      </w:r>
    </w:p>
    <w:p w14:paraId="470CA6B4" w14:textId="77777777" w:rsidR="008672E2" w:rsidRPr="005B17BE" w:rsidRDefault="008672E2" w:rsidP="008672E2">
      <w:pPr>
        <w:spacing w:line="360" w:lineRule="auto"/>
        <w:jc w:val="both"/>
        <w:rPr>
          <w:rFonts w:ascii="Calibri" w:hAnsi="Calibri" w:cs="Calibri"/>
          <w:b/>
          <w:bCs/>
          <w:sz w:val="22"/>
          <w:szCs w:val="22"/>
        </w:rPr>
      </w:pPr>
      <w:r w:rsidRPr="005B17BE">
        <w:rPr>
          <w:rFonts w:ascii="Calibri" w:hAnsi="Calibri" w:cs="Calibri"/>
          <w:b/>
          <w:bCs/>
          <w:sz w:val="22"/>
          <w:szCs w:val="22"/>
        </w:rPr>
        <w:t>References:</w:t>
      </w:r>
    </w:p>
    <w:p w14:paraId="4B6414F1" w14:textId="77777777" w:rsidR="008672E2" w:rsidRDefault="008672E2" w:rsidP="008672E2">
      <w:pPr>
        <w:pStyle w:val="ListParagraph"/>
        <w:numPr>
          <w:ilvl w:val="1"/>
          <w:numId w:val="1"/>
        </w:numPr>
        <w:spacing w:line="360" w:lineRule="auto"/>
        <w:ind w:left="426" w:hanging="426"/>
        <w:jc w:val="both"/>
        <w:rPr>
          <w:rFonts w:ascii="Calibri" w:hAnsi="Calibri" w:cs="Calibri"/>
          <w:sz w:val="22"/>
          <w:szCs w:val="22"/>
        </w:rPr>
      </w:pPr>
      <w:r w:rsidRPr="005B17BE">
        <w:rPr>
          <w:rFonts w:ascii="Calibri" w:hAnsi="Calibri" w:cs="Calibri"/>
          <w:noProof/>
          <w:sz w:val="22"/>
          <w:szCs w:val="22"/>
        </w:rPr>
        <w:t xml:space="preserve">Stein JP, Lieskovsky G, Cote R, Groshen S, Feng AC, Boyd S, et al. Radical cystectomy in the treatment of invasive bladder cancer: </w:t>
      </w:r>
      <w:r>
        <w:rPr>
          <w:rFonts w:ascii="Calibri" w:hAnsi="Calibri" w:cs="Calibri"/>
          <w:noProof/>
          <w:sz w:val="22"/>
          <w:szCs w:val="22"/>
        </w:rPr>
        <w:t>l</w:t>
      </w:r>
      <w:r w:rsidRPr="005B17BE">
        <w:rPr>
          <w:rFonts w:ascii="Calibri" w:hAnsi="Calibri" w:cs="Calibri"/>
          <w:noProof/>
          <w:sz w:val="22"/>
          <w:szCs w:val="22"/>
        </w:rPr>
        <w:t>ong-term results in 1,054 patients. J Clin Oncol 2001</w:t>
      </w:r>
      <w:r>
        <w:rPr>
          <w:rFonts w:ascii="Calibri" w:hAnsi="Calibri" w:cs="Calibri"/>
          <w:noProof/>
          <w:sz w:val="22"/>
          <w:szCs w:val="22"/>
        </w:rPr>
        <w:t xml:space="preserve">; </w:t>
      </w:r>
      <w:r w:rsidRPr="005B17BE">
        <w:rPr>
          <w:rFonts w:ascii="Calibri" w:hAnsi="Calibri" w:cs="Calibri"/>
          <w:noProof/>
          <w:sz w:val="22"/>
          <w:szCs w:val="22"/>
        </w:rPr>
        <w:t>19:</w:t>
      </w:r>
      <w:r>
        <w:rPr>
          <w:rFonts w:ascii="Calibri" w:hAnsi="Calibri" w:cs="Calibri"/>
          <w:noProof/>
          <w:sz w:val="22"/>
          <w:szCs w:val="22"/>
        </w:rPr>
        <w:t xml:space="preserve"> </w:t>
      </w:r>
      <w:r w:rsidRPr="005B17BE">
        <w:rPr>
          <w:rFonts w:ascii="Calibri" w:hAnsi="Calibri" w:cs="Calibri"/>
          <w:noProof/>
          <w:sz w:val="22"/>
          <w:szCs w:val="22"/>
        </w:rPr>
        <w:t>666</w:t>
      </w:r>
      <w:r>
        <w:rPr>
          <w:rFonts w:ascii="Calibri" w:hAnsi="Calibri" w:cs="Calibri"/>
          <w:noProof/>
          <w:sz w:val="22"/>
          <w:szCs w:val="22"/>
        </w:rPr>
        <w:t>-6</w:t>
      </w:r>
      <w:r w:rsidRPr="005B17BE">
        <w:rPr>
          <w:rFonts w:ascii="Calibri" w:hAnsi="Calibri" w:cs="Calibri"/>
          <w:noProof/>
          <w:sz w:val="22"/>
          <w:szCs w:val="22"/>
        </w:rPr>
        <w:t xml:space="preserve">75. </w:t>
      </w:r>
      <w:r>
        <w:rPr>
          <w:rFonts w:ascii="Calibri" w:hAnsi="Calibri" w:cs="Calibri"/>
          <w:noProof/>
          <w:sz w:val="22"/>
          <w:szCs w:val="22"/>
        </w:rPr>
        <w:t xml:space="preserve">doi: </w:t>
      </w:r>
      <w:r w:rsidRPr="005B17BE">
        <w:rPr>
          <w:rFonts w:ascii="Calibri" w:hAnsi="Calibri" w:cs="Calibri"/>
          <w:noProof/>
          <w:sz w:val="22"/>
          <w:szCs w:val="22"/>
        </w:rPr>
        <w:t>10.1200/JCO.2001.19.3.666.</w:t>
      </w:r>
    </w:p>
    <w:p w14:paraId="55AE97AB" w14:textId="77777777" w:rsidR="008672E2" w:rsidRPr="008672E2" w:rsidRDefault="008672E2" w:rsidP="008672E2">
      <w:pPr>
        <w:pStyle w:val="ListParagraph"/>
        <w:numPr>
          <w:ilvl w:val="1"/>
          <w:numId w:val="1"/>
        </w:numPr>
        <w:spacing w:line="360" w:lineRule="auto"/>
        <w:ind w:left="426" w:hanging="426"/>
        <w:jc w:val="both"/>
      </w:pPr>
      <w:r w:rsidRPr="008672E2">
        <w:rPr>
          <w:rFonts w:ascii="Calibri" w:hAnsi="Calibri" w:cs="Calibri"/>
          <w:noProof/>
          <w:sz w:val="22"/>
          <w:szCs w:val="22"/>
        </w:rPr>
        <w:t>Shariat SF, Karakiewicz PI, Palapattu GS, Lotan Y, Rogers CG, Amiel GE, et al. Outcomes of radical cystectomy for transitional cell carcinoma of the bladder: a contemporary series from the Bladder Cancer Research Consortium. J Urol 2006; 176: 2414-2422. doi: 10.1016/j.juro.2006.08.004.</w:t>
      </w:r>
    </w:p>
    <w:p w14:paraId="126DC2FD" w14:textId="1F5D345D" w:rsidR="00F553FF" w:rsidRDefault="008672E2" w:rsidP="008672E2">
      <w:pPr>
        <w:pStyle w:val="ListParagraph"/>
        <w:numPr>
          <w:ilvl w:val="1"/>
          <w:numId w:val="1"/>
        </w:numPr>
        <w:spacing w:line="360" w:lineRule="auto"/>
        <w:ind w:left="426" w:hanging="426"/>
        <w:jc w:val="both"/>
      </w:pPr>
      <w:r w:rsidRPr="008672E2">
        <w:rPr>
          <w:rFonts w:ascii="Calibri" w:hAnsi="Calibri" w:cs="Calibri"/>
          <w:noProof/>
          <w:sz w:val="22"/>
          <w:szCs w:val="22"/>
        </w:rPr>
        <w:t>Horn T, Zahel T, Adt N, Schmid SC, Heck MM, Thalgott MK, et al. Evaluation of computed tomography for lymph node staging in bladder cancer prior to radical cystectomy. Urol Int 2016; 96: 51-56. doi: 10.1159/000440889.</w:t>
      </w:r>
    </w:p>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45450"/>
    <w:multiLevelType w:val="multilevel"/>
    <w:tmpl w:val="BDE8199A"/>
    <w:lvl w:ilvl="0">
      <w:start w:val="1"/>
      <w:numFmt w:val="decimal"/>
      <w:lvlText w:val="%1."/>
      <w:lvlJc w:val="left"/>
      <w:pPr>
        <w:ind w:left="720" w:hanging="360"/>
      </w:pPr>
      <w:rPr>
        <w:rFont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7762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2E2"/>
    <w:rsid w:val="003C2EF4"/>
    <w:rsid w:val="00446799"/>
    <w:rsid w:val="006A2ED4"/>
    <w:rsid w:val="006A7E07"/>
    <w:rsid w:val="00701021"/>
    <w:rsid w:val="008672E2"/>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EC48E"/>
  <w15:chartTrackingRefBased/>
  <w15:docId w15:val="{8B45C7D8-DEAC-4E11-BA5C-AECC76D55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72E2"/>
    <w:rPr>
      <w:rFonts w:eastAsiaTheme="minorEastAsia"/>
      <w:lang w:val="" w:eastAsia="en-GB"/>
    </w:rPr>
  </w:style>
  <w:style w:type="paragraph" w:styleId="Heading1">
    <w:name w:val="heading 1"/>
    <w:basedOn w:val="Normal"/>
    <w:next w:val="Normal"/>
    <w:link w:val="Heading1Char"/>
    <w:uiPriority w:val="9"/>
    <w:qFormat/>
    <w:rsid w:val="008672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672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672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672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672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672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72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72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72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72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672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672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672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672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672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72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72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72E2"/>
    <w:rPr>
      <w:rFonts w:eastAsiaTheme="majorEastAsia" w:cstheme="majorBidi"/>
      <w:color w:val="272727" w:themeColor="text1" w:themeTint="D8"/>
    </w:rPr>
  </w:style>
  <w:style w:type="paragraph" w:styleId="Title">
    <w:name w:val="Title"/>
    <w:basedOn w:val="Normal"/>
    <w:next w:val="Normal"/>
    <w:link w:val="TitleChar"/>
    <w:uiPriority w:val="10"/>
    <w:qFormat/>
    <w:rsid w:val="008672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72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72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72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72E2"/>
    <w:pPr>
      <w:spacing w:before="160"/>
      <w:jc w:val="center"/>
    </w:pPr>
    <w:rPr>
      <w:i/>
      <w:iCs/>
      <w:color w:val="404040" w:themeColor="text1" w:themeTint="BF"/>
    </w:rPr>
  </w:style>
  <w:style w:type="character" w:customStyle="1" w:styleId="QuoteChar">
    <w:name w:val="Quote Char"/>
    <w:basedOn w:val="DefaultParagraphFont"/>
    <w:link w:val="Quote"/>
    <w:uiPriority w:val="29"/>
    <w:rsid w:val="008672E2"/>
    <w:rPr>
      <w:i/>
      <w:iCs/>
      <w:color w:val="404040" w:themeColor="text1" w:themeTint="BF"/>
    </w:rPr>
  </w:style>
  <w:style w:type="paragraph" w:styleId="ListParagraph">
    <w:name w:val="List Paragraph"/>
    <w:basedOn w:val="Normal"/>
    <w:uiPriority w:val="34"/>
    <w:qFormat/>
    <w:rsid w:val="008672E2"/>
    <w:pPr>
      <w:ind w:left="720"/>
      <w:contextualSpacing/>
    </w:pPr>
  </w:style>
  <w:style w:type="character" w:styleId="IntenseEmphasis">
    <w:name w:val="Intense Emphasis"/>
    <w:basedOn w:val="DefaultParagraphFont"/>
    <w:uiPriority w:val="21"/>
    <w:qFormat/>
    <w:rsid w:val="008672E2"/>
    <w:rPr>
      <w:i/>
      <w:iCs/>
      <w:color w:val="0F4761" w:themeColor="accent1" w:themeShade="BF"/>
    </w:rPr>
  </w:style>
  <w:style w:type="paragraph" w:styleId="IntenseQuote">
    <w:name w:val="Intense Quote"/>
    <w:basedOn w:val="Normal"/>
    <w:next w:val="Normal"/>
    <w:link w:val="IntenseQuoteChar"/>
    <w:uiPriority w:val="30"/>
    <w:qFormat/>
    <w:rsid w:val="008672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672E2"/>
    <w:rPr>
      <w:i/>
      <w:iCs/>
      <w:color w:val="0F4761" w:themeColor="accent1" w:themeShade="BF"/>
    </w:rPr>
  </w:style>
  <w:style w:type="character" w:styleId="IntenseReference">
    <w:name w:val="Intense Reference"/>
    <w:basedOn w:val="DefaultParagraphFont"/>
    <w:uiPriority w:val="32"/>
    <w:qFormat/>
    <w:rsid w:val="008672E2"/>
    <w:rPr>
      <w:b/>
      <w:bCs/>
      <w:smallCaps/>
      <w:color w:val="0F4761" w:themeColor="accent1" w:themeShade="BF"/>
      <w:spacing w:val="5"/>
    </w:rPr>
  </w:style>
  <w:style w:type="table" w:styleId="TableGrid">
    <w:name w:val="Table Grid"/>
    <w:basedOn w:val="TableNormal"/>
    <w:uiPriority w:val="39"/>
    <w:rsid w:val="008672E2"/>
    <w:pPr>
      <w:spacing w:after="0" w:line="240" w:lineRule="auto"/>
    </w:pPr>
    <w:rPr>
      <w:rFonts w:eastAsiaTheme="minorEastAsia"/>
      <w:kern w:val="0"/>
      <w:lang w:val="tr-T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672E2"/>
    <w:pPr>
      <w:spacing w:after="0" w:line="240" w:lineRule="auto"/>
    </w:pPr>
    <w:rPr>
      <w:sz w:val="22"/>
      <w:szCs w:val="22"/>
      <w:lang w:val="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511</Words>
  <Characters>2918</Characters>
  <Application>Microsoft Office Word</Application>
  <DocSecurity>0</DocSecurity>
  <Lines>24</Lines>
  <Paragraphs>6</Paragraphs>
  <ScaleCrop>false</ScaleCrop>
  <Company>Springer Nature</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2025-07-18T14:17:00Z</dcterms:created>
  <dcterms:modified xsi:type="dcterms:W3CDTF">2025-07-18T14:17:00Z</dcterms:modified>
</cp:coreProperties>
</file>