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030D84" w14:textId="77777777" w:rsidR="00CA19D1" w:rsidRDefault="00CA19D1" w:rsidP="00CA19D1">
      <w:pPr>
        <w:pStyle w:val="Heading1"/>
        <w:spacing w:before="240" w:after="240" w:line="360" w:lineRule="auto"/>
        <w:rPr>
          <w:rFonts w:ascii="Times New Roman" w:hAnsi="Times New Roman" w:cs="Times New Roman"/>
          <w:b/>
          <w:bCs/>
          <w:sz w:val="24"/>
          <w:szCs w:val="24"/>
        </w:rPr>
      </w:pPr>
      <w:r>
        <w:rPr>
          <w:rFonts w:ascii="Times New Roman" w:hAnsi="Times New Roman" w:cs="Times New Roman"/>
          <w:b/>
          <w:bCs/>
          <w:sz w:val="24"/>
          <w:szCs w:val="24"/>
        </w:rPr>
        <w:t>Supplemental Figure 1: Anxiety and Depression by Gender</w:t>
      </w:r>
    </w:p>
    <w:p w14:paraId="7B2A7B75" w14:textId="77777777" w:rsidR="00CA19D1" w:rsidRDefault="00CA19D1" w:rsidP="00CA19D1">
      <w:pPr>
        <w:rPr>
          <w:rFonts w:ascii="Times New Roman" w:hAnsi="Times New Roman" w:cs="Times New Roman"/>
          <w:b/>
          <w:bCs/>
          <w:sz w:val="24"/>
          <w:szCs w:val="24"/>
        </w:rPr>
      </w:pPr>
    </w:p>
    <w:p w14:paraId="27CF3709" w14:textId="77777777" w:rsidR="00CA19D1" w:rsidRDefault="00CA19D1" w:rsidP="00CA19D1">
      <w:pPr>
        <w:rPr>
          <w:rFonts w:ascii="Times New Roman" w:eastAsia="Times New Roman" w:hAnsi="Times New Roman" w:cs="Times New Roman"/>
          <w:sz w:val="24"/>
          <w:szCs w:val="24"/>
        </w:rPr>
      </w:pPr>
      <w:r>
        <w:rPr>
          <w:noProof/>
        </w:rPr>
        <w:drawing>
          <wp:inline distT="0" distB="0" distL="0" distR="0" wp14:anchorId="688E1E08" wp14:editId="2F230D0C">
            <wp:extent cx="5848350" cy="2771775"/>
            <wp:effectExtent l="0" t="0" r="0" b="9525"/>
            <wp:docPr id="3" name="Chart 3">
              <a:extLst xmlns:a="http://schemas.openxmlformats.org/drawingml/2006/main">
                <a:ext uri="{FF2B5EF4-FFF2-40B4-BE49-F238E27FC236}">
                  <a16:creationId xmlns:a16="http://schemas.microsoft.com/office/drawing/2014/main" id="{47BDEE3E-EA92-46B5-BF47-D5835F0774A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537F0DBD" w14:textId="77777777" w:rsidR="00CA19D1" w:rsidRDefault="00CA19D1" w:rsidP="00CA19D1">
      <w:pPr>
        <w:rPr>
          <w:rFonts w:ascii="Times New Roman" w:eastAsia="Times New Roman" w:hAnsi="Times New Roman" w:cs="Times New Roman"/>
          <w:sz w:val="24"/>
          <w:szCs w:val="24"/>
        </w:rPr>
      </w:pPr>
      <w:r>
        <w:rPr>
          <w:rFonts w:ascii="Times New Roman" w:eastAsia="Times New Roman" w:hAnsi="Times New Roman" w:cs="Times New Roman"/>
          <w:sz w:val="24"/>
          <w:szCs w:val="24"/>
        </w:rPr>
        <w:t>Females report more anxiety and depression than males.  Those identifying as “other” gender (</w:t>
      </w:r>
      <w:proofErr w:type="gramStart"/>
      <w:r>
        <w:rPr>
          <w:rFonts w:ascii="Times New Roman" w:eastAsia="Times New Roman" w:hAnsi="Times New Roman" w:cs="Times New Roman"/>
          <w:sz w:val="24"/>
          <w:szCs w:val="24"/>
        </w:rPr>
        <w:t>e.g.</w:t>
      </w:r>
      <w:proofErr w:type="gramEnd"/>
      <w:r>
        <w:rPr>
          <w:rFonts w:ascii="Times New Roman" w:eastAsia="Times New Roman" w:hAnsi="Times New Roman" w:cs="Times New Roman"/>
          <w:sz w:val="24"/>
          <w:szCs w:val="24"/>
        </w:rPr>
        <w:t xml:space="preserve"> transgender) report more problems with anxiety and depression compared to males and females. </w:t>
      </w:r>
    </w:p>
    <w:p w14:paraId="4C3EF1B6" w14:textId="77777777" w:rsidR="00CA19D1" w:rsidRDefault="00CA19D1" w:rsidP="00CA19D1">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25CBBC18" w14:textId="77777777" w:rsidR="00CA19D1" w:rsidRDefault="00CA19D1" w:rsidP="00CA19D1">
      <w:pPr>
        <w:pStyle w:val="Heading1"/>
        <w:spacing w:before="240" w:after="240" w:line="360" w:lineRule="auto"/>
        <w:rPr>
          <w:rFonts w:ascii="Times New Roman" w:hAnsi="Times New Roman" w:cs="Times New Roman"/>
          <w:b/>
          <w:bCs/>
          <w:sz w:val="24"/>
          <w:szCs w:val="24"/>
        </w:rPr>
      </w:pPr>
      <w:r>
        <w:rPr>
          <w:rFonts w:ascii="Times New Roman" w:hAnsi="Times New Roman" w:cs="Times New Roman"/>
          <w:b/>
          <w:bCs/>
          <w:sz w:val="24"/>
          <w:szCs w:val="24"/>
        </w:rPr>
        <w:lastRenderedPageBreak/>
        <w:t>Supplemental Figure 2: Anxiety and Depression by BMI</w:t>
      </w:r>
    </w:p>
    <w:p w14:paraId="13FBAA8E" w14:textId="77777777" w:rsidR="00CA19D1" w:rsidRDefault="00CA19D1" w:rsidP="00CA19D1">
      <w:pPr>
        <w:rPr>
          <w:rFonts w:ascii="Times New Roman" w:eastAsia="Times New Roman" w:hAnsi="Times New Roman" w:cs="Times New Roman"/>
          <w:sz w:val="24"/>
          <w:szCs w:val="24"/>
        </w:rPr>
      </w:pPr>
      <w:r>
        <w:rPr>
          <w:noProof/>
        </w:rPr>
        <w:drawing>
          <wp:inline distT="0" distB="0" distL="0" distR="0" wp14:anchorId="6EB84DAA" wp14:editId="2F885776">
            <wp:extent cx="5972175" cy="4562475"/>
            <wp:effectExtent l="0" t="0" r="9525" b="9525"/>
            <wp:docPr id="5" name="Chart 5">
              <a:extLst xmlns:a="http://schemas.openxmlformats.org/drawingml/2006/main">
                <a:ext uri="{FF2B5EF4-FFF2-40B4-BE49-F238E27FC236}">
                  <a16:creationId xmlns:a16="http://schemas.microsoft.com/office/drawing/2014/main" id="{B4C655D0-82AE-4E92-B65A-801C573A11A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38CAC827" w14:textId="77777777" w:rsidR="00CA19D1" w:rsidRDefault="00CA19D1" w:rsidP="00CA19D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Those who are classified as underweight or obese tend to have worse anxiety and depression. </w:t>
      </w:r>
    </w:p>
    <w:p w14:paraId="566D4D58" w14:textId="77777777" w:rsidR="00CA19D1" w:rsidRDefault="00CA19D1" w:rsidP="00CA19D1">
      <w:pPr>
        <w:rPr>
          <w:rFonts w:ascii="Times New Roman" w:eastAsia="Times New Roman" w:hAnsi="Times New Roman" w:cs="Times New Roman"/>
          <w:sz w:val="24"/>
          <w:szCs w:val="24"/>
        </w:rPr>
      </w:pPr>
    </w:p>
    <w:p w14:paraId="3A3D0641" w14:textId="77777777" w:rsidR="00CA19D1" w:rsidRDefault="00CA19D1" w:rsidP="00CA19D1">
      <w:pPr>
        <w:rPr>
          <w:rFonts w:ascii="Times New Roman" w:eastAsia="Times New Roman" w:hAnsi="Times New Roman" w:cs="Times New Roman"/>
          <w:sz w:val="24"/>
          <w:szCs w:val="24"/>
        </w:rPr>
      </w:pPr>
    </w:p>
    <w:p w14:paraId="5225CAEC" w14:textId="77777777" w:rsidR="00CA19D1" w:rsidRDefault="00CA19D1" w:rsidP="00CA19D1">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0EE69B60" w14:textId="77777777" w:rsidR="00CA19D1" w:rsidRDefault="00CA19D1" w:rsidP="00CA19D1">
      <w:pPr>
        <w:rPr>
          <w:rFonts w:ascii="Times New Roman" w:eastAsia="Times New Roman" w:hAnsi="Times New Roman" w:cs="Times New Roman"/>
          <w:b/>
          <w:bCs/>
        </w:rPr>
      </w:pPr>
      <w:r>
        <w:rPr>
          <w:rFonts w:ascii="Times New Roman" w:eastAsia="Times New Roman" w:hAnsi="Times New Roman" w:cs="Times New Roman"/>
          <w:b/>
          <w:bCs/>
        </w:rPr>
        <w:lastRenderedPageBreak/>
        <w:t>Supplemental Figure 3: Graphical representation of confidence intervals generated by bootstrap OLS following lasso</w:t>
      </w:r>
    </w:p>
    <w:p w14:paraId="3FE36AF8" w14:textId="77777777" w:rsidR="00CA19D1" w:rsidRDefault="00CA19D1" w:rsidP="00CA19D1">
      <w:pPr>
        <w:rPr>
          <w:rFonts w:ascii="Times New Roman" w:eastAsia="Times New Roman" w:hAnsi="Times New Roman" w:cs="Times New Roman"/>
        </w:rPr>
      </w:pPr>
    </w:p>
    <w:p w14:paraId="128B95AC" w14:textId="77777777" w:rsidR="00CA19D1" w:rsidRDefault="00CA19D1" w:rsidP="00CA19D1">
      <w:pPr>
        <w:rPr>
          <w:sz w:val="16"/>
          <w:szCs w:val="16"/>
        </w:rPr>
      </w:pPr>
      <w:r>
        <w:rPr>
          <w:noProof/>
          <w:sz w:val="16"/>
          <w:szCs w:val="16"/>
        </w:rPr>
        <w:drawing>
          <wp:inline distT="0" distB="0" distL="0" distR="0" wp14:anchorId="1C902881" wp14:editId="616EA026">
            <wp:extent cx="5943600" cy="4984115"/>
            <wp:effectExtent l="0" t="0" r="0" b="6985"/>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iagram&#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984115"/>
                    </a:xfrm>
                    <a:prstGeom prst="rect">
                      <a:avLst/>
                    </a:prstGeom>
                    <a:noFill/>
                    <a:ln>
                      <a:noFill/>
                    </a:ln>
                  </pic:spPr>
                </pic:pic>
              </a:graphicData>
            </a:graphic>
          </wp:inline>
        </w:drawing>
      </w:r>
    </w:p>
    <w:p w14:paraId="0FF99857" w14:textId="77777777" w:rsidR="00CA19D1" w:rsidRDefault="00CA19D1" w:rsidP="00CA19D1">
      <w:pPr>
        <w:rPr>
          <w:sz w:val="16"/>
          <w:szCs w:val="16"/>
        </w:rPr>
      </w:pPr>
    </w:p>
    <w:p w14:paraId="75560590" w14:textId="77777777" w:rsidR="00CA19D1" w:rsidRDefault="00CA19D1" w:rsidP="00CA19D1">
      <w:pPr>
        <w:pStyle w:val="NoSpacing"/>
        <w:spacing w:after="120"/>
      </w:pPr>
      <w:r>
        <w:t xml:space="preserve">This figure provides a graphical view of the confidence intervals generated by the post-lasso OLS bootstrap, displaying a separate histogram for each bootstrapped coefficient in addition to the kernel density estimates and the normal density based on the bootstrap mean and standard deviation. The vertical dashed line marks the original point-estimate, and the thick horizontal line gives a confidence interval based on the bootstrap. As demonstrated by the figure, the normal approximation for the coefficients is relatively good, and the confidence intervals are close to symmetric about the original values, suggesting that inference from the bootstrap is likely to be normal. </w:t>
      </w:r>
    </w:p>
    <w:p w14:paraId="00205BDA" w14:textId="77777777" w:rsidR="00CA19D1" w:rsidRDefault="00CA19D1" w:rsidP="00CA19D1">
      <w:pPr>
        <w:spacing w:line="360" w:lineRule="auto"/>
        <w:rPr>
          <w:rFonts w:ascii="Times New Roman" w:hAnsi="Times New Roman" w:cs="Times New Roman"/>
          <w:sz w:val="24"/>
          <w:szCs w:val="24"/>
        </w:rPr>
      </w:pPr>
    </w:p>
    <w:p w14:paraId="74707B74" w14:textId="77777777" w:rsidR="00CA19D1" w:rsidRDefault="00CA19D1" w:rsidP="00CA19D1">
      <w:pPr>
        <w:rPr>
          <w:rFonts w:ascii="Times New Roman" w:eastAsia="Times New Roman" w:hAnsi="Times New Roman" w:cs="Times New Roman"/>
          <w:sz w:val="24"/>
          <w:szCs w:val="24"/>
        </w:rPr>
      </w:pPr>
    </w:p>
    <w:p w14:paraId="1A3D195D" w14:textId="77777777" w:rsidR="00CA19D1" w:rsidRDefault="00CA19D1" w:rsidP="00CA19D1">
      <w:pPr>
        <w:rPr>
          <w:rFonts w:ascii="Times New Roman" w:eastAsia="Times New Roman" w:hAnsi="Times New Roman" w:cs="Times New Roman"/>
          <w:b/>
          <w:bCs/>
        </w:rPr>
      </w:pPr>
      <w:r>
        <w:rPr>
          <w:rFonts w:ascii="Times New Roman" w:eastAsia="Times New Roman" w:hAnsi="Times New Roman" w:cs="Times New Roman"/>
          <w:b/>
          <w:bCs/>
        </w:rPr>
        <w:br w:type="page"/>
      </w:r>
    </w:p>
    <w:p w14:paraId="3502CF31" w14:textId="77777777" w:rsidR="00CA19D1" w:rsidRDefault="00CA19D1" w:rsidP="00CA19D1">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Supplemental Table 1: Variance-covariance matrix of bootstrap OLS following lasso</w:t>
      </w:r>
    </w:p>
    <w:p w14:paraId="47D34C70" w14:textId="77777777" w:rsidR="00CA19D1" w:rsidRDefault="00CA19D1" w:rsidP="00CA19D1">
      <w:pPr>
        <w:rPr>
          <w:rFonts w:ascii="Times New Roman" w:eastAsia="Times New Roman" w:hAnsi="Times New Roman" w:cs="Times New Roman"/>
          <w:sz w:val="24"/>
          <w:szCs w:val="24"/>
        </w:rPr>
      </w:pPr>
    </w:p>
    <w:p w14:paraId="10284307" w14:textId="77777777" w:rsidR="00CA19D1" w:rsidRDefault="00CA19D1" w:rsidP="00CA19D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Table is too large for Word, please see link: </w:t>
      </w:r>
      <w:hyperlink r:id="rId9" w:history="1">
        <w:r>
          <w:rPr>
            <w:rStyle w:val="Hyperlink"/>
            <w:rFonts w:ascii="Times New Roman" w:eastAsia="Times New Roman" w:hAnsi="Times New Roman" w:cs="Times New Roman"/>
            <w:sz w:val="24"/>
            <w:szCs w:val="24"/>
          </w:rPr>
          <w:t>https://rpubs.com/nzawadzki/JGIM_suppTable1_2020</w:t>
        </w:r>
      </w:hyperlink>
    </w:p>
    <w:p w14:paraId="73A00AF4" w14:textId="77777777" w:rsidR="00CA19D1" w:rsidRDefault="00CA19D1" w:rsidP="00CA19D1">
      <w:pPr>
        <w:rPr>
          <w:rFonts w:ascii="Times New Roman" w:eastAsia="Times New Roman" w:hAnsi="Times New Roman" w:cs="Times New Roman"/>
          <w:sz w:val="24"/>
          <w:szCs w:val="24"/>
        </w:rPr>
      </w:pPr>
    </w:p>
    <w:p w14:paraId="5DD1214F" w14:textId="77777777" w:rsidR="00CA19D1" w:rsidRDefault="00CA19D1" w:rsidP="00CA19D1"/>
    <w:p w14:paraId="3AF7B87A" w14:textId="77777777" w:rsidR="00CA19D1" w:rsidRDefault="00CA19D1" w:rsidP="00CA19D1">
      <w:pPr>
        <w:spacing w:line="240" w:lineRule="auto"/>
      </w:pPr>
      <w:r>
        <w:br w:type="page"/>
      </w:r>
    </w:p>
    <w:p w14:paraId="4C6D05EC" w14:textId="77777777" w:rsidR="00CA19D1" w:rsidRDefault="00CA19D1" w:rsidP="00CA19D1">
      <w:pPr>
        <w:spacing w:line="360" w:lineRule="auto"/>
      </w:pPr>
      <w:r>
        <w:rPr>
          <w:b/>
          <w:bCs/>
        </w:rPr>
        <w:lastRenderedPageBreak/>
        <w:t>Technical Appendix</w:t>
      </w:r>
    </w:p>
    <w:p w14:paraId="0D891444" w14:textId="77777777" w:rsidR="00CA19D1" w:rsidRDefault="00CA19D1" w:rsidP="00CA19D1">
      <w:pPr>
        <w:spacing w:line="360" w:lineRule="auto"/>
      </w:pPr>
      <w:r>
        <w:t>Lasso</w:t>
      </w:r>
    </w:p>
    <w:p w14:paraId="5EDB2CE6" w14:textId="77777777" w:rsidR="00CA19D1" w:rsidRDefault="00CA19D1" w:rsidP="00CA19D1">
      <w:pPr>
        <w:spacing w:after="120" w:line="360" w:lineRule="auto"/>
        <w:ind w:firstLine="720"/>
        <w:rPr>
          <w:rFonts w:ascii="Times New Roman" w:eastAsia="Times New Roman" w:hAnsi="Times New Roman" w:cs="Times New Roman"/>
          <w:b/>
          <w:bCs/>
          <w:iCs/>
          <w:sz w:val="24"/>
          <w:szCs w:val="24"/>
          <w:lang w:val="en-US"/>
        </w:rPr>
      </w:pPr>
      <w:r>
        <w:rPr>
          <w:rFonts w:ascii="Times New Roman" w:eastAsia="Times New Roman" w:hAnsi="Times New Roman" w:cs="Times New Roman"/>
          <w:sz w:val="24"/>
          <w:szCs w:val="24"/>
          <w:lang w:val="en-US"/>
        </w:rPr>
        <w:t>Since the number of predictors in this second specification (p=4,058) exceeded our sample of complete responses (n=2,111), we employed lasso regression, a supervised machine learning algorithm that performs both variable selection and regularization in order to reduce overfitting and multicollinearity while increasing the interpretability of the statistical model it produces. In high-dimensional settings (p variables &gt; n observations), lasso will shrink unimportant coefficients to zero terms by utilizing an L1 penalty thus reducing the number of predictors such that p is no longer greater than n.</w:t>
      </w:r>
      <w:r>
        <w:rPr>
          <w:rFonts w:ascii="Times New Roman" w:eastAsia="Times New Roman" w:hAnsi="Times New Roman" w:cs="Times New Roman"/>
          <w:sz w:val="24"/>
          <w:szCs w:val="24"/>
          <w:vertAlign w:val="superscript"/>
          <w:lang w:val="en-US"/>
        </w:rPr>
        <w:footnoteReference w:id="1"/>
      </w:r>
    </w:p>
    <w:p w14:paraId="1956563D" w14:textId="77777777" w:rsidR="00CA19D1" w:rsidRDefault="00CA19D1" w:rsidP="00CA19D1">
      <w:pPr>
        <w:spacing w:after="120" w:line="360" w:lineRule="auto"/>
        <w:ind w:firstLine="720"/>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To ensure their inclusion in the model and for comparison to other models in the literature, we constrained lasso from regularizing the characteristics of interest listed above and employed 10-fold cross-validation to select the penalty parameter λ for the lasso estimator that minimized the mean squared error (MSE) of prediction. Because lasso tunes λ by cross-validation, its prediction performance is less likely to be affected by internal validation bias than "out-of-the-box" stepwise selection methods. In other words, by relying on statistical significance for model selection, the models identified by stepwise methods have an inflated risk of discarding useful variables while spuriously including nuisance variables. As such, a stepwise regression model may fit well in-sample but perform poorly out-of-sample.</w:t>
      </w:r>
      <w:r>
        <w:rPr>
          <w:rFonts w:ascii="Times New Roman" w:eastAsia="Times New Roman" w:hAnsi="Times New Roman" w:cs="Times New Roman"/>
          <w:sz w:val="24"/>
          <w:szCs w:val="24"/>
          <w:vertAlign w:val="superscript"/>
          <w:lang w:val="en-US"/>
        </w:rPr>
        <w:footnoteReference w:id="2"/>
      </w:r>
    </w:p>
    <w:p w14:paraId="20371E1B" w14:textId="77777777" w:rsidR="00CA19D1" w:rsidRDefault="00CA19D1" w:rsidP="00CA19D1">
      <w:pPr>
        <w:spacing w:line="36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As a regularization procedure, lasso characteristically trades increased bias for smaller variance by omitting variables that, if associated with the outcome or a predictor, will introduce bias if excluded. The justification for post-lasso OLS surrounds its ability to reduce error of fit and thus improve efficiency of the selected coefficients over standard OLS.</w:t>
      </w:r>
      <w:r>
        <w:rPr>
          <w:rFonts w:ascii="Times New Roman" w:hAnsi="Times New Roman" w:cs="Times New Roman"/>
          <w:sz w:val="24"/>
          <w:szCs w:val="24"/>
          <w:vertAlign w:val="superscript"/>
          <w:lang w:val="en-US"/>
        </w:rPr>
        <w:footnoteReference w:id="3"/>
      </w:r>
      <w:r>
        <w:rPr>
          <w:rFonts w:ascii="Times New Roman" w:hAnsi="Times New Roman" w:cs="Times New Roman"/>
          <w:sz w:val="24"/>
          <w:szCs w:val="24"/>
          <w:lang w:val="en-US"/>
        </w:rPr>
        <w:t xml:space="preserve"> Since the subset of predictors selected by lasso was put into a new OLS regression, its estimates may be biased due to omitted variables. However, given the relatively large sample size, we contend that the post-lasso OLS estimator asymptotically approaches the unbiased estimator for coefficients and standard error, </w:t>
      </w:r>
      <w:proofErr w:type="gramStart"/>
      <w:r>
        <w:rPr>
          <w:rFonts w:ascii="Times New Roman" w:hAnsi="Times New Roman" w:cs="Times New Roman"/>
          <w:sz w:val="24"/>
          <w:szCs w:val="24"/>
          <w:lang w:val="en-US"/>
        </w:rPr>
        <w:t>and,</w:t>
      </w:r>
      <w:proofErr w:type="gramEnd"/>
      <w:r>
        <w:rPr>
          <w:rFonts w:ascii="Times New Roman" w:hAnsi="Times New Roman" w:cs="Times New Roman"/>
          <w:sz w:val="24"/>
          <w:szCs w:val="24"/>
          <w:lang w:val="en-US"/>
        </w:rPr>
        <w:t xml:space="preserve"> given the congruence of results between models, it is unlikely that lasso </w:t>
      </w:r>
      <w:r>
        <w:rPr>
          <w:rFonts w:ascii="Times New Roman" w:hAnsi="Times New Roman" w:cs="Times New Roman"/>
          <w:sz w:val="24"/>
          <w:szCs w:val="24"/>
          <w:lang w:val="en-US"/>
        </w:rPr>
        <w:lastRenderedPageBreak/>
        <w:t>significantly biased the results. Nevertheless, the threshold question that we have answered with the partial F-test is that the post-lasso OLS fits the data better than the standard OLS, and thus its employment is justified in increasing power to detect significant covariates.</w:t>
      </w:r>
    </w:p>
    <w:p w14:paraId="7D8AB145" w14:textId="77777777" w:rsidR="00CA19D1" w:rsidRDefault="00CA19D1" w:rsidP="00CA19D1">
      <w:pPr>
        <w:spacing w:line="360" w:lineRule="auto"/>
      </w:pPr>
      <w:r>
        <w:t>E-values</w:t>
      </w:r>
    </w:p>
    <w:p w14:paraId="4CBF9E80" w14:textId="77777777" w:rsidR="00CA19D1" w:rsidRDefault="00CA19D1" w:rsidP="00CA19D1">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E-values indicate the “minimum strength of association, on the risk ratio (RR) scale, that an unmeasured confounder would need to have with both the treatment and outcome, conditional on the measured covariates, to fully explain away a specific treatment-outcome association.”</w:t>
      </w:r>
      <w:r>
        <w:rPr>
          <w:rFonts w:ascii="Times New Roman" w:eastAsia="Times New Roman" w:hAnsi="Times New Roman" w:cs="Times New Roman"/>
          <w:sz w:val="24"/>
          <w:szCs w:val="24"/>
          <w:vertAlign w:val="superscript"/>
        </w:rPr>
        <w:footnoteReference w:id="4"/>
      </w:r>
      <w:r>
        <w:rPr>
          <w:rFonts w:ascii="Times New Roman" w:eastAsia="Times New Roman" w:hAnsi="Times New Roman" w:cs="Times New Roman"/>
          <w:sz w:val="24"/>
          <w:szCs w:val="24"/>
        </w:rPr>
        <w:t xml:space="preserve">  The E-value is generally calculated as follows:  E-value = RR + </w:t>
      </w:r>
      <m:oMath>
        <m:rad>
          <m:radPr>
            <m:degHide m:val="1"/>
            <m:ctrlPr>
              <w:rPr>
                <w:rFonts w:ascii="Cambria Math" w:eastAsia="Times New Roman" w:hAnsi="Cambria Math" w:cs="Times New Roman"/>
                <w:iCs/>
                <w:sz w:val="24"/>
                <w:szCs w:val="24"/>
              </w:rPr>
            </m:ctrlPr>
          </m:radPr>
          <m:deg/>
          <m:e>
            <m:r>
              <m:rPr>
                <m:nor/>
              </m:rPr>
              <w:rPr>
                <w:rFonts w:ascii="Times New Roman" w:eastAsia="Times New Roman" w:hAnsi="Times New Roman" w:cs="Times New Roman"/>
                <w:iCs/>
                <w:sz w:val="24"/>
                <w:szCs w:val="24"/>
              </w:rPr>
              <m:t>RR × (RR-1)</m:t>
            </m:r>
          </m:e>
        </m:rad>
      </m:oMath>
      <w:r>
        <w:rPr>
          <w:rFonts w:ascii="Times New Roman" w:eastAsia="Times New Roman" w:hAnsi="Times New Roman" w:cs="Times New Roman"/>
          <w:sz w:val="24"/>
          <w:szCs w:val="24"/>
        </w:rPr>
        <w:t xml:space="preserve"> , where RR is the relative risk. Since our utility outcome is continuous, effect-size conversions in Chinn (2000)</w:t>
      </w:r>
      <w:r>
        <w:rPr>
          <w:rFonts w:ascii="Times New Roman" w:eastAsia="Times New Roman" w:hAnsi="Times New Roman" w:cs="Times New Roman"/>
          <w:sz w:val="24"/>
          <w:szCs w:val="24"/>
          <w:vertAlign w:val="superscript"/>
        </w:rPr>
        <w:footnoteReference w:id="5"/>
      </w:r>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VanderWeele</w:t>
      </w:r>
      <w:proofErr w:type="spellEnd"/>
      <w:r>
        <w:rPr>
          <w:rFonts w:ascii="Times New Roman" w:eastAsia="Times New Roman" w:hAnsi="Times New Roman" w:cs="Times New Roman"/>
          <w:sz w:val="24"/>
          <w:szCs w:val="24"/>
        </w:rPr>
        <w:t xml:space="preserve"> (2017)</w:t>
      </w:r>
      <w:r>
        <w:rPr>
          <w:rFonts w:ascii="Times New Roman" w:eastAsia="Times New Roman" w:hAnsi="Times New Roman" w:cs="Times New Roman"/>
          <w:sz w:val="24"/>
          <w:szCs w:val="24"/>
          <w:vertAlign w:val="superscript"/>
        </w:rPr>
        <w:footnoteReference w:id="6"/>
      </w:r>
      <w:r>
        <w:rPr>
          <w:rFonts w:ascii="Times New Roman" w:eastAsia="Times New Roman" w:hAnsi="Times New Roman" w:cs="Times New Roman"/>
          <w:sz w:val="24"/>
          <w:szCs w:val="24"/>
        </w:rPr>
        <w:t xml:space="preserve"> approximately convert the mean difference between hypothetical exposure "groups" to the odds ratio that would arise from dichotomizing the continuous outcome. Similarly, we use E-values to assess the strength of a potential confounder to expand the confidence interval to include the null (estimate=0).</w:t>
      </w:r>
    </w:p>
    <w:p w14:paraId="6E3066D8" w14:textId="77777777" w:rsidR="00CA19D1" w:rsidRDefault="00CA19D1" w:rsidP="00CA19D1">
      <w:pPr>
        <w:spacing w:line="360" w:lineRule="auto"/>
      </w:pPr>
      <w:r>
        <w:t>F-test</w:t>
      </w:r>
    </w:p>
    <w:p w14:paraId="51E65E36" w14:textId="77777777" w:rsidR="00CA19D1" w:rsidRDefault="00CA19D1" w:rsidP="00CA19D1">
      <w:pPr>
        <w:pStyle w:val="NoSpacing"/>
        <w:spacing w:after="120" w:line="360" w:lineRule="auto"/>
        <w:ind w:firstLine="720"/>
      </w:pPr>
      <w:r>
        <w:t xml:space="preserve">The F-test was employed to compare the fit of the models. The residual sum of squares (RSS) for the standard and post-lasso models are 90.3 and 76.5, respectively, and the calculated F-statistic is 74.7 (p&lt;0.001). Thus, we conclude that the additional coefficients estimated by the post-lasso OLS model significantly improve the model’s ability to predict EQ-5D utility.  </w:t>
      </w:r>
    </w:p>
    <w:p w14:paraId="0DB90D45" w14:textId="77777777" w:rsidR="00CA19D1" w:rsidRDefault="00CA19D1" w:rsidP="00CA19D1">
      <w:pPr>
        <w:spacing w:line="360" w:lineRule="auto"/>
      </w:pPr>
      <w:r>
        <w:t>R packages</w:t>
      </w:r>
    </w:p>
    <w:p w14:paraId="0F3EC6C4" w14:textId="77777777" w:rsidR="00CA19D1" w:rsidRDefault="00CA19D1" w:rsidP="00CA19D1">
      <w:pPr>
        <w:spacing w:after="120" w:line="360" w:lineRule="auto"/>
        <w:ind w:firstLine="720"/>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R version 4.0.1 was used to perform the statistical analysis. The R package ‘HCDI’ was used to implement LASSO,</w:t>
      </w:r>
      <w:r>
        <w:rPr>
          <w:rFonts w:ascii="Times New Roman" w:eastAsia="Times New Roman" w:hAnsi="Times New Roman" w:cs="Times New Roman"/>
          <w:sz w:val="24"/>
          <w:szCs w:val="24"/>
          <w:vertAlign w:val="superscript"/>
          <w:lang w:val="en-US"/>
        </w:rPr>
        <w:footnoteReference w:id="7"/>
      </w:r>
      <w:r>
        <w:rPr>
          <w:rFonts w:ascii="Times New Roman" w:eastAsia="Times New Roman" w:hAnsi="Times New Roman" w:cs="Times New Roman"/>
          <w:sz w:val="24"/>
          <w:szCs w:val="24"/>
          <w:lang w:val="en-US"/>
        </w:rPr>
        <w:t xml:space="preserve">  and analyze the post-lasso OLS model and the R package ‘car’ was used for the bootstrap procedure.</w:t>
      </w:r>
      <w:r>
        <w:rPr>
          <w:rFonts w:ascii="Times New Roman" w:eastAsia="Times New Roman" w:hAnsi="Times New Roman" w:cs="Times New Roman"/>
          <w:sz w:val="24"/>
          <w:szCs w:val="24"/>
          <w:vertAlign w:val="superscript"/>
          <w:lang w:val="en-US"/>
        </w:rPr>
        <w:footnoteReference w:id="8"/>
      </w:r>
      <w:r>
        <w:rPr>
          <w:rFonts w:ascii="Times New Roman" w:eastAsia="Times New Roman" w:hAnsi="Times New Roman" w:cs="Times New Roman"/>
          <w:sz w:val="24"/>
          <w:szCs w:val="24"/>
          <w:lang w:val="en-US"/>
        </w:rPr>
        <w:t xml:space="preserve"> </w:t>
      </w:r>
    </w:p>
    <w:p w14:paraId="765C179B" w14:textId="77777777" w:rsidR="00CA19D1" w:rsidRDefault="00CA19D1" w:rsidP="00CA19D1">
      <w:pPr>
        <w:spacing w:line="360" w:lineRule="auto"/>
      </w:pPr>
    </w:p>
    <w:p w14:paraId="46027D4F" w14:textId="77777777" w:rsidR="00CA19D1" w:rsidRPr="00F54F22" w:rsidRDefault="00CA19D1" w:rsidP="00CA19D1">
      <w:pPr>
        <w:rPr>
          <w:rFonts w:ascii="Times New Roman" w:eastAsia="Times New Roman" w:hAnsi="Times New Roman" w:cs="Times New Roman"/>
          <w:sz w:val="24"/>
          <w:szCs w:val="24"/>
        </w:rPr>
      </w:pPr>
    </w:p>
    <w:p w14:paraId="16561842" w14:textId="77777777" w:rsidR="00222823" w:rsidRDefault="00222823"/>
    <w:sectPr w:rsidR="00222823" w:rsidSect="004C3E6F">
      <w:endnotePr>
        <w:numFmt w:val="decimal"/>
      </w:endnotePr>
      <w:pgSz w:w="12240" w:h="15840" w:code="1"/>
      <w:pgMar w:top="1440" w:right="1440" w:bottom="1440" w:left="1440" w:header="720" w:footer="720" w:gutter="0"/>
      <w:cols w:space="720" w:equalWidth="0">
        <w:col w:w="936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8C4400" w14:textId="77777777" w:rsidR="00AB526A" w:rsidRDefault="00AB526A" w:rsidP="00CA19D1">
      <w:pPr>
        <w:spacing w:line="240" w:lineRule="auto"/>
      </w:pPr>
      <w:r>
        <w:separator/>
      </w:r>
    </w:p>
  </w:endnote>
  <w:endnote w:type="continuationSeparator" w:id="0">
    <w:p w14:paraId="64528615" w14:textId="77777777" w:rsidR="00AB526A" w:rsidRDefault="00AB526A" w:rsidP="00CA19D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E3CDD9" w14:textId="77777777" w:rsidR="00AB526A" w:rsidRDefault="00AB526A" w:rsidP="00CA19D1">
      <w:pPr>
        <w:spacing w:line="240" w:lineRule="auto"/>
      </w:pPr>
      <w:r>
        <w:separator/>
      </w:r>
    </w:p>
  </w:footnote>
  <w:footnote w:type="continuationSeparator" w:id="0">
    <w:p w14:paraId="2103D9A0" w14:textId="77777777" w:rsidR="00AB526A" w:rsidRDefault="00AB526A" w:rsidP="00CA19D1">
      <w:pPr>
        <w:spacing w:line="240" w:lineRule="auto"/>
      </w:pPr>
      <w:r>
        <w:continuationSeparator/>
      </w:r>
    </w:p>
  </w:footnote>
  <w:footnote w:id="1">
    <w:p w14:paraId="6C02AFFD" w14:textId="77777777" w:rsidR="00CA19D1" w:rsidRDefault="00CA19D1" w:rsidP="00CA19D1">
      <w:pPr>
        <w:pStyle w:val="FootnoteText"/>
      </w:pPr>
      <w:r>
        <w:rPr>
          <w:rStyle w:val="FootnoteReference"/>
        </w:rPr>
        <w:footnoteRef/>
      </w:r>
      <w:r>
        <w:t xml:space="preserve"> </w:t>
      </w:r>
      <w:proofErr w:type="spellStart"/>
      <w:r>
        <w:t>Tibshirani</w:t>
      </w:r>
      <w:proofErr w:type="spellEnd"/>
      <w:r>
        <w:t xml:space="preserve"> R. Regression Shrinkage and Selection via the Lasso. </w:t>
      </w:r>
      <w:r>
        <w:rPr>
          <w:i/>
          <w:iCs/>
        </w:rPr>
        <w:t>J R Stat Soc</w:t>
      </w:r>
      <w:r>
        <w:t>. 1996;58(1):267-288. doi:10.1017/s0272503700054525</w:t>
      </w:r>
    </w:p>
  </w:footnote>
  <w:footnote w:id="2">
    <w:p w14:paraId="3E26631D" w14:textId="77777777" w:rsidR="00CA19D1" w:rsidRDefault="00CA19D1" w:rsidP="00CA19D1">
      <w:pPr>
        <w:pStyle w:val="FootnoteText"/>
      </w:pPr>
      <w:r>
        <w:rPr>
          <w:rStyle w:val="FootnoteReference"/>
        </w:rPr>
        <w:footnoteRef/>
      </w:r>
      <w:r>
        <w:t xml:space="preserve"> Smith, G. Step away from stepwise. </w:t>
      </w:r>
      <w:r>
        <w:rPr>
          <w:i/>
          <w:iCs/>
        </w:rPr>
        <w:t>J Big Data</w:t>
      </w:r>
      <w:r>
        <w:t> </w:t>
      </w:r>
      <w:r>
        <w:rPr>
          <w:b/>
          <w:bCs/>
        </w:rPr>
        <w:t>5, </w:t>
      </w:r>
      <w:r>
        <w:t>32 (2018). https://doi.org/10.1186/s40537-018-0143-6</w:t>
      </w:r>
    </w:p>
  </w:footnote>
  <w:footnote w:id="3">
    <w:p w14:paraId="61B52015" w14:textId="77777777" w:rsidR="00CA19D1" w:rsidRDefault="00CA19D1" w:rsidP="00CA19D1">
      <w:pPr>
        <w:pStyle w:val="FootnoteText"/>
      </w:pPr>
      <w:r>
        <w:rPr>
          <w:rStyle w:val="FootnoteReference"/>
        </w:rPr>
        <w:footnoteRef/>
      </w:r>
      <w:r>
        <w:t xml:space="preserve"> Hastie T, </w:t>
      </w:r>
      <w:proofErr w:type="spellStart"/>
      <w:r>
        <w:t>Tibshirani</w:t>
      </w:r>
      <w:proofErr w:type="spellEnd"/>
      <w:r>
        <w:t xml:space="preserve"> R, Friedman, JH (2009). </w:t>
      </w:r>
      <w:r>
        <w:rPr>
          <w:i/>
          <w:iCs/>
        </w:rPr>
        <w:t>The elements of statistical learning: data mining, inference, and prediction.</w:t>
      </w:r>
      <w:r>
        <w:t xml:space="preserve"> 2nd ed. New York: Springer; page 91. </w:t>
      </w:r>
      <w:hyperlink r:id="rId1" w:history="1">
        <w:r>
          <w:rPr>
            <w:rStyle w:val="Hyperlink"/>
          </w:rPr>
          <w:t>https://web.stanford.edu/~hastie/Papers/ESLII.pdf</w:t>
        </w:r>
      </w:hyperlink>
      <w:r>
        <w:t xml:space="preserve">. </w:t>
      </w:r>
    </w:p>
    <w:p w14:paraId="7C9CA994" w14:textId="77777777" w:rsidR="00CA19D1" w:rsidRDefault="00CA19D1" w:rsidP="00CA19D1">
      <w:pPr>
        <w:pStyle w:val="FootnoteText"/>
      </w:pPr>
    </w:p>
  </w:footnote>
  <w:footnote w:id="4">
    <w:p w14:paraId="21229ECF" w14:textId="77777777" w:rsidR="00CA19D1" w:rsidRDefault="00CA19D1" w:rsidP="00CA19D1">
      <w:pPr>
        <w:pStyle w:val="FootnoteText"/>
      </w:pPr>
      <w:r>
        <w:rPr>
          <w:rStyle w:val="FootnoteReference"/>
        </w:rPr>
        <w:footnoteRef/>
      </w:r>
      <w:r>
        <w:t xml:space="preserve"> </w:t>
      </w:r>
      <w:proofErr w:type="spellStart"/>
      <w:r>
        <w:t>VanderWeele</w:t>
      </w:r>
      <w:proofErr w:type="spellEnd"/>
      <w:r>
        <w:t xml:space="preserve"> TJ, Ding P. Sensitivity analysis in observational research: Introducing the E-Value. </w:t>
      </w:r>
      <w:r>
        <w:rPr>
          <w:i/>
          <w:iCs/>
        </w:rPr>
        <w:t>Ann Intern Med</w:t>
      </w:r>
      <w:r>
        <w:t>. 2017;167(4):268-274. doi:10.7326/M16-2607</w:t>
      </w:r>
    </w:p>
  </w:footnote>
  <w:footnote w:id="5">
    <w:p w14:paraId="48333168" w14:textId="77777777" w:rsidR="00CA19D1" w:rsidRDefault="00CA19D1" w:rsidP="00CA19D1">
      <w:pPr>
        <w:pStyle w:val="FootnoteText"/>
      </w:pPr>
      <w:r>
        <w:rPr>
          <w:rStyle w:val="FootnoteReference"/>
        </w:rPr>
        <w:footnoteRef/>
      </w:r>
      <w:r>
        <w:t xml:space="preserve"> Chinn S. A simple method for converting an odds ratio to effect size for use in meta-analysis. </w:t>
      </w:r>
      <w:r>
        <w:rPr>
          <w:i/>
          <w:iCs/>
        </w:rPr>
        <w:t>Stat Med</w:t>
      </w:r>
      <w:r>
        <w:t>. 2000;19(22):3127-3131. doi:10.1002/1097-0258(20001130)19:22&lt;</w:t>
      </w:r>
      <w:proofErr w:type="gramStart"/>
      <w:r>
        <w:t>3127::</w:t>
      </w:r>
      <w:proofErr w:type="gramEnd"/>
      <w:r>
        <w:t>AID-SIM784&gt;3.0.CO;2-M</w:t>
      </w:r>
    </w:p>
  </w:footnote>
  <w:footnote w:id="6">
    <w:p w14:paraId="6EFB442F" w14:textId="77777777" w:rsidR="00CA19D1" w:rsidRDefault="00CA19D1" w:rsidP="00CA19D1">
      <w:pPr>
        <w:pStyle w:val="FootnoteText"/>
      </w:pPr>
      <w:r>
        <w:rPr>
          <w:rStyle w:val="FootnoteReference"/>
        </w:rPr>
        <w:footnoteRef/>
      </w:r>
      <w:r>
        <w:t xml:space="preserve"> </w:t>
      </w:r>
      <w:proofErr w:type="spellStart"/>
      <w:r>
        <w:t>VanderWeele</w:t>
      </w:r>
      <w:proofErr w:type="spellEnd"/>
      <w:r>
        <w:t xml:space="preserve"> TJ. On a Square-Root Transformation of the Odds Ratio for a Common Outcome. </w:t>
      </w:r>
      <w:r>
        <w:rPr>
          <w:i/>
        </w:rPr>
        <w:t>Epidemiology</w:t>
      </w:r>
      <w:r>
        <w:t>. 2017;28(6):e58-e60. doi:10.1097/EDE.0000000000000733</w:t>
      </w:r>
    </w:p>
  </w:footnote>
  <w:footnote w:id="7">
    <w:p w14:paraId="3873C45F" w14:textId="77777777" w:rsidR="00CA19D1" w:rsidRDefault="00CA19D1" w:rsidP="00CA19D1">
      <w:pPr>
        <w:pStyle w:val="FootnoteText"/>
      </w:pPr>
      <w:r>
        <w:rPr>
          <w:rStyle w:val="FootnoteReference"/>
        </w:rPr>
        <w:footnoteRef/>
      </w:r>
      <w:r>
        <w:t xml:space="preserve"> Liu H, Xu X, Li JJ. High-Dimensional Metrics in R. cran.r-project.org. Published 2017. Accessed October 2020. https:// cran.r-project.org/web/packages/HDCI/HDCI.pdf</w:t>
      </w:r>
    </w:p>
  </w:footnote>
  <w:footnote w:id="8">
    <w:p w14:paraId="4C414FBF" w14:textId="77777777" w:rsidR="00CA19D1" w:rsidRDefault="00CA19D1" w:rsidP="00CA19D1">
      <w:pPr>
        <w:pStyle w:val="FootnoteText"/>
      </w:pPr>
      <w:r>
        <w:rPr>
          <w:rStyle w:val="FootnoteReference"/>
        </w:rPr>
        <w:footnoteRef/>
      </w:r>
      <w:r>
        <w:t xml:space="preserve"> Fox J, Weisberg S, Price B et al. Companion to Applied Regression. Published 2020. Accessed October 2020. https://cran.r-project.org/web/packages/car/car.pdf</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9D1"/>
    <w:rsid w:val="00222823"/>
    <w:rsid w:val="00242694"/>
    <w:rsid w:val="00AB526A"/>
    <w:rsid w:val="00CA19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C462A"/>
  <w15:chartTrackingRefBased/>
  <w15:docId w15:val="{74A53C8F-E95E-4DC4-B9B8-B7BD8FA25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19D1"/>
    <w:pPr>
      <w:spacing w:after="0" w:line="276" w:lineRule="auto"/>
    </w:pPr>
    <w:rPr>
      <w:rFonts w:ascii="Arial" w:eastAsia="SimSun" w:hAnsi="Arial" w:cs="Arial"/>
      <w:lang w:val="en"/>
    </w:rPr>
  </w:style>
  <w:style w:type="paragraph" w:styleId="Heading1">
    <w:name w:val="heading 1"/>
    <w:basedOn w:val="Normal"/>
    <w:next w:val="Normal"/>
    <w:link w:val="Heading1Char"/>
    <w:uiPriority w:val="9"/>
    <w:qFormat/>
    <w:rsid w:val="00CA19D1"/>
    <w:pPr>
      <w:keepNext/>
      <w:keepLines/>
      <w:spacing w:before="400" w:after="120"/>
      <w:outlineLvl w:val="0"/>
    </w:pPr>
    <w:rPr>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19D1"/>
    <w:rPr>
      <w:rFonts w:ascii="Arial" w:eastAsia="SimSun" w:hAnsi="Arial" w:cs="Arial"/>
      <w:sz w:val="40"/>
      <w:szCs w:val="40"/>
      <w:lang w:val="en"/>
    </w:rPr>
  </w:style>
  <w:style w:type="paragraph" w:styleId="FootnoteText">
    <w:name w:val="footnote text"/>
    <w:basedOn w:val="Normal"/>
    <w:link w:val="FootnoteTextChar"/>
    <w:uiPriority w:val="99"/>
    <w:unhideWhenUsed/>
    <w:rsid w:val="00CA19D1"/>
    <w:pPr>
      <w:spacing w:line="240" w:lineRule="auto"/>
    </w:pPr>
    <w:rPr>
      <w:sz w:val="20"/>
      <w:szCs w:val="20"/>
    </w:rPr>
  </w:style>
  <w:style w:type="character" w:customStyle="1" w:styleId="FootnoteTextChar">
    <w:name w:val="Footnote Text Char"/>
    <w:basedOn w:val="DefaultParagraphFont"/>
    <w:link w:val="FootnoteText"/>
    <w:uiPriority w:val="99"/>
    <w:rsid w:val="00CA19D1"/>
    <w:rPr>
      <w:rFonts w:ascii="Arial" w:eastAsia="SimSun" w:hAnsi="Arial" w:cs="Arial"/>
      <w:sz w:val="20"/>
      <w:szCs w:val="20"/>
      <w:lang w:val="en"/>
    </w:rPr>
  </w:style>
  <w:style w:type="character" w:styleId="FootnoteReference">
    <w:name w:val="footnote reference"/>
    <w:basedOn w:val="DefaultParagraphFont"/>
    <w:uiPriority w:val="99"/>
    <w:semiHidden/>
    <w:unhideWhenUsed/>
    <w:rsid w:val="00CA19D1"/>
    <w:rPr>
      <w:vertAlign w:val="superscript"/>
    </w:rPr>
  </w:style>
  <w:style w:type="character" w:styleId="Hyperlink">
    <w:name w:val="Hyperlink"/>
    <w:basedOn w:val="DefaultParagraphFont"/>
    <w:uiPriority w:val="99"/>
    <w:unhideWhenUsed/>
    <w:rsid w:val="00CA19D1"/>
    <w:rPr>
      <w:color w:val="0000FF"/>
      <w:u w:val="single"/>
    </w:rPr>
  </w:style>
  <w:style w:type="paragraph" w:styleId="NoSpacing">
    <w:name w:val="No Spacing"/>
    <w:uiPriority w:val="1"/>
    <w:qFormat/>
    <w:rsid w:val="00CA19D1"/>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chart" Target="charts/chart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rpubs.com/nzawadzki/JGIM_suppTable1_202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eb.stanford.edu/~hastie/Papers/ESLII.pdf"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C:\Users\thia9\OneDrive\Documents\EuroQOL%20Society\Euroqol%20COVID%20survey\Anxiety%20and%20Depression.xlsx"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Anxiety</a:t>
            </a:r>
            <a:r>
              <a:rPr lang="en-US" baseline="0"/>
              <a:t> and Depression by Gender (%)</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Gender_Compare!$B$25</c:f>
              <c:strCache>
                <c:ptCount val="1"/>
                <c:pt idx="0">
                  <c:v>Male (n=1339)</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Gender_Compare!$A$39:$A$43</c:f>
              <c:strCache>
                <c:ptCount val="5"/>
                <c:pt idx="0">
                  <c:v>None</c:v>
                </c:pt>
                <c:pt idx="1">
                  <c:v>Slight</c:v>
                </c:pt>
                <c:pt idx="2">
                  <c:v>Moderate</c:v>
                </c:pt>
                <c:pt idx="3">
                  <c:v>Severe</c:v>
                </c:pt>
                <c:pt idx="4">
                  <c:v>Extreme</c:v>
                </c:pt>
              </c:strCache>
            </c:strRef>
          </c:cat>
          <c:val>
            <c:numRef>
              <c:f>Gender_Compare!$B$39:$B$43</c:f>
              <c:numCache>
                <c:formatCode>0.0%</c:formatCode>
                <c:ptCount val="5"/>
                <c:pt idx="0">
                  <c:v>0.45341720000000002</c:v>
                </c:pt>
                <c:pt idx="1">
                  <c:v>0.29763663000000001</c:v>
                </c:pt>
                <c:pt idx="2">
                  <c:v>0.18537666</c:v>
                </c:pt>
                <c:pt idx="3">
                  <c:v>4.2097490000000001E-2</c:v>
                </c:pt>
                <c:pt idx="4">
                  <c:v>2.1418019999999999E-2</c:v>
                </c:pt>
              </c:numCache>
            </c:numRef>
          </c:val>
          <c:extLst>
            <c:ext xmlns:c16="http://schemas.microsoft.com/office/drawing/2014/chart" uri="{C3380CC4-5D6E-409C-BE32-E72D297353CC}">
              <c16:uniqueId val="{00000000-6489-4177-B6B8-D01929C5E26C}"/>
            </c:ext>
          </c:extLst>
        </c:ser>
        <c:ser>
          <c:idx val="1"/>
          <c:order val="1"/>
          <c:tx>
            <c:strRef>
              <c:f>Gender_Compare!$C$25</c:f>
              <c:strCache>
                <c:ptCount val="1"/>
                <c:pt idx="0">
                  <c:v>Female (n=1353)</c:v>
                </c:pt>
              </c:strCache>
            </c:strRef>
          </c:tx>
          <c:spPr>
            <a:solidFill>
              <a:srgbClr val="FF00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Gender_Compare!$A$39:$A$43</c:f>
              <c:strCache>
                <c:ptCount val="5"/>
                <c:pt idx="0">
                  <c:v>None</c:v>
                </c:pt>
                <c:pt idx="1">
                  <c:v>Slight</c:v>
                </c:pt>
                <c:pt idx="2">
                  <c:v>Moderate</c:v>
                </c:pt>
                <c:pt idx="3">
                  <c:v>Severe</c:v>
                </c:pt>
                <c:pt idx="4">
                  <c:v>Extreme</c:v>
                </c:pt>
              </c:strCache>
            </c:strRef>
          </c:cat>
          <c:val>
            <c:numRef>
              <c:f>Gender_Compare!$C$39:$C$43</c:f>
              <c:numCache>
                <c:formatCode>0.0%</c:formatCode>
                <c:ptCount val="5"/>
                <c:pt idx="0">
                  <c:v>0.34273319000000002</c:v>
                </c:pt>
                <c:pt idx="1">
                  <c:v>0.32465653999999999</c:v>
                </c:pt>
                <c:pt idx="2">
                  <c:v>0.24873463000000001</c:v>
                </c:pt>
                <c:pt idx="3">
                  <c:v>3.3153290000000002E-2</c:v>
                </c:pt>
                <c:pt idx="4">
                  <c:v>4.7722340000000002E-2</c:v>
                </c:pt>
              </c:numCache>
            </c:numRef>
          </c:val>
          <c:extLst>
            <c:ext xmlns:c16="http://schemas.microsoft.com/office/drawing/2014/chart" uri="{C3380CC4-5D6E-409C-BE32-E72D297353CC}">
              <c16:uniqueId val="{00000001-6489-4177-B6B8-D01929C5E26C}"/>
            </c:ext>
          </c:extLst>
        </c:ser>
        <c:ser>
          <c:idx val="2"/>
          <c:order val="2"/>
          <c:tx>
            <c:strRef>
              <c:f>Gender_Compare!$D$25</c:f>
              <c:strCache>
                <c:ptCount val="1"/>
                <c:pt idx="0">
                  <c:v>Other (n=30)</c:v>
                </c:pt>
              </c:strCache>
            </c:strRef>
          </c:tx>
          <c:spPr>
            <a:solidFill>
              <a:srgbClr val="7030A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Gender_Compare!$A$39:$A$43</c:f>
              <c:strCache>
                <c:ptCount val="5"/>
                <c:pt idx="0">
                  <c:v>None</c:v>
                </c:pt>
                <c:pt idx="1">
                  <c:v>Slight</c:v>
                </c:pt>
                <c:pt idx="2">
                  <c:v>Moderate</c:v>
                </c:pt>
                <c:pt idx="3">
                  <c:v>Severe</c:v>
                </c:pt>
                <c:pt idx="4">
                  <c:v>Extreme</c:v>
                </c:pt>
              </c:strCache>
            </c:strRef>
          </c:cat>
          <c:val>
            <c:numRef>
              <c:f>Gender_Compare!$D$39:$D$43</c:f>
              <c:numCache>
                <c:formatCode>0.0%</c:formatCode>
                <c:ptCount val="5"/>
                <c:pt idx="0">
                  <c:v>0.4</c:v>
                </c:pt>
                <c:pt idx="1">
                  <c:v>6.6666600000000006E-2</c:v>
                </c:pt>
                <c:pt idx="2">
                  <c:v>0.3</c:v>
                </c:pt>
                <c:pt idx="3">
                  <c:v>0.1</c:v>
                </c:pt>
                <c:pt idx="4">
                  <c:v>0.13300000000000001</c:v>
                </c:pt>
              </c:numCache>
            </c:numRef>
          </c:val>
          <c:extLst>
            <c:ext xmlns:c16="http://schemas.microsoft.com/office/drawing/2014/chart" uri="{C3380CC4-5D6E-409C-BE32-E72D297353CC}">
              <c16:uniqueId val="{00000002-6489-4177-B6B8-D01929C5E26C}"/>
            </c:ext>
          </c:extLst>
        </c:ser>
        <c:dLbls>
          <c:showLegendKey val="0"/>
          <c:showVal val="0"/>
          <c:showCatName val="0"/>
          <c:showSerName val="0"/>
          <c:showPercent val="0"/>
          <c:showBubbleSize val="0"/>
        </c:dLbls>
        <c:gapWidth val="100"/>
        <c:axId val="517132992"/>
        <c:axId val="517137256"/>
      </c:barChart>
      <c:catAx>
        <c:axId val="5171329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17137256"/>
        <c:crosses val="autoZero"/>
        <c:auto val="1"/>
        <c:lblAlgn val="ctr"/>
        <c:lblOffset val="100"/>
        <c:noMultiLvlLbl val="0"/>
      </c:catAx>
      <c:valAx>
        <c:axId val="5171372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1713299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Anxiety and Depression</a:t>
            </a:r>
            <a:r>
              <a:rPr lang="en-US" baseline="0"/>
              <a:t> by BMI</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percentStacked"/>
        <c:varyColors val="0"/>
        <c:ser>
          <c:idx val="0"/>
          <c:order val="0"/>
          <c:tx>
            <c:strRef>
              <c:f>BMI_compare!$B$16</c:f>
              <c:strCache>
                <c:ptCount val="1"/>
                <c:pt idx="0">
                  <c:v>None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BMI_compare!$A$17:$A$20</c:f>
              <c:strCache>
                <c:ptCount val="4"/>
                <c:pt idx="0">
                  <c:v>Underweight (n=163)</c:v>
                </c:pt>
                <c:pt idx="1">
                  <c:v>Normal (n=881)</c:v>
                </c:pt>
                <c:pt idx="2">
                  <c:v>Overweight (n=652)</c:v>
                </c:pt>
                <c:pt idx="3">
                  <c:v>Obese (n=507)</c:v>
                </c:pt>
              </c:strCache>
            </c:strRef>
          </c:cat>
          <c:val>
            <c:numRef>
              <c:f>BMI_compare!$B$17:$B$20</c:f>
              <c:numCache>
                <c:formatCode>0.0%</c:formatCode>
                <c:ptCount val="4"/>
                <c:pt idx="0">
                  <c:v>0.28658536585365851</c:v>
                </c:pt>
                <c:pt idx="1">
                  <c:v>0.42713004484304934</c:v>
                </c:pt>
                <c:pt idx="2">
                  <c:v>0.44613050075872535</c:v>
                </c:pt>
                <c:pt idx="3">
                  <c:v>0.35408560311284049</c:v>
                </c:pt>
              </c:numCache>
            </c:numRef>
          </c:val>
          <c:extLst>
            <c:ext xmlns:c16="http://schemas.microsoft.com/office/drawing/2014/chart" uri="{C3380CC4-5D6E-409C-BE32-E72D297353CC}">
              <c16:uniqueId val="{00000000-797C-43C4-8B78-C55CB1F5F57E}"/>
            </c:ext>
          </c:extLst>
        </c:ser>
        <c:ser>
          <c:idx val="1"/>
          <c:order val="1"/>
          <c:tx>
            <c:strRef>
              <c:f>BMI_compare!$C$16</c:f>
              <c:strCache>
                <c:ptCount val="1"/>
                <c:pt idx="0">
                  <c:v>Mild</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BMI_compare!$A$17:$A$20</c:f>
              <c:strCache>
                <c:ptCount val="4"/>
                <c:pt idx="0">
                  <c:v>Underweight (n=163)</c:v>
                </c:pt>
                <c:pt idx="1">
                  <c:v>Normal (n=881)</c:v>
                </c:pt>
                <c:pt idx="2">
                  <c:v>Overweight (n=652)</c:v>
                </c:pt>
                <c:pt idx="3">
                  <c:v>Obese (n=507)</c:v>
                </c:pt>
              </c:strCache>
            </c:strRef>
          </c:cat>
          <c:val>
            <c:numRef>
              <c:f>BMI_compare!$C$17:$C$20</c:f>
              <c:numCache>
                <c:formatCode>0.0%</c:formatCode>
                <c:ptCount val="4"/>
                <c:pt idx="0">
                  <c:v>0.33536585365853661</c:v>
                </c:pt>
                <c:pt idx="1">
                  <c:v>0.29260089686098656</c:v>
                </c:pt>
                <c:pt idx="2">
                  <c:v>0.3156297420333839</c:v>
                </c:pt>
                <c:pt idx="3">
                  <c:v>0.32490272373540857</c:v>
                </c:pt>
              </c:numCache>
            </c:numRef>
          </c:val>
          <c:extLst>
            <c:ext xmlns:c16="http://schemas.microsoft.com/office/drawing/2014/chart" uri="{C3380CC4-5D6E-409C-BE32-E72D297353CC}">
              <c16:uniqueId val="{00000001-797C-43C4-8B78-C55CB1F5F57E}"/>
            </c:ext>
          </c:extLst>
        </c:ser>
        <c:ser>
          <c:idx val="2"/>
          <c:order val="2"/>
          <c:tx>
            <c:strRef>
              <c:f>BMI_compare!$D$16</c:f>
              <c:strCache>
                <c:ptCount val="1"/>
                <c:pt idx="0">
                  <c:v>Moderate</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BMI_compare!$A$17:$A$20</c:f>
              <c:strCache>
                <c:ptCount val="4"/>
                <c:pt idx="0">
                  <c:v>Underweight (n=163)</c:v>
                </c:pt>
                <c:pt idx="1">
                  <c:v>Normal (n=881)</c:v>
                </c:pt>
                <c:pt idx="2">
                  <c:v>Overweight (n=652)</c:v>
                </c:pt>
                <c:pt idx="3">
                  <c:v>Obese (n=507)</c:v>
                </c:pt>
              </c:strCache>
            </c:strRef>
          </c:cat>
          <c:val>
            <c:numRef>
              <c:f>BMI_compare!$D$17:$D$20</c:f>
              <c:numCache>
                <c:formatCode>0.0%</c:formatCode>
                <c:ptCount val="4"/>
                <c:pt idx="0">
                  <c:v>0.28048780487804881</c:v>
                </c:pt>
                <c:pt idx="1">
                  <c:v>0.21076233183856502</c:v>
                </c:pt>
                <c:pt idx="2">
                  <c:v>0.18512898330804248</c:v>
                </c:pt>
                <c:pt idx="3">
                  <c:v>0.22957198443579765</c:v>
                </c:pt>
              </c:numCache>
            </c:numRef>
          </c:val>
          <c:extLst>
            <c:ext xmlns:c16="http://schemas.microsoft.com/office/drawing/2014/chart" uri="{C3380CC4-5D6E-409C-BE32-E72D297353CC}">
              <c16:uniqueId val="{00000002-797C-43C4-8B78-C55CB1F5F57E}"/>
            </c:ext>
          </c:extLst>
        </c:ser>
        <c:ser>
          <c:idx val="3"/>
          <c:order val="3"/>
          <c:tx>
            <c:strRef>
              <c:f>BMI_compare!$E$16</c:f>
              <c:strCache>
                <c:ptCount val="1"/>
                <c:pt idx="0">
                  <c:v>Severe</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BMI_compare!$A$17:$A$20</c:f>
              <c:strCache>
                <c:ptCount val="4"/>
                <c:pt idx="0">
                  <c:v>Underweight (n=163)</c:v>
                </c:pt>
                <c:pt idx="1">
                  <c:v>Normal (n=881)</c:v>
                </c:pt>
                <c:pt idx="2">
                  <c:v>Overweight (n=652)</c:v>
                </c:pt>
                <c:pt idx="3">
                  <c:v>Obese (n=507)</c:v>
                </c:pt>
              </c:strCache>
            </c:strRef>
          </c:cat>
          <c:val>
            <c:numRef>
              <c:f>BMI_compare!$E$17:$E$20</c:f>
              <c:numCache>
                <c:formatCode>0.0%</c:formatCode>
                <c:ptCount val="4"/>
                <c:pt idx="0">
                  <c:v>7.3170731707317069E-2</c:v>
                </c:pt>
                <c:pt idx="1">
                  <c:v>3.5874439461883408E-2</c:v>
                </c:pt>
                <c:pt idx="2">
                  <c:v>2.1244309559939303E-2</c:v>
                </c:pt>
                <c:pt idx="3">
                  <c:v>4.6692607003891051E-2</c:v>
                </c:pt>
              </c:numCache>
            </c:numRef>
          </c:val>
          <c:extLst>
            <c:ext xmlns:c16="http://schemas.microsoft.com/office/drawing/2014/chart" uri="{C3380CC4-5D6E-409C-BE32-E72D297353CC}">
              <c16:uniqueId val="{00000003-797C-43C4-8B78-C55CB1F5F57E}"/>
            </c:ext>
          </c:extLst>
        </c:ser>
        <c:ser>
          <c:idx val="4"/>
          <c:order val="4"/>
          <c:tx>
            <c:strRef>
              <c:f>BMI_compare!$F$16</c:f>
              <c:strCache>
                <c:ptCount val="1"/>
                <c:pt idx="0">
                  <c:v>Extreme</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BMI_compare!$A$17:$A$20</c:f>
              <c:strCache>
                <c:ptCount val="4"/>
                <c:pt idx="0">
                  <c:v>Underweight (n=163)</c:v>
                </c:pt>
                <c:pt idx="1">
                  <c:v>Normal (n=881)</c:v>
                </c:pt>
                <c:pt idx="2">
                  <c:v>Overweight (n=652)</c:v>
                </c:pt>
                <c:pt idx="3">
                  <c:v>Obese (n=507)</c:v>
                </c:pt>
              </c:strCache>
            </c:strRef>
          </c:cat>
          <c:val>
            <c:numRef>
              <c:f>BMI_compare!$F$17:$F$20</c:f>
              <c:numCache>
                <c:formatCode>0.0%</c:formatCode>
                <c:ptCount val="4"/>
                <c:pt idx="0">
                  <c:v>2.4390243902439025E-2</c:v>
                </c:pt>
                <c:pt idx="1">
                  <c:v>3.3632286995515695E-2</c:v>
                </c:pt>
                <c:pt idx="2">
                  <c:v>3.1866464339908952E-2</c:v>
                </c:pt>
                <c:pt idx="3">
                  <c:v>4.4747081712062257E-2</c:v>
                </c:pt>
              </c:numCache>
            </c:numRef>
          </c:val>
          <c:extLst>
            <c:ext xmlns:c16="http://schemas.microsoft.com/office/drawing/2014/chart" uri="{C3380CC4-5D6E-409C-BE32-E72D297353CC}">
              <c16:uniqueId val="{00000004-797C-43C4-8B78-C55CB1F5F57E}"/>
            </c:ext>
          </c:extLst>
        </c:ser>
        <c:dLbls>
          <c:showLegendKey val="0"/>
          <c:showVal val="0"/>
          <c:showCatName val="0"/>
          <c:showSerName val="0"/>
          <c:showPercent val="0"/>
          <c:showBubbleSize val="0"/>
        </c:dLbls>
        <c:gapWidth val="80"/>
        <c:overlap val="100"/>
        <c:axId val="577030800"/>
        <c:axId val="577039656"/>
      </c:barChart>
      <c:catAx>
        <c:axId val="5770308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7039656"/>
        <c:crosses val="autoZero"/>
        <c:auto val="1"/>
        <c:lblAlgn val="ctr"/>
        <c:lblOffset val="100"/>
        <c:noMultiLvlLbl val="0"/>
      </c:catAx>
      <c:valAx>
        <c:axId val="5770396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70308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TotalTime>
  <Pages>6</Pages>
  <Words>801</Words>
  <Characters>4569</Characters>
  <Application>Microsoft Office Word</Application>
  <DocSecurity>0</DocSecurity>
  <Lines>38</Lines>
  <Paragraphs>10</Paragraphs>
  <ScaleCrop>false</ScaleCrop>
  <Company/>
  <LinksUpToDate>false</LinksUpToDate>
  <CharactersWithSpaces>5360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2020-12-17T20:41:00Z</dcterms:created>
  <dcterms:modified xsi:type="dcterms:W3CDTF">2020-12-17T20:42:00Z</dcterms:modified>
</cp:coreProperties>
</file>