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E5B" w:rsidRPr="00FA6A56" w:rsidRDefault="00335E5B" w:rsidP="00335E5B">
      <w:pPr>
        <w:spacing w:afterLines="50" w:after="156" w:line="360" w:lineRule="auto"/>
        <w:rPr>
          <w:rFonts w:ascii="Times New Roman" w:hAnsi="Times New Roman" w:cs="Times New Roman"/>
          <w:b/>
          <w:bCs/>
          <w:sz w:val="20"/>
          <w:szCs w:val="20"/>
          <w:lang w:eastAsia="zh-Hans"/>
        </w:rPr>
      </w:pPr>
      <w:r w:rsidRPr="00FA6A56">
        <w:rPr>
          <w:rFonts w:ascii="Times New Roman" w:hAnsi="Times New Roman" w:cs="Times New Roman"/>
          <w:b/>
          <w:bCs/>
          <w:sz w:val="20"/>
          <w:szCs w:val="20"/>
          <w:lang w:eastAsia="zh-Hans"/>
        </w:rPr>
        <w:t>Supplementary Figures</w:t>
      </w:r>
    </w:p>
    <w:p w:rsidR="00335E5B" w:rsidRPr="006E7014" w:rsidRDefault="00335E5B" w:rsidP="00335E5B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1"/>
          <w:szCs w:val="21"/>
          <w:lang w:eastAsia="zh-Hans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  <w:lang w:eastAsia="en-US"/>
        </w:rPr>
        <w:drawing>
          <wp:inline distT="0" distB="0" distL="0" distR="0" wp14:anchorId="32D580D0" wp14:editId="43BB88C6">
            <wp:extent cx="3600000" cy="3972414"/>
            <wp:effectExtent l="0" t="0" r="0" b="3175"/>
            <wp:docPr id="6" name="图片 6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, 散点图&#10;&#10;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972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E5B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012548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upplementary Figure 1. The volcano map shows the results of DEGs. </w:t>
      </w:r>
      <w:r w:rsidRPr="00012548">
        <w:rPr>
          <w:rFonts w:ascii="Times New Roman" w:hAnsi="Times New Roman" w:cs="Times New Roman"/>
          <w:sz w:val="20"/>
          <w:szCs w:val="20"/>
        </w:rPr>
        <w:t>The abscissa represents the fold change of gene expression (log</w:t>
      </w:r>
      <w:r w:rsidRPr="0001254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12548">
        <w:rPr>
          <w:rFonts w:ascii="Times New Roman" w:hAnsi="Times New Roman" w:cs="Times New Roman"/>
          <w:sz w:val="20"/>
          <w:szCs w:val="20"/>
        </w:rPr>
        <w:t>FoldChange), and the ordinate represents the significance level of the difference in gene expression (-log</w:t>
      </w:r>
      <w:r w:rsidRPr="00012548">
        <w:rPr>
          <w:rFonts w:ascii="Times New Roman" w:hAnsi="Times New Roman" w:cs="Times New Roman"/>
          <w:sz w:val="20"/>
          <w:szCs w:val="20"/>
          <w:vertAlign w:val="subscript"/>
        </w:rPr>
        <w:t xml:space="preserve">10 </w:t>
      </w:r>
      <w:r w:rsidRPr="00012548">
        <w:rPr>
          <w:rFonts w:ascii="Times New Roman" w:hAnsi="Times New Roman" w:cs="Times New Roman"/>
          <w:sz w:val="20"/>
          <w:szCs w:val="20"/>
        </w:rPr>
        <w:t>P</w:t>
      </w:r>
      <w:r w:rsidRPr="00012548">
        <w:rPr>
          <w:rFonts w:ascii="Times New Roman" w:hAnsi="Times New Roman" w:cs="Times New Roman"/>
          <w:sz w:val="20"/>
          <w:szCs w:val="20"/>
          <w:vertAlign w:val="subscript"/>
        </w:rPr>
        <w:t>adj</w:t>
      </w:r>
      <w:r w:rsidRPr="00012548">
        <w:rPr>
          <w:rFonts w:ascii="Times New Roman" w:hAnsi="Times New Roman" w:cs="Times New Roman"/>
          <w:sz w:val="20"/>
          <w:szCs w:val="20"/>
        </w:rPr>
        <w:t>). Red dots indicate upregulated genes, green dots indicate downregulated genes, and blue dots indicate genes without statistical significance.</w:t>
      </w:r>
    </w:p>
    <w:p w:rsidR="00335E5B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 wp14:anchorId="0C7AEC46" wp14:editId="62C6F2D3">
            <wp:extent cx="5274310" cy="6894830"/>
            <wp:effectExtent l="0" t="0" r="0" b="1270"/>
            <wp:docPr id="10" name="图片 10" descr="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背景图案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9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E5B" w:rsidRPr="00F3510F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/>
          <w:b/>
          <w:bCs/>
          <w:sz w:val="20"/>
          <w:szCs w:val="20"/>
        </w:rPr>
      </w:pP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2. </w:t>
      </w:r>
      <w:r>
        <w:rPr>
          <w:rFonts w:ascii="Times New Roman" w:hAnsi="Times New Roman"/>
          <w:b/>
          <w:bCs/>
          <w:sz w:val="20"/>
          <w:szCs w:val="20"/>
        </w:rPr>
        <w:t>T</w:t>
      </w:r>
      <w:r w:rsidRPr="00012548">
        <w:rPr>
          <w:rFonts w:ascii="Times New Roman" w:hAnsi="Times New Roman"/>
          <w:b/>
          <w:bCs/>
          <w:sz w:val="20"/>
          <w:szCs w:val="20"/>
        </w:rPr>
        <w:t>he expression</w:t>
      </w:r>
      <w:r>
        <w:rPr>
          <w:rFonts w:ascii="Times New Roman" w:hAnsi="Times New Roman"/>
          <w:b/>
          <w:bCs/>
          <w:sz w:val="20"/>
          <w:szCs w:val="20"/>
        </w:rPr>
        <w:t xml:space="preserve"> level</w:t>
      </w:r>
      <w:r w:rsidRPr="00012548">
        <w:rPr>
          <w:rFonts w:ascii="Times New Roman" w:hAnsi="Times New Roman"/>
          <w:b/>
          <w:bCs/>
          <w:sz w:val="20"/>
          <w:szCs w:val="20"/>
        </w:rPr>
        <w:t xml:space="preserve"> of </w:t>
      </w:r>
      <w:r>
        <w:rPr>
          <w:rFonts w:ascii="Times New Roman" w:hAnsi="Times New Roman" w:hint="eastAsia"/>
          <w:b/>
          <w:bCs/>
          <w:sz w:val="20"/>
          <w:szCs w:val="20"/>
        </w:rPr>
        <w:t>cytokines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showed no significant difference between the 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survival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and dea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th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groups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012548">
        <w:rPr>
          <w:rFonts w:ascii="Times New Roman" w:hAnsi="Times New Roman" w:cs="Times New Roman"/>
          <w:sz w:val="20"/>
          <w:szCs w:val="20"/>
        </w:rPr>
        <w:t xml:space="preserve">The transcription levels </w:t>
      </w:r>
      <w:r w:rsidRPr="00012548">
        <w:rPr>
          <w:rFonts w:ascii="Times New Roman" w:hAnsi="Times New Roman" w:cs="Times New Roman" w:hint="eastAsia"/>
          <w:sz w:val="20"/>
          <w:szCs w:val="20"/>
        </w:rPr>
        <w:t>o</w:t>
      </w:r>
      <w:r w:rsidRPr="00012548">
        <w:rPr>
          <w:rFonts w:ascii="Times New Roman" w:hAnsi="Times New Roman" w:cs="Times New Roman"/>
          <w:sz w:val="20"/>
          <w:szCs w:val="20"/>
        </w:rPr>
        <w:t xml:space="preserve">f </w:t>
      </w:r>
      <w:r w:rsidRPr="00012548">
        <w:rPr>
          <w:rFonts w:ascii="Times New Roman" w:hAnsi="Times New Roman" w:cs="Times New Roman" w:hint="eastAsia"/>
          <w:sz w:val="20"/>
          <w:szCs w:val="20"/>
        </w:rPr>
        <w:t>cytokin</w:t>
      </w:r>
      <w:r w:rsidRPr="00012548">
        <w:rPr>
          <w:rFonts w:ascii="Times New Roman" w:hAnsi="Times New Roman" w:cs="Times New Roman"/>
          <w:sz w:val="20"/>
          <w:szCs w:val="20"/>
        </w:rPr>
        <w:t xml:space="preserve">es </w:t>
      </w:r>
      <w:r w:rsidRPr="00012548">
        <w:rPr>
          <w:rFonts w:ascii="Times New Roman" w:hAnsi="Times New Roman" w:cs="Times New Roman" w:hint="eastAsia"/>
          <w:sz w:val="20"/>
          <w:szCs w:val="20"/>
        </w:rPr>
        <w:t>w</w:t>
      </w:r>
      <w:r w:rsidRPr="00012548">
        <w:rPr>
          <w:rFonts w:ascii="Times New Roman" w:hAnsi="Times New Roman" w:cs="Times New Roman"/>
          <w:sz w:val="20"/>
          <w:szCs w:val="20"/>
        </w:rPr>
        <w:t>ith average read counts greater than 5.</w:t>
      </w:r>
      <w:r w:rsidRPr="0001254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12548">
        <w:rPr>
          <w:rFonts w:ascii="Times New Roman" w:hAnsi="Times New Roman" w:cs="Times New Roman"/>
          <w:sz w:val="20"/>
          <w:szCs w:val="20"/>
        </w:rPr>
        <w:t>The abscissa shows the sample source, including live and dead COVID-19 patients, and the ordinate shows the gene transcription level (RNA-sequencing read counts). Significance was assessed by unpaired t-test with Welch’s correction. None of the p-values</w:t>
      </w:r>
      <w:r>
        <w:rPr>
          <w:rFonts w:ascii="Times New Roman" w:hAnsi="Times New Roman" w:cs="Times New Roman"/>
          <w:sz w:val="20"/>
          <w:szCs w:val="20"/>
        </w:rPr>
        <w:t xml:space="preserve"> were</w:t>
      </w:r>
      <w:r w:rsidRPr="00012548">
        <w:rPr>
          <w:rFonts w:ascii="Times New Roman" w:hAnsi="Times New Roman" w:cs="Times New Roman"/>
          <w:sz w:val="20"/>
          <w:szCs w:val="20"/>
        </w:rPr>
        <w:t xml:space="preserve"> &lt; 0.05 (between alive and dead groups).</w:t>
      </w:r>
    </w:p>
    <w:p w:rsidR="00335E5B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 wp14:anchorId="055E67BE" wp14:editId="11BE8465">
            <wp:extent cx="5274310" cy="5708650"/>
            <wp:effectExtent l="0" t="0" r="0" b="6350"/>
            <wp:docPr id="11" name="图片 11" descr="夜晚的城市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夜晚的城市&#10;&#10;中度可信度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E5B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/>
          <w:b/>
          <w:bCs/>
          <w:sz w:val="20"/>
          <w:szCs w:val="20"/>
        </w:rPr>
        <w:t>T</w:t>
      </w:r>
      <w:r w:rsidRPr="00012548">
        <w:rPr>
          <w:rFonts w:ascii="Times New Roman" w:hAnsi="Times New Roman"/>
          <w:b/>
          <w:bCs/>
          <w:sz w:val="20"/>
          <w:szCs w:val="20"/>
        </w:rPr>
        <w:t>he expression</w:t>
      </w:r>
      <w:r>
        <w:rPr>
          <w:rFonts w:ascii="Times New Roman" w:hAnsi="Times New Roman"/>
          <w:b/>
          <w:bCs/>
          <w:sz w:val="20"/>
          <w:szCs w:val="20"/>
        </w:rPr>
        <w:t xml:space="preserve"> level</w:t>
      </w:r>
      <w:r w:rsidRPr="00012548">
        <w:rPr>
          <w:rFonts w:ascii="Times New Roman" w:hAnsi="Times New Roman"/>
          <w:b/>
          <w:bCs/>
          <w:sz w:val="20"/>
          <w:szCs w:val="20"/>
        </w:rPr>
        <w:t xml:space="preserve"> of </w:t>
      </w:r>
      <w:r w:rsidRPr="00D755E0">
        <w:rPr>
          <w:rFonts w:ascii="Times New Roman" w:hAnsi="Times New Roman" w:cs="Times New Roman"/>
          <w:b/>
          <w:bCs/>
          <w:sz w:val="20"/>
          <w:szCs w:val="20"/>
        </w:rPr>
        <w:t>chemokines</w:t>
      </w:r>
      <w:r w:rsidRPr="00012548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showed no significant difference between the 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survival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and dea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th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groups</w:t>
      </w: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012548">
        <w:rPr>
          <w:rFonts w:ascii="Times New Roman" w:hAnsi="Times New Roman" w:cs="Times New Roman"/>
          <w:sz w:val="20"/>
          <w:szCs w:val="20"/>
        </w:rPr>
        <w:t xml:space="preserve">The transcription levels </w:t>
      </w:r>
      <w:r w:rsidRPr="00012548">
        <w:rPr>
          <w:rFonts w:ascii="Times New Roman" w:hAnsi="Times New Roman" w:cs="Times New Roman" w:hint="eastAsia"/>
          <w:sz w:val="20"/>
          <w:szCs w:val="20"/>
        </w:rPr>
        <w:t>o</w:t>
      </w:r>
      <w:r w:rsidRPr="00012548">
        <w:rPr>
          <w:rFonts w:ascii="Times New Roman" w:hAnsi="Times New Roman" w:cs="Times New Roman"/>
          <w:sz w:val="20"/>
          <w:szCs w:val="20"/>
        </w:rPr>
        <w:t xml:space="preserve">f </w:t>
      </w:r>
      <w:r w:rsidRPr="00D755E0">
        <w:rPr>
          <w:rFonts w:ascii="Times New Roman" w:hAnsi="Times New Roman" w:cs="Times New Roman"/>
          <w:sz w:val="20"/>
          <w:szCs w:val="20"/>
        </w:rPr>
        <w:t>chemokines</w:t>
      </w:r>
      <w:r w:rsidRPr="00012548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012548">
        <w:rPr>
          <w:rFonts w:ascii="Times New Roman" w:hAnsi="Times New Roman" w:cs="Times New Roman" w:hint="eastAsia"/>
          <w:sz w:val="20"/>
          <w:szCs w:val="20"/>
        </w:rPr>
        <w:t>w</w:t>
      </w:r>
      <w:r w:rsidRPr="00012548">
        <w:rPr>
          <w:rFonts w:ascii="Times New Roman" w:hAnsi="Times New Roman" w:cs="Times New Roman"/>
          <w:sz w:val="20"/>
          <w:szCs w:val="20"/>
        </w:rPr>
        <w:t>ith average read counts greater than 5.</w:t>
      </w:r>
      <w:r w:rsidRPr="0001254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12548">
        <w:rPr>
          <w:rFonts w:ascii="Times New Roman" w:hAnsi="Times New Roman" w:cs="Times New Roman"/>
          <w:sz w:val="20"/>
          <w:szCs w:val="20"/>
        </w:rPr>
        <w:t>The abscissa shows the sample source, including live and dead COVID-19 patients, and the ordinate shows the gene transcription level (RNA-sequencing read counts). Significance was assessed by unpaired t-test with Welch’s correction. None of the p-values</w:t>
      </w:r>
      <w:r>
        <w:rPr>
          <w:rFonts w:ascii="Times New Roman" w:hAnsi="Times New Roman" w:cs="Times New Roman"/>
          <w:sz w:val="20"/>
          <w:szCs w:val="20"/>
        </w:rPr>
        <w:t xml:space="preserve"> were</w:t>
      </w:r>
      <w:r w:rsidRPr="00012548">
        <w:rPr>
          <w:rFonts w:ascii="Times New Roman" w:hAnsi="Times New Roman" w:cs="Times New Roman"/>
          <w:sz w:val="20"/>
          <w:szCs w:val="20"/>
        </w:rPr>
        <w:t xml:space="preserve"> &lt; 0.05 (between alive and dead groups).</w:t>
      </w:r>
    </w:p>
    <w:p w:rsidR="00335E5B" w:rsidRPr="00012548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 wp14:anchorId="54E9DC26" wp14:editId="2AAF8642">
            <wp:extent cx="5274310" cy="6015990"/>
            <wp:effectExtent l="0" t="0" r="0" b="3810"/>
            <wp:docPr id="12" name="图片 12" descr="夜晚的城市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夜晚的城市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E5B" w:rsidRPr="002D5035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/>
          <w:b/>
          <w:bCs/>
          <w:sz w:val="20"/>
          <w:szCs w:val="20"/>
        </w:rPr>
        <w:t>T</w:t>
      </w:r>
      <w:r w:rsidRPr="00012548">
        <w:rPr>
          <w:rFonts w:ascii="Times New Roman" w:hAnsi="Times New Roman"/>
          <w:b/>
          <w:bCs/>
          <w:sz w:val="20"/>
          <w:szCs w:val="20"/>
        </w:rPr>
        <w:t>he expression</w:t>
      </w:r>
      <w:r>
        <w:rPr>
          <w:rFonts w:ascii="Times New Roman" w:hAnsi="Times New Roman"/>
          <w:b/>
          <w:bCs/>
          <w:sz w:val="20"/>
          <w:szCs w:val="20"/>
        </w:rPr>
        <w:t xml:space="preserve"> level</w:t>
      </w:r>
      <w:r w:rsidRPr="00012548">
        <w:rPr>
          <w:rFonts w:ascii="Times New Roman" w:hAnsi="Times New Roman"/>
          <w:b/>
          <w:bCs/>
          <w:sz w:val="20"/>
          <w:szCs w:val="20"/>
        </w:rPr>
        <w:t xml:space="preserve"> of </w:t>
      </w:r>
      <w:r w:rsidRPr="00D755E0">
        <w:rPr>
          <w:rFonts w:ascii="Times New Roman" w:hAnsi="Times New Roman" w:cs="Times New Roman"/>
          <w:b/>
          <w:bCs/>
          <w:sz w:val="20"/>
          <w:szCs w:val="20"/>
        </w:rPr>
        <w:t>adhesive molecules</w:t>
      </w:r>
      <w:r w:rsidRPr="00D755E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showed no significant difference between the 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survival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and dea</w:t>
      </w:r>
      <w:r w:rsidRPr="00F3510F">
        <w:rPr>
          <w:rFonts w:ascii="Times New Roman" w:hAnsi="Times New Roman" w:hint="eastAsia"/>
          <w:b/>
          <w:bCs/>
          <w:sz w:val="20"/>
          <w:szCs w:val="20"/>
        </w:rPr>
        <w:t>th</w:t>
      </w:r>
      <w:r w:rsidRPr="00F3510F">
        <w:rPr>
          <w:rFonts w:ascii="Times New Roman" w:hAnsi="Times New Roman"/>
          <w:b/>
          <w:bCs/>
          <w:sz w:val="20"/>
          <w:szCs w:val="20"/>
        </w:rPr>
        <w:t xml:space="preserve"> groups</w:t>
      </w:r>
      <w:r w:rsidRPr="00012548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012548">
        <w:rPr>
          <w:rFonts w:ascii="Times New Roman" w:hAnsi="Times New Roman" w:cs="Times New Roman"/>
          <w:sz w:val="20"/>
          <w:szCs w:val="20"/>
        </w:rPr>
        <w:t xml:space="preserve">The transcription levels </w:t>
      </w:r>
      <w:r w:rsidRPr="00012548">
        <w:rPr>
          <w:rFonts w:ascii="Times New Roman" w:hAnsi="Times New Roman" w:cs="Times New Roman" w:hint="eastAsia"/>
          <w:sz w:val="20"/>
          <w:szCs w:val="20"/>
        </w:rPr>
        <w:t>o</w:t>
      </w:r>
      <w:r w:rsidRPr="00012548">
        <w:rPr>
          <w:rFonts w:ascii="Times New Roman" w:hAnsi="Times New Roman" w:cs="Times New Roman"/>
          <w:sz w:val="20"/>
          <w:szCs w:val="20"/>
        </w:rPr>
        <w:t xml:space="preserve">f </w:t>
      </w:r>
      <w:r w:rsidRPr="00D755E0">
        <w:rPr>
          <w:rFonts w:ascii="Times New Roman" w:hAnsi="Times New Roman" w:cs="Times New Roman"/>
          <w:sz w:val="20"/>
          <w:szCs w:val="20"/>
        </w:rPr>
        <w:t>adhesive molecules</w:t>
      </w:r>
      <w:r w:rsidRPr="00D755E0">
        <w:rPr>
          <w:rFonts w:ascii="Times New Roman" w:hAnsi="Times New Roman"/>
          <w:sz w:val="20"/>
          <w:szCs w:val="20"/>
        </w:rPr>
        <w:t xml:space="preserve"> </w:t>
      </w:r>
      <w:r w:rsidRPr="00012548">
        <w:rPr>
          <w:rFonts w:ascii="Times New Roman" w:hAnsi="Times New Roman" w:cs="Times New Roman" w:hint="eastAsia"/>
          <w:sz w:val="20"/>
          <w:szCs w:val="20"/>
        </w:rPr>
        <w:t>w</w:t>
      </w:r>
      <w:r w:rsidRPr="00012548">
        <w:rPr>
          <w:rFonts w:ascii="Times New Roman" w:hAnsi="Times New Roman" w:cs="Times New Roman"/>
          <w:sz w:val="20"/>
          <w:szCs w:val="20"/>
        </w:rPr>
        <w:t>ith average read counts greater than 5.</w:t>
      </w:r>
      <w:r w:rsidRPr="0001254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12548">
        <w:rPr>
          <w:rFonts w:ascii="Times New Roman" w:hAnsi="Times New Roman" w:cs="Times New Roman"/>
          <w:sz w:val="20"/>
          <w:szCs w:val="20"/>
        </w:rPr>
        <w:t>The abscissa shows the sample source, including live and dead COVID-19 patients, and the ordinate shows the gene transcription level (RNA-sequencing read counts). Significance was assessed by unpaired t-test with Welch’s correction. None of the p-values</w:t>
      </w:r>
      <w:r>
        <w:rPr>
          <w:rFonts w:ascii="Times New Roman" w:hAnsi="Times New Roman" w:cs="Times New Roman"/>
          <w:sz w:val="20"/>
          <w:szCs w:val="20"/>
        </w:rPr>
        <w:t xml:space="preserve"> were</w:t>
      </w:r>
      <w:r w:rsidRPr="00012548">
        <w:rPr>
          <w:rFonts w:ascii="Times New Roman" w:hAnsi="Times New Roman" w:cs="Times New Roman"/>
          <w:sz w:val="20"/>
          <w:szCs w:val="20"/>
        </w:rPr>
        <w:t xml:space="preserve"> &lt; 0.05 (between alive and dead groups).</w:t>
      </w:r>
      <w:r w:rsidRPr="00012548"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:rsidR="00335E5B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 w:val="21"/>
          <w:szCs w:val="21"/>
          <w:lang w:eastAsia="en-US"/>
        </w:rPr>
        <w:lastRenderedPageBreak/>
        <w:drawing>
          <wp:inline distT="0" distB="0" distL="0" distR="0" wp14:anchorId="2ABE4D65" wp14:editId="61ABF71A">
            <wp:extent cx="5270500" cy="2098040"/>
            <wp:effectExtent l="0" t="0" r="0" b="0"/>
            <wp:docPr id="20" name="图片 20" descr="图片包含 游戏机, 游戏, 颜色, 彩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包含 游戏机, 游戏, 颜色, 彩色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E5B" w:rsidRPr="006E7014" w:rsidRDefault="00335E5B" w:rsidP="00335E5B">
      <w:pPr>
        <w:spacing w:beforeLines="50" w:before="156" w:after="50" w:line="36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012548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012548">
        <w:rPr>
          <w:rFonts w:ascii="Times New Roman" w:hAnsi="Times New Roman" w:cs="Times New Roman"/>
          <w:b/>
          <w:bCs/>
          <w:sz w:val="20"/>
          <w:szCs w:val="20"/>
        </w:rPr>
        <w:t>. The expression levels of costimulatory and coinhibitory molecules.</w:t>
      </w:r>
      <w:r w:rsidRPr="00012548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012548">
        <w:rPr>
          <w:rFonts w:ascii="Times New Roman" w:hAnsi="Times New Roman" w:cs="Times New Roman"/>
          <w:bCs/>
          <w:sz w:val="20"/>
          <w:szCs w:val="20"/>
        </w:rPr>
        <w:t xml:space="preserve">Heatmaps show the relative expression levels of </w:t>
      </w:r>
      <w:r w:rsidRPr="00012548">
        <w:rPr>
          <w:rFonts w:ascii="Times New Roman" w:hAnsi="Times New Roman" w:cs="Times New Roman"/>
          <w:b/>
          <w:sz w:val="20"/>
          <w:szCs w:val="20"/>
        </w:rPr>
        <w:t>(A)</w:t>
      </w:r>
      <w:r w:rsidRPr="00012548">
        <w:rPr>
          <w:rFonts w:ascii="Times New Roman" w:hAnsi="Times New Roman" w:cs="Times New Roman"/>
          <w:bCs/>
          <w:sz w:val="20"/>
          <w:szCs w:val="20"/>
        </w:rPr>
        <w:t xml:space="preserve"> costimulatory molecules and </w:t>
      </w:r>
      <w:r w:rsidRPr="00012548">
        <w:rPr>
          <w:rFonts w:ascii="Times New Roman" w:hAnsi="Times New Roman" w:cs="Times New Roman"/>
          <w:b/>
          <w:sz w:val="20"/>
          <w:szCs w:val="20"/>
        </w:rPr>
        <w:t>(B)</w:t>
      </w:r>
      <w:r w:rsidRPr="00012548">
        <w:rPr>
          <w:rFonts w:ascii="Times New Roman" w:hAnsi="Times New Roman" w:cs="Times New Roman"/>
          <w:bCs/>
          <w:sz w:val="20"/>
          <w:szCs w:val="20"/>
        </w:rPr>
        <w:t xml:space="preserve"> coinhibitory molecules. In the heatmap, each row depicts a different gene, and each column depicts an individual subject including healthy controls (HCs) and patients from two batches. The relative expression levels of genes were calculated as log</w:t>
      </w:r>
      <w:r w:rsidRPr="00012548">
        <w:rPr>
          <w:rFonts w:ascii="Times New Roman" w:hAnsi="Times New Roman" w:cs="Times New Roman"/>
          <w:bCs/>
          <w:sz w:val="20"/>
          <w:szCs w:val="20"/>
          <w:vertAlign w:val="subscript"/>
        </w:rPr>
        <w:t>10</w:t>
      </w:r>
      <w:r w:rsidRPr="00012548">
        <w:rPr>
          <w:rFonts w:ascii="Times New Roman" w:hAnsi="Times New Roman" w:cs="Times New Roman"/>
          <w:bCs/>
          <w:sz w:val="20"/>
          <w:szCs w:val="20"/>
        </w:rPr>
        <w:t>FPKM, standardized with the z-score method, and then presented with a pseudocolour scale from -3 to 3. Blue represents downregulation, and red represents upregulation.</w:t>
      </w:r>
    </w:p>
    <w:p w:rsidR="00F4526F" w:rsidRDefault="00F4526F">
      <w:bookmarkStart w:id="0" w:name="_GoBack"/>
      <w:bookmarkEnd w:id="0"/>
    </w:p>
    <w:sectPr w:rsidR="00F452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E5B"/>
    <w:rsid w:val="00335E5B"/>
    <w:rsid w:val="003A0A23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5997F-28B1-4D6D-A2CF-53C60006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E5B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381</Words>
  <Characters>2177</Characters>
  <Application>Microsoft Office Word</Application>
  <DocSecurity>0</DocSecurity>
  <Lines>18</Lines>
  <Paragraphs>5</Paragraphs>
  <ScaleCrop>false</ScaleCrop>
  <Company>Springer Nature</Company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2021-07-23T02:22:00Z</dcterms:created>
  <dcterms:modified xsi:type="dcterms:W3CDTF">2021-07-23T02:23:00Z</dcterms:modified>
</cp:coreProperties>
</file>