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28" w14:textId="3F5A6131" w:rsidR="007D4B0F" w:rsidRPr="007D4B0F" w:rsidRDefault="007D4B0F" w:rsidP="007D4B0F">
      <w:pPr>
        <w:tabs>
          <w:tab w:val="center" w:pos="4513"/>
          <w:tab w:val="left" w:pos="6344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7D4B0F">
        <w:rPr>
          <w:rFonts w:ascii="Times New Roman" w:hAnsi="Times New Roman" w:cs="Times New Roman"/>
          <w:b/>
          <w:bCs/>
          <w:sz w:val="32"/>
          <w:szCs w:val="32"/>
        </w:rPr>
        <w:tab/>
        <w:t>Supplementary material</w:t>
      </w:r>
      <w:r w:rsidRPr="007D4B0F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5D2931F8" w14:textId="77777777" w:rsidR="00F61E27" w:rsidRDefault="00F61E27" w:rsidP="0039609A">
      <w:pPr>
        <w:tabs>
          <w:tab w:val="center" w:pos="4513"/>
          <w:tab w:val="left" w:pos="6344"/>
        </w:tabs>
        <w:rPr>
          <w:rFonts w:ascii="Times New Roman" w:hAnsi="Times New Roman" w:cs="Times New Roman"/>
          <w:b/>
          <w:bCs/>
          <w:sz w:val="24"/>
        </w:rPr>
      </w:pPr>
    </w:p>
    <w:p w14:paraId="68D25E37" w14:textId="714D2D33" w:rsidR="0039609A" w:rsidRDefault="0039609A" w:rsidP="0039609A">
      <w:pPr>
        <w:tabs>
          <w:tab w:val="center" w:pos="4513"/>
          <w:tab w:val="left" w:pos="6344"/>
        </w:tabs>
        <w:rPr>
          <w:rFonts w:ascii="Times New Roman" w:hAnsi="Times New Roman" w:cs="Times New Roman"/>
          <w:b/>
          <w:bCs/>
          <w:sz w:val="24"/>
        </w:rPr>
      </w:pPr>
      <w:r w:rsidRPr="00CE1815">
        <w:rPr>
          <w:rFonts w:ascii="Times New Roman" w:hAnsi="Times New Roman" w:cs="Times New Roman" w:hint="eastAsia"/>
          <w:b/>
          <w:bCs/>
          <w:sz w:val="24"/>
        </w:rPr>
        <w:t xml:space="preserve">Note </w:t>
      </w:r>
      <w:r w:rsidR="002B4615">
        <w:rPr>
          <w:rFonts w:ascii="Times New Roman" w:hAnsi="Times New Roman" w:cs="Times New Roman" w:hint="eastAsia"/>
          <w:b/>
          <w:bCs/>
          <w:sz w:val="24"/>
        </w:rPr>
        <w:t>A</w:t>
      </w:r>
      <w:r w:rsidRPr="00CE1815">
        <w:rPr>
          <w:rFonts w:ascii="Times New Roman" w:hAnsi="Times New Roman" w:cs="Times New Roman" w:hint="eastAsia"/>
          <w:b/>
          <w:bCs/>
          <w:sz w:val="24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Details of Numerical </w:t>
      </w:r>
      <w:r w:rsidR="00DA3D8D">
        <w:rPr>
          <w:rFonts w:ascii="Times New Roman" w:hAnsi="Times New Roman" w:cs="Times New Roman"/>
          <w:b/>
          <w:bCs/>
          <w:sz w:val="24"/>
        </w:rPr>
        <w:t>Analysis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Model.</w:t>
      </w:r>
    </w:p>
    <w:p w14:paraId="1C70F6D2" w14:textId="77777777" w:rsidR="00F61E27" w:rsidRPr="00CE1815" w:rsidRDefault="00F61E27" w:rsidP="0039609A">
      <w:pPr>
        <w:tabs>
          <w:tab w:val="center" w:pos="4513"/>
          <w:tab w:val="left" w:pos="6344"/>
        </w:tabs>
        <w:rPr>
          <w:rFonts w:ascii="Times New Roman" w:hAnsi="Times New Roman" w:cs="Times New Roman"/>
          <w:b/>
          <w:bCs/>
          <w:sz w:val="24"/>
        </w:rPr>
      </w:pPr>
    </w:p>
    <w:p w14:paraId="56EBDA3F" w14:textId="09A0710B" w:rsidR="00F61E27" w:rsidRPr="00FF1996" w:rsidRDefault="00F61E27" w:rsidP="00F61E27">
      <w:pPr>
        <w:jc w:val="center"/>
        <w:rPr>
          <w:rFonts w:ascii="Times New Roman" w:hAnsi="Times New Roman" w:cs="Times New Roman"/>
          <w:color w:val="333333"/>
          <w:szCs w:val="20"/>
        </w:rPr>
      </w:pPr>
      <w:r w:rsidRPr="00057631">
        <w:rPr>
          <w:rFonts w:ascii="Times New Roman" w:hAnsi="Times New Roman" w:cs="Times New Roman" w:hint="eastAsia"/>
          <w:b/>
          <w:bCs/>
          <w:color w:val="333333"/>
          <w:szCs w:val="20"/>
        </w:rPr>
        <w:t>Table S</w:t>
      </w:r>
      <w:r w:rsidR="00B7722B">
        <w:rPr>
          <w:rFonts w:ascii="Times New Roman" w:hAnsi="Times New Roman" w:cs="Times New Roman" w:hint="eastAsia"/>
          <w:b/>
          <w:bCs/>
          <w:color w:val="333333"/>
          <w:szCs w:val="20"/>
        </w:rPr>
        <w:t>1</w:t>
      </w:r>
      <w:r w:rsidRPr="00FF1996">
        <w:rPr>
          <w:rFonts w:ascii="Times New Roman" w:hAnsi="Times New Roman" w:cs="Times New Roman" w:hint="eastAsia"/>
          <w:color w:val="333333"/>
          <w:szCs w:val="20"/>
        </w:rPr>
        <w:t xml:space="preserve">. Parameters for numerical </w:t>
      </w:r>
      <w:r w:rsidRPr="00FF1996">
        <w:rPr>
          <w:rFonts w:ascii="Times New Roman" w:hAnsi="Times New Roman" w:cs="Times New Roman"/>
          <w:color w:val="333333"/>
          <w:szCs w:val="20"/>
        </w:rPr>
        <w:t>analysis</w:t>
      </w:r>
      <w:r w:rsidRPr="00FF1996">
        <w:rPr>
          <w:rFonts w:ascii="Times New Roman" w:hAnsi="Times New Roman" w:cs="Times New Roman" w:hint="eastAsia"/>
          <w:color w:val="333333"/>
          <w:szCs w:val="20"/>
        </w:rPr>
        <w:t>: bipolar charge transport</w:t>
      </w:r>
      <w:r w:rsidR="004C484E">
        <w:rPr>
          <w:rFonts w:ascii="Times New Roman" w:hAnsi="Times New Roman" w:cs="Times New Roman" w:hint="eastAsia"/>
          <w:color w:val="333333"/>
          <w:szCs w:val="20"/>
        </w:rPr>
        <w:t xml:space="preserve"> (BCT)</w:t>
      </w:r>
      <w:r w:rsidRPr="00FF1996">
        <w:rPr>
          <w:rFonts w:ascii="Times New Roman" w:hAnsi="Times New Roman" w:cs="Times New Roman" w:hint="eastAsia"/>
          <w:color w:val="333333"/>
          <w:szCs w:val="20"/>
        </w:rPr>
        <w:t xml:space="preserve"> model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969"/>
        <w:gridCol w:w="964"/>
        <w:gridCol w:w="1361"/>
        <w:gridCol w:w="1644"/>
      </w:tblGrid>
      <w:tr w:rsidR="00FC299D" w:rsidRPr="0004028D" w14:paraId="24C0E731" w14:textId="6527C1D1" w:rsidTr="007F17BF">
        <w:trPr>
          <w:trHeight w:val="836"/>
          <w:jc w:val="center"/>
        </w:trPr>
        <w:tc>
          <w:tcPr>
            <w:tcW w:w="4957" w:type="dxa"/>
            <w:gridSpan w:val="2"/>
            <w:vAlign w:val="center"/>
          </w:tcPr>
          <w:p w14:paraId="60CFA5C3" w14:textId="2F716D27" w:rsidR="00FC299D" w:rsidRPr="0004028D" w:rsidRDefault="00FC299D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04028D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Parameter</w:t>
            </w:r>
          </w:p>
        </w:tc>
        <w:tc>
          <w:tcPr>
            <w:tcW w:w="964" w:type="dxa"/>
            <w:vAlign w:val="center"/>
            <w:hideMark/>
          </w:tcPr>
          <w:p w14:paraId="19170FAC" w14:textId="77777777" w:rsidR="00FC299D" w:rsidRPr="0004028D" w:rsidRDefault="00FC299D" w:rsidP="004C1363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04028D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Unit</w:t>
            </w:r>
          </w:p>
        </w:tc>
        <w:tc>
          <w:tcPr>
            <w:tcW w:w="1361" w:type="dxa"/>
            <w:vAlign w:val="center"/>
          </w:tcPr>
          <w:p w14:paraId="5912043F" w14:textId="60388D46" w:rsidR="00FC299D" w:rsidRPr="0004028D" w:rsidRDefault="00FC299D" w:rsidP="00F61E27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Values</w:t>
            </w:r>
          </w:p>
        </w:tc>
        <w:tc>
          <w:tcPr>
            <w:tcW w:w="1644" w:type="dxa"/>
            <w:vAlign w:val="center"/>
          </w:tcPr>
          <w:p w14:paraId="41434AF0" w14:textId="770E7F3F" w:rsidR="00FC299D" w:rsidRPr="0004028D" w:rsidRDefault="00FC299D" w:rsidP="00F61E27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References</w:t>
            </w:r>
          </w:p>
        </w:tc>
      </w:tr>
      <w:tr w:rsidR="00FC299D" w:rsidRPr="00EB22EE" w14:paraId="21C24074" w14:textId="3687DD4F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5D0127A5" w14:textId="77777777" w:rsidR="00FC299D" w:rsidRDefault="00FC299D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6C8BF61E" w14:textId="0553055B" w:rsidR="00FC299D" w:rsidRPr="00EB22EE" w:rsidRDefault="00FC299D" w:rsidP="004C1363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Voltage ramp rate</w:t>
            </w:r>
          </w:p>
        </w:tc>
        <w:tc>
          <w:tcPr>
            <w:tcW w:w="964" w:type="dxa"/>
          </w:tcPr>
          <w:p w14:paraId="506DDCF3" w14:textId="77777777" w:rsidR="00FC299D" w:rsidRPr="00EB22EE" w:rsidRDefault="00FC299D" w:rsidP="004C1363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V/s</w:t>
            </w:r>
          </w:p>
        </w:tc>
        <w:tc>
          <w:tcPr>
            <w:tcW w:w="1361" w:type="dxa"/>
            <w:vAlign w:val="center"/>
          </w:tcPr>
          <w:p w14:paraId="31EE0E4E" w14:textId="76521255" w:rsidR="00FC299D" w:rsidRDefault="00FC299D" w:rsidP="00C07B26">
            <w:pPr>
              <w:tabs>
                <w:tab w:val="left" w:pos="737"/>
              </w:tabs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500V/s</w:t>
            </w:r>
          </w:p>
        </w:tc>
        <w:tc>
          <w:tcPr>
            <w:tcW w:w="1644" w:type="dxa"/>
            <w:vAlign w:val="center"/>
          </w:tcPr>
          <w:p w14:paraId="1541F86B" w14:textId="77777777" w:rsidR="00FC299D" w:rsidRDefault="00FC299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</w:p>
        </w:tc>
      </w:tr>
      <w:tr w:rsidR="00FC299D" w:rsidRPr="0004028D" w14:paraId="1445E864" w14:textId="1EE3D6BF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078D5B3E" w14:textId="4AE1C490" w:rsidR="00FC299D" w:rsidRPr="00FC299D" w:rsidRDefault="00FC299D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FC299D">
              <w:rPr>
                <w:rFonts w:ascii="Times New Roman" w:eastAsia="MS Gothic" w:hAnsi="Times New Roman" w:cs="Times New Roman"/>
                <w:color w:val="333333"/>
                <w:szCs w:val="20"/>
                <w:lang w:val="en-GB"/>
              </w:rPr>
              <w:t>ε</w:t>
            </w:r>
            <w:r w:rsidRPr="00FC299D">
              <w:rPr>
                <w:rFonts w:ascii="Times New Roman" w:hAnsi="Times New Roman" w:cs="Times New Roman"/>
                <w:color w:val="333333"/>
                <w:szCs w:val="20"/>
                <w:vertAlign w:val="subscript"/>
                <w:lang w:val="en-GB"/>
              </w:rPr>
              <w:t>r</w:t>
            </w:r>
          </w:p>
        </w:tc>
        <w:tc>
          <w:tcPr>
            <w:tcW w:w="3969" w:type="dxa"/>
            <w:vAlign w:val="center"/>
            <w:hideMark/>
          </w:tcPr>
          <w:p w14:paraId="342F6461" w14:textId="105AD440" w:rsidR="00FC299D" w:rsidRPr="0004028D" w:rsidRDefault="00FC299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Relative permittivity</w:t>
            </w:r>
          </w:p>
        </w:tc>
        <w:tc>
          <w:tcPr>
            <w:tcW w:w="964" w:type="dxa"/>
            <w:vAlign w:val="center"/>
          </w:tcPr>
          <w:p w14:paraId="192AA699" w14:textId="77777777" w:rsidR="00FC299D" w:rsidRPr="0004028D" w:rsidRDefault="00FC299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-</w:t>
            </w:r>
          </w:p>
        </w:tc>
        <w:tc>
          <w:tcPr>
            <w:tcW w:w="1361" w:type="dxa"/>
            <w:vAlign w:val="center"/>
          </w:tcPr>
          <w:p w14:paraId="7C629F68" w14:textId="63AC2E29" w:rsidR="00FC299D" w:rsidRPr="00EB22EE" w:rsidRDefault="00FC299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2.35</w:t>
            </w:r>
          </w:p>
        </w:tc>
        <w:tc>
          <w:tcPr>
            <w:tcW w:w="1644" w:type="dxa"/>
            <w:vAlign w:val="center"/>
          </w:tcPr>
          <w:p w14:paraId="73719C2A" w14:textId="7B31CA9E" w:rsidR="00F5433E" w:rsidRDefault="00EC3848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2.3-</w:t>
            </w:r>
            <w:r w:rsidR="00E21D0D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 xml:space="preserve">2.35 </w:t>
            </w:r>
          </w:p>
          <w:p w14:paraId="25B227DE" w14:textId="09A19BFB" w:rsidR="00FC299D" w:rsidRPr="00EB22EE" w:rsidRDefault="00E21D0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[1]</w:t>
            </w:r>
            <w:r w:rsidR="00EC3848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, [7], [8]</w:t>
            </w:r>
          </w:p>
        </w:tc>
      </w:tr>
      <w:tr w:rsidR="00216A1D" w:rsidRPr="0004028D" w14:paraId="7623BCD8" w14:textId="3EB03841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659BC2A7" w14:textId="49E81A88" w:rsidR="00216A1D" w:rsidRPr="00FC299D" w:rsidRDefault="00000000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color w:val="000000"/>
                      </w:rPr>
                      <m:t>Φ</m:t>
                    </m:r>
                  </m:e>
                  <m:sub>
                    <m:r>
                      <w:rPr>
                        <w:rFonts w:ascii="Cambria Math" w:cs="Times New Roman"/>
                        <w:color w:val="000000"/>
                      </w:rPr>
                      <m:t>A(</m:t>
                    </m:r>
                    <m:r>
                      <w:rPr>
                        <w:rFonts w:ascii="Cambria Math" w:hAnsi="Cambria Math" w:cs="Cambria Math"/>
                        <w:color w:val="000000"/>
                      </w:rPr>
                      <m:t>h</m:t>
                    </m:r>
                    <m:r>
                      <w:rPr>
                        <w:rFonts w:ascii="Cambria Math" w:cs="Times New Roman"/>
                        <w:color w:val="000000"/>
                      </w:rPr>
                      <m:t>)</m:t>
                    </m:r>
                  </m:sub>
                </m:sSub>
              </m:oMath>
            </m:oMathPara>
          </w:p>
        </w:tc>
        <w:tc>
          <w:tcPr>
            <w:tcW w:w="3969" w:type="dxa"/>
            <w:hideMark/>
          </w:tcPr>
          <w:p w14:paraId="58F10FA1" w14:textId="54F211A5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Injection barrier height (anode)</w:t>
            </w:r>
          </w:p>
        </w:tc>
        <w:tc>
          <w:tcPr>
            <w:tcW w:w="964" w:type="dxa"/>
            <w:hideMark/>
          </w:tcPr>
          <w:p w14:paraId="32F18262" w14:textId="77777777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eV</w:t>
            </w:r>
          </w:p>
        </w:tc>
        <w:tc>
          <w:tcPr>
            <w:tcW w:w="1361" w:type="dxa"/>
          </w:tcPr>
          <w:p w14:paraId="4B343C80" w14:textId="5F73C152" w:rsidR="00216A1D" w:rsidRPr="00EB22EE" w:rsidRDefault="00216A1D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1.13</w:t>
            </w:r>
          </w:p>
        </w:tc>
        <w:tc>
          <w:tcPr>
            <w:tcW w:w="1644" w:type="dxa"/>
            <w:vMerge w:val="restart"/>
            <w:vAlign w:val="center"/>
          </w:tcPr>
          <w:p w14:paraId="1D6551AA" w14:textId="7F471A40" w:rsidR="00F5433E" w:rsidRDefault="00EC3848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1.1</w:t>
            </w:r>
            <w:r w:rsidR="00216A1D"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~1.</w:t>
            </w: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29</w:t>
            </w:r>
            <w:r w:rsidR="00216A1D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 xml:space="preserve"> </w:t>
            </w:r>
          </w:p>
          <w:p w14:paraId="096AEFD5" w14:textId="71965D6B" w:rsidR="00216A1D" w:rsidRPr="00EB22EE" w:rsidRDefault="00216A1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[</w:t>
            </w: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]-[</w:t>
            </w:r>
            <w:r w:rsidR="00FD6EDC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8</w:t>
            </w: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]</w:t>
            </w:r>
          </w:p>
        </w:tc>
      </w:tr>
      <w:tr w:rsidR="00216A1D" w:rsidRPr="0004028D" w14:paraId="557D82B4" w14:textId="667F662A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1C8AE92D" w14:textId="175F4F89" w:rsidR="00216A1D" w:rsidRPr="00FC299D" w:rsidRDefault="00000000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color w:val="000000"/>
                      </w:rPr>
                      <m:t>Φ</m:t>
                    </m:r>
                  </m:e>
                  <m:sub>
                    <m:r>
                      <w:rPr>
                        <w:rFonts w:ascii="Cambria Math" w:cs="Times New Roman"/>
                        <w:color w:val="000000"/>
                      </w:rPr>
                      <m:t>K(e)</m:t>
                    </m:r>
                  </m:sub>
                </m:sSub>
              </m:oMath>
            </m:oMathPara>
          </w:p>
        </w:tc>
        <w:tc>
          <w:tcPr>
            <w:tcW w:w="3969" w:type="dxa"/>
            <w:hideMark/>
          </w:tcPr>
          <w:p w14:paraId="5410A31A" w14:textId="23876719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Injection barrier height (cathode)</w:t>
            </w:r>
          </w:p>
        </w:tc>
        <w:tc>
          <w:tcPr>
            <w:tcW w:w="964" w:type="dxa"/>
            <w:hideMark/>
          </w:tcPr>
          <w:p w14:paraId="1D4E075F" w14:textId="77777777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eV</w:t>
            </w:r>
          </w:p>
        </w:tc>
        <w:tc>
          <w:tcPr>
            <w:tcW w:w="1361" w:type="dxa"/>
          </w:tcPr>
          <w:p w14:paraId="16C8E474" w14:textId="76CC4C3D" w:rsidR="00216A1D" w:rsidRPr="00EB22EE" w:rsidRDefault="00216A1D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1.13</w:t>
            </w:r>
          </w:p>
        </w:tc>
        <w:tc>
          <w:tcPr>
            <w:tcW w:w="1644" w:type="dxa"/>
            <w:vMerge/>
            <w:vAlign w:val="center"/>
          </w:tcPr>
          <w:p w14:paraId="407F4468" w14:textId="77777777" w:rsidR="00216A1D" w:rsidRPr="00EB22EE" w:rsidRDefault="00216A1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</w:p>
        </w:tc>
      </w:tr>
      <w:tr w:rsidR="00F5433E" w:rsidRPr="0004028D" w14:paraId="17F18F6E" w14:textId="6D7019E1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21C23235" w14:textId="0A2FFB56" w:rsidR="00F5433E" w:rsidRPr="00FC299D" w:rsidRDefault="00000000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color w:val="000000"/>
                      </w:rPr>
                      <m:t>μ</m:t>
                    </m:r>
                  </m:e>
                  <m:sub>
                    <m:r>
                      <w:rPr>
                        <w:rFonts w:ascii="Cambria Math" w:cs="Times New Roman"/>
                        <w:color w:val="000000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3969" w:type="dxa"/>
            <w:hideMark/>
          </w:tcPr>
          <w:p w14:paraId="4B0C2043" w14:textId="18201494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Mobility (electron)</w:t>
            </w: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 xml:space="preserve"> x10</w:t>
            </w:r>
            <w:r w:rsidRPr="00AE7F7D"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-15</w:t>
            </w:r>
          </w:p>
        </w:tc>
        <w:tc>
          <w:tcPr>
            <w:tcW w:w="964" w:type="dxa"/>
            <w:hideMark/>
          </w:tcPr>
          <w:p w14:paraId="2B3E8142" w14:textId="77777777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m</w:t>
            </w: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2</w:t>
            </w: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/V</w:t>
            </w:r>
            <m:oMath>
              <m:r>
                <w:rPr>
                  <w:rFonts w:ascii="Cambria Math" w:hAnsi="Cambria Math" w:cs="Times New Roman"/>
                  <w:color w:val="333333"/>
                  <w:szCs w:val="20"/>
                  <w:lang w:val="en-GB"/>
                </w:rPr>
                <m:t>∙s</m:t>
              </m:r>
            </m:oMath>
          </w:p>
        </w:tc>
        <w:tc>
          <w:tcPr>
            <w:tcW w:w="1361" w:type="dxa"/>
          </w:tcPr>
          <w:p w14:paraId="3DE2D130" w14:textId="1695BE1E" w:rsidR="00F5433E" w:rsidRPr="00EB22EE" w:rsidRDefault="00F5433E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6.17</w:t>
            </w:r>
          </w:p>
        </w:tc>
        <w:tc>
          <w:tcPr>
            <w:tcW w:w="1644" w:type="dxa"/>
            <w:vMerge w:val="restart"/>
            <w:vAlign w:val="center"/>
          </w:tcPr>
          <w:p w14:paraId="1B93C4A4" w14:textId="6C9C8F2E" w:rsidR="00F5433E" w:rsidRPr="00A84D30" w:rsidRDefault="00F5433E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vertAlign w:val="superscript"/>
                <w:lang w:val="en-GB"/>
              </w:rPr>
            </w:pPr>
            <w:r w:rsidRPr="00A84D30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0.8~</w:t>
            </w:r>
            <w:r w:rsidR="00EC3848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30</w:t>
            </w:r>
            <w:r w:rsidRPr="00A84D30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x10</w:t>
            </w:r>
            <w:r w:rsidRPr="00A84D30">
              <w:rPr>
                <w:rFonts w:ascii="Times New Roman" w:hAnsi="Times New Roman" w:cs="Times New Roman"/>
                <w:color w:val="333333"/>
                <w:szCs w:val="20"/>
                <w:vertAlign w:val="superscript"/>
                <w:lang w:val="en-GB"/>
              </w:rPr>
              <w:t>-15</w:t>
            </w:r>
          </w:p>
          <w:p w14:paraId="009DAD40" w14:textId="7D5B25DC" w:rsidR="00F5433E" w:rsidRPr="00F5433E" w:rsidRDefault="00EC3848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[2], [3], [6], [8]</w:t>
            </w:r>
          </w:p>
        </w:tc>
      </w:tr>
      <w:tr w:rsidR="00F5433E" w:rsidRPr="0004028D" w14:paraId="7FCBEADC" w14:textId="3C0C21EE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319A1FA4" w14:textId="4EE9388B" w:rsidR="00F5433E" w:rsidRPr="00FC299D" w:rsidRDefault="00000000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color w:val="00000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3969" w:type="dxa"/>
            <w:hideMark/>
          </w:tcPr>
          <w:p w14:paraId="29182942" w14:textId="320CD6D3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Mobility</w:t>
            </w: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 xml:space="preserve"> (hole)</w:t>
            </w: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 xml:space="preserve"> x10</w:t>
            </w:r>
            <w:r w:rsidRPr="00AE7F7D"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-15</w:t>
            </w:r>
          </w:p>
        </w:tc>
        <w:tc>
          <w:tcPr>
            <w:tcW w:w="964" w:type="dxa"/>
            <w:hideMark/>
          </w:tcPr>
          <w:p w14:paraId="1EF38898" w14:textId="77777777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EB22EE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m</w:t>
            </w: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2</w:t>
            </w:r>
            <w:r w:rsidRPr="00EB22EE"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/V</w:t>
            </w:r>
            <m:oMath>
              <m:r>
                <w:rPr>
                  <w:rFonts w:ascii="Cambria Math" w:hAnsi="Cambria Math" w:cs="Times New Roman"/>
                  <w:color w:val="333333"/>
                  <w:szCs w:val="20"/>
                  <w:lang w:val="en-GB"/>
                </w:rPr>
                <m:t>∙s</m:t>
              </m:r>
            </m:oMath>
          </w:p>
        </w:tc>
        <w:tc>
          <w:tcPr>
            <w:tcW w:w="1361" w:type="dxa"/>
          </w:tcPr>
          <w:p w14:paraId="6724F94A" w14:textId="09AB456A" w:rsidR="00F5433E" w:rsidRPr="00EB22EE" w:rsidRDefault="00F5433E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6.17</w:t>
            </w:r>
          </w:p>
        </w:tc>
        <w:tc>
          <w:tcPr>
            <w:tcW w:w="1644" w:type="dxa"/>
            <w:vMerge/>
            <w:vAlign w:val="center"/>
          </w:tcPr>
          <w:p w14:paraId="387E6B59" w14:textId="77777777" w:rsidR="00F5433E" w:rsidRPr="00EB22EE" w:rsidRDefault="00F5433E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</w:p>
        </w:tc>
      </w:tr>
      <w:tr w:rsidR="00F5433E" w:rsidRPr="0004028D" w14:paraId="367ABF0D" w14:textId="64E90A00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5E423326" w14:textId="6DA522EC" w:rsidR="00F5433E" w:rsidRPr="00FC299D" w:rsidRDefault="007F17BF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N</w:t>
            </w:r>
            <w:r w:rsidRPr="007F17BF">
              <w:rPr>
                <w:rFonts w:ascii="Times New Roman" w:hAnsi="Times New Roman" w:cs="Times New Roman" w:hint="eastAsia"/>
                <w:color w:val="333333"/>
                <w:szCs w:val="20"/>
                <w:vertAlign w:val="subscript"/>
                <w:lang w:val="en-GB"/>
              </w:rPr>
              <w:t>T</w:t>
            </w:r>
          </w:p>
        </w:tc>
        <w:tc>
          <w:tcPr>
            <w:tcW w:w="3969" w:type="dxa"/>
            <w:hideMark/>
          </w:tcPr>
          <w:p w14:paraId="4CFDEA3D" w14:textId="00BC98E5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Deep trap density (electron)</w:t>
            </w:r>
          </w:p>
        </w:tc>
        <w:tc>
          <w:tcPr>
            <w:tcW w:w="964" w:type="dxa"/>
            <w:hideMark/>
          </w:tcPr>
          <w:p w14:paraId="44100ACA" w14:textId="77777777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C</w:t>
            </w:r>
            <m:oMath>
              <m:r>
                <w:rPr>
                  <w:rFonts w:ascii="Cambria Math" w:hAnsi="Cambria Math" w:cs="Times New Roman"/>
                  <w:color w:val="333333"/>
                  <w:szCs w:val="20"/>
                  <w:lang w:val="en-GB"/>
                </w:rPr>
                <m:t>∙</m:t>
              </m:r>
            </m:oMath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m</w:t>
            </w:r>
            <w:r w:rsidRPr="005D6C72"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-3</w:t>
            </w:r>
          </w:p>
        </w:tc>
        <w:tc>
          <w:tcPr>
            <w:tcW w:w="1361" w:type="dxa"/>
          </w:tcPr>
          <w:p w14:paraId="10AA6C9F" w14:textId="0A92B60C" w:rsidR="00F5433E" w:rsidRDefault="00F5433E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100</w:t>
            </w:r>
          </w:p>
        </w:tc>
        <w:tc>
          <w:tcPr>
            <w:tcW w:w="1644" w:type="dxa"/>
            <w:vMerge w:val="restart"/>
            <w:vAlign w:val="center"/>
          </w:tcPr>
          <w:p w14:paraId="08FE2AB7" w14:textId="30789D87" w:rsidR="00F5433E" w:rsidRPr="00A84D30" w:rsidRDefault="00F5433E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 w:rsidRPr="00A84D30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100~169</w:t>
            </w:r>
          </w:p>
          <w:p w14:paraId="5B318594" w14:textId="76D4ADC4" w:rsidR="00F5433E" w:rsidRPr="00F5433E" w:rsidRDefault="00EC3848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[2]-</w:t>
            </w:r>
            <w:r w:rsidR="00F5433E" w:rsidRPr="00F5433E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[4]</w:t>
            </w: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, [6]-[8]</w:t>
            </w:r>
          </w:p>
        </w:tc>
      </w:tr>
      <w:tr w:rsidR="00F5433E" w:rsidRPr="0004028D" w14:paraId="5BDD73D5" w14:textId="15DE67F8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2446F17D" w14:textId="215519C8" w:rsidR="00F5433E" w:rsidRPr="00FC299D" w:rsidRDefault="007F17BF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N</w:t>
            </w:r>
            <w:r w:rsidRPr="007F17BF">
              <w:rPr>
                <w:rFonts w:ascii="Times New Roman" w:hAnsi="Times New Roman" w:cs="Times New Roman" w:hint="eastAsia"/>
                <w:color w:val="333333"/>
                <w:szCs w:val="20"/>
                <w:vertAlign w:val="subscript"/>
                <w:lang w:val="en-GB"/>
              </w:rPr>
              <w:t>T</w:t>
            </w:r>
          </w:p>
        </w:tc>
        <w:tc>
          <w:tcPr>
            <w:tcW w:w="3969" w:type="dxa"/>
            <w:hideMark/>
          </w:tcPr>
          <w:p w14:paraId="1E001D22" w14:textId="2CB12E38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Deep trap density (hole)</w:t>
            </w:r>
          </w:p>
        </w:tc>
        <w:tc>
          <w:tcPr>
            <w:tcW w:w="964" w:type="dxa"/>
          </w:tcPr>
          <w:p w14:paraId="056A58CD" w14:textId="77777777" w:rsidR="00F5433E" w:rsidRPr="0004028D" w:rsidRDefault="00F5433E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C</w:t>
            </w:r>
            <m:oMath>
              <m:r>
                <w:rPr>
                  <w:rFonts w:ascii="Cambria Math" w:hAnsi="Cambria Math" w:cs="Times New Roman"/>
                  <w:color w:val="333333"/>
                  <w:szCs w:val="20"/>
                  <w:lang w:val="en-GB"/>
                </w:rPr>
                <m:t>∙</m:t>
              </m:r>
            </m:oMath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m</w:t>
            </w:r>
            <w:r w:rsidRPr="005D6C72"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-3</w:t>
            </w:r>
          </w:p>
        </w:tc>
        <w:tc>
          <w:tcPr>
            <w:tcW w:w="1361" w:type="dxa"/>
          </w:tcPr>
          <w:p w14:paraId="60BBB823" w14:textId="395EA93A" w:rsidR="00F5433E" w:rsidRDefault="00F5433E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100</w:t>
            </w:r>
          </w:p>
        </w:tc>
        <w:tc>
          <w:tcPr>
            <w:tcW w:w="1644" w:type="dxa"/>
            <w:vMerge/>
            <w:vAlign w:val="center"/>
          </w:tcPr>
          <w:p w14:paraId="10474979" w14:textId="77777777" w:rsidR="00F5433E" w:rsidRDefault="00F5433E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</w:p>
        </w:tc>
      </w:tr>
      <w:tr w:rsidR="00216A1D" w:rsidRPr="0004028D" w14:paraId="18117256" w14:textId="19DA5929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4BFB14B6" w14:textId="07A5CBB3" w:rsidR="00216A1D" w:rsidRPr="00FC299D" w:rsidRDefault="007F17BF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E</w:t>
            </w:r>
            <w:r w:rsidRPr="007F17BF">
              <w:rPr>
                <w:rFonts w:ascii="Times New Roman" w:hAnsi="Times New Roman" w:cs="Times New Roman" w:hint="eastAsia"/>
                <w:color w:val="333333"/>
                <w:szCs w:val="20"/>
                <w:vertAlign w:val="subscript"/>
                <w:lang w:val="en-GB"/>
              </w:rPr>
              <w:t>T</w:t>
            </w:r>
          </w:p>
        </w:tc>
        <w:tc>
          <w:tcPr>
            <w:tcW w:w="3969" w:type="dxa"/>
            <w:hideMark/>
          </w:tcPr>
          <w:p w14:paraId="59B19788" w14:textId="50AB0567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Deep trap energy (electron)</w:t>
            </w:r>
          </w:p>
        </w:tc>
        <w:tc>
          <w:tcPr>
            <w:tcW w:w="964" w:type="dxa"/>
            <w:hideMark/>
          </w:tcPr>
          <w:p w14:paraId="0D0F1E7E" w14:textId="77777777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eV</w:t>
            </w:r>
          </w:p>
        </w:tc>
        <w:tc>
          <w:tcPr>
            <w:tcW w:w="1361" w:type="dxa"/>
          </w:tcPr>
          <w:p w14:paraId="772093F9" w14:textId="5F2D265A" w:rsidR="00216A1D" w:rsidRDefault="00216A1D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0.987</w:t>
            </w:r>
          </w:p>
        </w:tc>
        <w:tc>
          <w:tcPr>
            <w:tcW w:w="1644" w:type="dxa"/>
            <w:vMerge w:val="restart"/>
            <w:vAlign w:val="center"/>
          </w:tcPr>
          <w:p w14:paraId="45BC2687" w14:textId="09634311" w:rsidR="00EC3848" w:rsidRDefault="00216A1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0</w:t>
            </w: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.</w:t>
            </w:r>
            <w:r w:rsidR="00EC3848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93~1.00</w:t>
            </w:r>
            <w: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 xml:space="preserve"> </w:t>
            </w:r>
          </w:p>
          <w:p w14:paraId="689B4831" w14:textId="348360E2" w:rsidR="00216A1D" w:rsidRDefault="00216A1D" w:rsidP="00F5433E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[2]</w:t>
            </w:r>
            <w:r w:rsidR="00EC3848"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  <w:t>, [3], [7], [8]</w:t>
            </w:r>
          </w:p>
        </w:tc>
      </w:tr>
      <w:tr w:rsidR="00216A1D" w:rsidRPr="0004028D" w14:paraId="04155BE0" w14:textId="282D78E3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614248C9" w14:textId="3137D0E2" w:rsidR="00216A1D" w:rsidRPr="00FC299D" w:rsidRDefault="007F17BF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E</w:t>
            </w:r>
            <w:r w:rsidRPr="007F17BF">
              <w:rPr>
                <w:rFonts w:ascii="Times New Roman" w:hAnsi="Times New Roman" w:cs="Times New Roman" w:hint="eastAsia"/>
                <w:color w:val="333333"/>
                <w:szCs w:val="20"/>
                <w:vertAlign w:val="subscript"/>
                <w:lang w:val="en-GB"/>
              </w:rPr>
              <w:t>T</w:t>
            </w:r>
          </w:p>
        </w:tc>
        <w:tc>
          <w:tcPr>
            <w:tcW w:w="3969" w:type="dxa"/>
            <w:hideMark/>
          </w:tcPr>
          <w:p w14:paraId="705C074F" w14:textId="7A567137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Deep trap energy (hole)</w:t>
            </w:r>
          </w:p>
        </w:tc>
        <w:tc>
          <w:tcPr>
            <w:tcW w:w="964" w:type="dxa"/>
            <w:hideMark/>
          </w:tcPr>
          <w:p w14:paraId="15915923" w14:textId="77777777" w:rsidR="00216A1D" w:rsidRPr="0004028D" w:rsidRDefault="00216A1D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eV</w:t>
            </w:r>
          </w:p>
        </w:tc>
        <w:tc>
          <w:tcPr>
            <w:tcW w:w="1361" w:type="dxa"/>
          </w:tcPr>
          <w:p w14:paraId="34DAF1FD" w14:textId="62253A09" w:rsidR="00216A1D" w:rsidRDefault="00216A1D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0.987</w:t>
            </w:r>
          </w:p>
        </w:tc>
        <w:tc>
          <w:tcPr>
            <w:tcW w:w="1644" w:type="dxa"/>
            <w:vMerge/>
          </w:tcPr>
          <w:p w14:paraId="73836451" w14:textId="220964F0" w:rsidR="00216A1D" w:rsidRDefault="00216A1D" w:rsidP="00E21D0D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</w:p>
        </w:tc>
      </w:tr>
      <w:tr w:rsidR="007F17BF" w:rsidRPr="0004028D" w14:paraId="557B18A5" w14:textId="77777777" w:rsidTr="007F17BF">
        <w:trPr>
          <w:trHeight w:val="20"/>
          <w:jc w:val="center"/>
        </w:trPr>
        <w:tc>
          <w:tcPr>
            <w:tcW w:w="988" w:type="dxa"/>
            <w:vAlign w:val="center"/>
          </w:tcPr>
          <w:p w14:paraId="6053A0A8" w14:textId="74D6F8F0" w:rsidR="007F17BF" w:rsidRPr="00FC299D" w:rsidRDefault="00000000" w:rsidP="00FC299D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333333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333333"/>
                        <w:szCs w:val="20"/>
                        <w:lang w:val="en-GB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333333"/>
                        <w:szCs w:val="20"/>
                        <w:lang w:val="en-GB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3969" w:type="dxa"/>
          </w:tcPr>
          <w:p w14:paraId="587FFD51" w14:textId="77777777" w:rsidR="007F17BF" w:rsidRDefault="007F17BF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Relaxation time for the molecular chain</w:t>
            </w:r>
          </w:p>
          <w:p w14:paraId="03473D21" w14:textId="60551F61" w:rsidR="007F17BF" w:rsidRDefault="007F17BF" w:rsidP="007F17BF">
            <w:pPr>
              <w:jc w:val="right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x10</w:t>
            </w:r>
            <w:r w:rsidRPr="00AE7F7D"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-1</w:t>
            </w:r>
            <w:r>
              <w:rPr>
                <w:rFonts w:ascii="Times New Roman" w:hAnsi="Times New Roman" w:cs="Times New Roman" w:hint="eastAsia"/>
                <w:color w:val="333333"/>
                <w:szCs w:val="20"/>
                <w:vertAlign w:val="superscript"/>
                <w:lang w:val="en-GB"/>
              </w:rPr>
              <w:t>0</w:t>
            </w:r>
          </w:p>
        </w:tc>
        <w:tc>
          <w:tcPr>
            <w:tcW w:w="964" w:type="dxa"/>
          </w:tcPr>
          <w:p w14:paraId="5F00C446" w14:textId="280628C9" w:rsidR="007F17BF" w:rsidRDefault="007F17BF" w:rsidP="00C07B26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s</w:t>
            </w:r>
          </w:p>
        </w:tc>
        <w:tc>
          <w:tcPr>
            <w:tcW w:w="1361" w:type="dxa"/>
          </w:tcPr>
          <w:p w14:paraId="3B768E7E" w14:textId="3F14B327" w:rsidR="007F17BF" w:rsidRDefault="007F17BF" w:rsidP="00C07B26">
            <w:pPr>
              <w:jc w:val="center"/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1.2</w:t>
            </w:r>
          </w:p>
        </w:tc>
        <w:tc>
          <w:tcPr>
            <w:tcW w:w="1644" w:type="dxa"/>
          </w:tcPr>
          <w:p w14:paraId="539F0D1E" w14:textId="77777777" w:rsidR="007F17BF" w:rsidRDefault="007F17BF" w:rsidP="00E21D0D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2.23</w:t>
            </w:r>
          </w:p>
          <w:p w14:paraId="4E45592E" w14:textId="30F123D6" w:rsidR="007F17BF" w:rsidRDefault="007F17BF" w:rsidP="00E21D0D">
            <w:pPr>
              <w:rPr>
                <w:rFonts w:ascii="Times New Roman" w:hAnsi="Times New Roman" w:cs="Times New Roman"/>
                <w:color w:val="333333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0"/>
                <w:lang w:val="en-GB"/>
              </w:rPr>
              <w:t>[9]</w:t>
            </w:r>
          </w:p>
        </w:tc>
      </w:tr>
    </w:tbl>
    <w:p w14:paraId="52D1D0CF" w14:textId="77777777" w:rsidR="00751EDD" w:rsidRDefault="00751EDD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</w:p>
    <w:p w14:paraId="5E5C7C67" w14:textId="77777777" w:rsidR="00E21D0D" w:rsidRDefault="00E21D0D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</w:p>
    <w:p w14:paraId="0B1462DD" w14:textId="724F684B" w:rsidR="00E21D0D" w:rsidRDefault="00E21D0D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[1] </w:t>
      </w:r>
      <w:r w:rsidRPr="00E21D0D">
        <w:rPr>
          <w:rFonts w:ascii="Times New Roman" w:hAnsi="Times New Roman" w:cs="Times New Roman"/>
          <w:color w:val="333333"/>
          <w:sz w:val="18"/>
          <w:szCs w:val="18"/>
        </w:rPr>
        <w:t>Fleming, R. J., et al. "Electrical conductivity and space charge in LDPE containing TiO/sub 2/nanoparticles." IEEE Transactions on Dielectrics and Electrical Insulation 12.4 (2005): 745-753.</w:t>
      </w:r>
    </w:p>
    <w:p w14:paraId="0FC531C9" w14:textId="1D1D60B9" w:rsidR="00FC299D" w:rsidRDefault="00FC299D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 w:hint="eastAsia"/>
          <w:color w:val="333333"/>
          <w:sz w:val="18"/>
          <w:szCs w:val="18"/>
        </w:rPr>
        <w:t xml:space="preserve">[2] </w:t>
      </w:r>
      <w:r w:rsidRPr="00FC299D">
        <w:rPr>
          <w:rFonts w:ascii="Times New Roman" w:hAnsi="Times New Roman" w:cs="Times New Roman"/>
          <w:color w:val="333333"/>
          <w:sz w:val="18"/>
          <w:szCs w:val="18"/>
        </w:rPr>
        <w:t>Kim, Minhee, Su-Hun Kim, and Se-Hee Lee. "Numerical prediction of DC breakdown characteristics in LDPE with current profile as critical index." </w:t>
      </w:r>
      <w:r w:rsidRPr="00FC299D">
        <w:rPr>
          <w:rFonts w:ascii="Times New Roman" w:hAnsi="Times New Roman" w:cs="Times New Roman"/>
          <w:i/>
          <w:iCs/>
          <w:color w:val="333333"/>
          <w:sz w:val="18"/>
          <w:szCs w:val="18"/>
        </w:rPr>
        <w:t>IEEE Access</w:t>
      </w:r>
      <w:r w:rsidRPr="00FC299D">
        <w:rPr>
          <w:rFonts w:ascii="Times New Roman" w:hAnsi="Times New Roman" w:cs="Times New Roman"/>
          <w:color w:val="333333"/>
          <w:sz w:val="18"/>
          <w:szCs w:val="18"/>
        </w:rPr>
        <w:t> 8 (2020): 200051-200062.</w:t>
      </w:r>
    </w:p>
    <w:p w14:paraId="1B0DFB90" w14:textId="77777777" w:rsidR="00EC3848" w:rsidRDefault="00751EDD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 w:rsidRPr="00467DFC">
        <w:rPr>
          <w:rFonts w:ascii="Times New Roman" w:hAnsi="Times New Roman" w:cs="Times New Roman" w:hint="eastAsia"/>
          <w:color w:val="333333"/>
          <w:sz w:val="18"/>
          <w:szCs w:val="18"/>
        </w:rPr>
        <w:t>[</w:t>
      </w:r>
      <w:r>
        <w:rPr>
          <w:rFonts w:ascii="Times New Roman" w:hAnsi="Times New Roman" w:cs="Times New Roman"/>
          <w:color w:val="333333"/>
          <w:sz w:val="18"/>
          <w:szCs w:val="18"/>
        </w:rPr>
        <w:t>3</w:t>
      </w:r>
      <w:r w:rsidRPr="00467DFC">
        <w:rPr>
          <w:rFonts w:ascii="Times New Roman" w:hAnsi="Times New Roman" w:cs="Times New Roman" w:hint="eastAsia"/>
          <w:color w:val="333333"/>
          <w:sz w:val="18"/>
          <w:szCs w:val="18"/>
        </w:rPr>
        <w:t xml:space="preserve">] </w:t>
      </w:r>
      <w:r w:rsidR="00EC3848" w:rsidRPr="00EC3848">
        <w:rPr>
          <w:rFonts w:ascii="Times New Roman" w:hAnsi="Times New Roman" w:cs="Times New Roman"/>
          <w:color w:val="333333"/>
          <w:sz w:val="18"/>
          <w:szCs w:val="18"/>
        </w:rPr>
        <w:t>Min, Daomin, Shengtao Li, and Yoshimichi Ohki. "Numerical simulation on molecular displacement and DC breakdown of LDPE." IEEE Transactions on Dielectrics and Electrical Insulation 23.1 (2016): 507-516.</w:t>
      </w:r>
      <w:r w:rsidR="00EC3848" w:rsidRPr="00EC3848">
        <w:rPr>
          <w:rFonts w:ascii="Times New Roman" w:hAnsi="Times New Roman" w:cs="Times New Roman" w:hint="eastAsia"/>
          <w:color w:val="333333"/>
          <w:sz w:val="18"/>
          <w:szCs w:val="18"/>
        </w:rPr>
        <w:t xml:space="preserve"> </w:t>
      </w:r>
    </w:p>
    <w:p w14:paraId="52EC4B31" w14:textId="66C7951A" w:rsidR="00EC3848" w:rsidRDefault="00751EDD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 w:rsidRPr="00467DFC">
        <w:rPr>
          <w:rFonts w:ascii="Times New Roman" w:hAnsi="Times New Roman" w:cs="Times New Roman" w:hint="eastAsia"/>
          <w:color w:val="333333"/>
          <w:sz w:val="18"/>
          <w:szCs w:val="18"/>
        </w:rPr>
        <w:t>[</w:t>
      </w:r>
      <w:r>
        <w:rPr>
          <w:rFonts w:ascii="Times New Roman" w:hAnsi="Times New Roman" w:cs="Times New Roman"/>
          <w:color w:val="333333"/>
          <w:sz w:val="18"/>
          <w:szCs w:val="18"/>
        </w:rPr>
        <w:t>4</w:t>
      </w:r>
      <w:r w:rsidRPr="00467DFC">
        <w:rPr>
          <w:rFonts w:ascii="Times New Roman" w:hAnsi="Times New Roman" w:cs="Times New Roman" w:hint="eastAsia"/>
          <w:color w:val="333333"/>
          <w:sz w:val="18"/>
          <w:szCs w:val="18"/>
        </w:rPr>
        <w:t xml:space="preserve">] </w:t>
      </w:r>
      <w:r w:rsidR="00EC3848" w:rsidRPr="00EC3848">
        <w:rPr>
          <w:rFonts w:ascii="Times New Roman" w:hAnsi="Times New Roman" w:cs="Times New Roman"/>
          <w:color w:val="333333"/>
          <w:sz w:val="18"/>
          <w:szCs w:val="18"/>
        </w:rPr>
        <w:t>Takada, Tatsuo, et al. "Quantum chemical calculation studies on interface charge transfer between electrode and polyethylene under electrical stress." Proceedings of 2014 International Symposium on Electrical Insulating Materials. IEEE, 2014.</w:t>
      </w:r>
      <w:r w:rsidR="00EC3848" w:rsidRPr="00EC3848">
        <w:rPr>
          <w:rFonts w:ascii="Times New Roman" w:hAnsi="Times New Roman" w:cs="Times New Roman" w:hint="eastAsia"/>
          <w:color w:val="333333"/>
          <w:sz w:val="18"/>
          <w:szCs w:val="18"/>
        </w:rPr>
        <w:t xml:space="preserve"> </w:t>
      </w:r>
    </w:p>
    <w:p w14:paraId="62A61EF5" w14:textId="6D596C6D" w:rsidR="00EC3848" w:rsidRDefault="00EC3848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 w:hint="eastAsia"/>
          <w:color w:val="333333"/>
          <w:sz w:val="18"/>
          <w:szCs w:val="18"/>
        </w:rPr>
        <w:t>[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5] </w:t>
      </w:r>
      <w:r w:rsidRPr="00EC3848">
        <w:rPr>
          <w:rFonts w:ascii="Times New Roman" w:hAnsi="Times New Roman" w:cs="Times New Roman"/>
          <w:color w:val="333333"/>
          <w:sz w:val="18"/>
          <w:szCs w:val="18"/>
        </w:rPr>
        <w:t>Lv, Zepeng, et al. "Estimation of charge injection at Al/LDPE interface based on space charge and external current measurement." Applied Physics Letters 123.17 (2023).</w:t>
      </w:r>
    </w:p>
    <w:p w14:paraId="1AA177F4" w14:textId="56E6A042" w:rsidR="00EC3848" w:rsidRDefault="00EC3848" w:rsidP="00751EDD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[6] </w:t>
      </w:r>
      <w:r w:rsidRPr="00EC3848">
        <w:rPr>
          <w:rFonts w:ascii="Times New Roman" w:hAnsi="Times New Roman" w:cs="Times New Roman"/>
          <w:color w:val="333333"/>
          <w:sz w:val="18"/>
          <w:szCs w:val="18"/>
        </w:rPr>
        <w:t>Wu, Jiandong, et al. "Simulation of space charge behavior in LDPE with a modified of bipolar charge transport model." Proceedings of 2014 International Symposium on Electrical Insulating Materials. IEEE, 2014.</w:t>
      </w:r>
    </w:p>
    <w:p w14:paraId="7CF63FF2" w14:textId="215F26E7" w:rsidR="00090231" w:rsidRDefault="00EC3848" w:rsidP="00EC3848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 w:hint="eastAsia"/>
          <w:color w:val="333333"/>
          <w:sz w:val="18"/>
          <w:szCs w:val="18"/>
        </w:rPr>
        <w:t>[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7] </w:t>
      </w:r>
      <w:r w:rsidRPr="00EC3848">
        <w:rPr>
          <w:rFonts w:ascii="Times New Roman" w:hAnsi="Times New Roman" w:cs="Times New Roman"/>
          <w:color w:val="333333"/>
          <w:sz w:val="18"/>
          <w:szCs w:val="18"/>
        </w:rPr>
        <w:t>Banda, M. E., et al. "Bipolar charge transport model to estimate charging and degradation processes in electron-beam-irradiated LDPE films." Journal of Physics D: Applied Physics 53.8 (2019): 085503.</w:t>
      </w:r>
    </w:p>
    <w:p w14:paraId="38B566F4" w14:textId="291B864A" w:rsidR="00090231" w:rsidRDefault="00EC3848" w:rsidP="007F17BF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 w:hint="eastAsia"/>
          <w:color w:val="333333"/>
          <w:sz w:val="18"/>
          <w:szCs w:val="18"/>
        </w:rPr>
        <w:t>[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8] </w:t>
      </w:r>
      <w:r w:rsidRPr="00EC3848">
        <w:rPr>
          <w:rFonts w:ascii="Times New Roman" w:hAnsi="Times New Roman" w:cs="Times New Roman"/>
          <w:color w:val="333333"/>
          <w:sz w:val="18"/>
          <w:szCs w:val="18"/>
        </w:rPr>
        <w:t>Hoang, Anh T., Yuriy V. Serdyuk, and Stanislaw M. Gubanski. "Charge transport in LDPE nanocomposites part II—Computational approach." Polymers 8.4 (2016): 103</w:t>
      </w:r>
      <w:r w:rsidR="007F17BF">
        <w:rPr>
          <w:rFonts w:ascii="Times New Roman" w:hAnsi="Times New Roman" w:cs="Times New Roman" w:hint="eastAsia"/>
          <w:color w:val="333333"/>
          <w:sz w:val="18"/>
          <w:szCs w:val="18"/>
        </w:rPr>
        <w:t>.</w:t>
      </w:r>
    </w:p>
    <w:p w14:paraId="12BA343F" w14:textId="1AD12100" w:rsidR="007F17BF" w:rsidRPr="007F17BF" w:rsidRDefault="007F17BF" w:rsidP="007F17BF">
      <w:pPr>
        <w:spacing w:after="0"/>
        <w:ind w:left="270" w:hangingChars="150" w:hanging="270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 w:hint="eastAsia"/>
          <w:color w:val="333333"/>
          <w:sz w:val="18"/>
          <w:szCs w:val="18"/>
        </w:rPr>
        <w:t xml:space="preserve">[9] </w:t>
      </w:r>
      <w:r w:rsidRPr="007F17BF">
        <w:rPr>
          <w:rFonts w:ascii="Times New Roman" w:hAnsi="Times New Roman" w:cs="Times New Roman"/>
          <w:color w:val="333333"/>
          <w:sz w:val="18"/>
          <w:szCs w:val="18"/>
        </w:rPr>
        <w:t>Tzimas, A., M. Fu, and L. A. Dissado. "Characterization of thermally aged XLPE cable peelings through space charge measurements." </w:t>
      </w:r>
      <w:r w:rsidRPr="007F17BF">
        <w:rPr>
          <w:rFonts w:ascii="Times New Roman" w:hAnsi="Times New Roman" w:cs="Times New Roman"/>
          <w:i/>
          <w:iCs/>
          <w:color w:val="333333"/>
          <w:sz w:val="18"/>
          <w:szCs w:val="18"/>
        </w:rPr>
        <w:t>CEIDP'05. 2005 Annual Report Conference on Electrical Insulation and Dielectric Phenomena, 2005.</w:t>
      </w:r>
      <w:r w:rsidRPr="007F17BF">
        <w:rPr>
          <w:rFonts w:ascii="Times New Roman" w:hAnsi="Times New Roman" w:cs="Times New Roman"/>
          <w:color w:val="333333"/>
          <w:sz w:val="18"/>
          <w:szCs w:val="18"/>
        </w:rPr>
        <w:t>. IEEE, 2005.</w:t>
      </w:r>
    </w:p>
    <w:p w14:paraId="29C2B7EA" w14:textId="77777777" w:rsidR="00A42C48" w:rsidRDefault="00A42C48" w:rsidP="00FC299D">
      <w:pPr>
        <w:tabs>
          <w:tab w:val="center" w:pos="4513"/>
          <w:tab w:val="left" w:pos="6344"/>
        </w:tabs>
        <w:rPr>
          <w:rFonts w:ascii="Times New Roman" w:hAnsi="Times New Roman" w:cs="Times New Roman"/>
          <w:sz w:val="24"/>
        </w:rPr>
      </w:pPr>
    </w:p>
    <w:p w14:paraId="27503F79" w14:textId="77777777" w:rsidR="00A42C48" w:rsidRDefault="00A42C48" w:rsidP="00FC299D">
      <w:pPr>
        <w:tabs>
          <w:tab w:val="center" w:pos="4513"/>
          <w:tab w:val="left" w:pos="6344"/>
        </w:tabs>
        <w:rPr>
          <w:rFonts w:ascii="Times New Roman" w:hAnsi="Times New Roman" w:cs="Times New Roman"/>
          <w:sz w:val="24"/>
        </w:rPr>
      </w:pPr>
    </w:p>
    <w:p w14:paraId="29C625B8" w14:textId="77777777" w:rsidR="00A42C48" w:rsidRDefault="00A42C48" w:rsidP="00FC299D">
      <w:pPr>
        <w:tabs>
          <w:tab w:val="center" w:pos="4513"/>
          <w:tab w:val="left" w:pos="6344"/>
        </w:tabs>
        <w:rPr>
          <w:rFonts w:ascii="Times New Roman" w:hAnsi="Times New Roman" w:cs="Times New Roman"/>
          <w:sz w:val="24"/>
        </w:rPr>
      </w:pPr>
    </w:p>
    <w:p w14:paraId="251C49CA" w14:textId="77777777" w:rsidR="00A42C48" w:rsidRDefault="00A42C48" w:rsidP="00FC299D">
      <w:pPr>
        <w:tabs>
          <w:tab w:val="center" w:pos="4513"/>
          <w:tab w:val="left" w:pos="6344"/>
        </w:tabs>
        <w:rPr>
          <w:rFonts w:ascii="Times New Roman" w:hAnsi="Times New Roman" w:cs="Times New Roman"/>
          <w:sz w:val="24"/>
        </w:rPr>
      </w:pPr>
    </w:p>
    <w:p w14:paraId="595A9412" w14:textId="77777777" w:rsidR="00A42C48" w:rsidRDefault="00A42C48" w:rsidP="00FC299D">
      <w:pPr>
        <w:tabs>
          <w:tab w:val="center" w:pos="4513"/>
          <w:tab w:val="left" w:pos="6344"/>
        </w:tabs>
        <w:rPr>
          <w:rFonts w:ascii="Times New Roman" w:hAnsi="Times New Roman" w:cs="Times New Roman"/>
          <w:sz w:val="24"/>
        </w:rPr>
      </w:pPr>
    </w:p>
    <w:p w14:paraId="33B82F94" w14:textId="77777777" w:rsidR="00A42C48" w:rsidRPr="0039609A" w:rsidRDefault="00A42C48" w:rsidP="00FC299D">
      <w:pPr>
        <w:tabs>
          <w:tab w:val="center" w:pos="4513"/>
          <w:tab w:val="left" w:pos="6344"/>
        </w:tabs>
        <w:rPr>
          <w:rFonts w:ascii="Times New Roman" w:hAnsi="Times New Roman" w:cs="Times New Roman"/>
          <w:sz w:val="24"/>
        </w:rPr>
      </w:pPr>
    </w:p>
    <w:sectPr w:rsidR="00A42C48" w:rsidRPr="0039609A" w:rsidSect="00CE181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6B8B" w14:textId="77777777" w:rsidR="00873ED1" w:rsidRDefault="00873ED1" w:rsidP="007C5CF2">
      <w:pPr>
        <w:spacing w:after="0"/>
      </w:pPr>
      <w:r>
        <w:separator/>
      </w:r>
    </w:p>
  </w:endnote>
  <w:endnote w:type="continuationSeparator" w:id="0">
    <w:p w14:paraId="4370FE69" w14:textId="77777777" w:rsidR="00873ED1" w:rsidRDefault="00873ED1" w:rsidP="007C5C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A237" w14:textId="77777777" w:rsidR="00873ED1" w:rsidRDefault="00873ED1" w:rsidP="007C5CF2">
      <w:pPr>
        <w:spacing w:after="0"/>
      </w:pPr>
      <w:r>
        <w:separator/>
      </w:r>
    </w:p>
  </w:footnote>
  <w:footnote w:type="continuationSeparator" w:id="0">
    <w:p w14:paraId="63DC5136" w14:textId="77777777" w:rsidR="00873ED1" w:rsidRDefault="00873ED1" w:rsidP="007C5C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0F"/>
    <w:rsid w:val="00043B1E"/>
    <w:rsid w:val="00090231"/>
    <w:rsid w:val="00091BB7"/>
    <w:rsid w:val="001C5F43"/>
    <w:rsid w:val="00216A1D"/>
    <w:rsid w:val="00247DA9"/>
    <w:rsid w:val="002A3E74"/>
    <w:rsid w:val="002B4615"/>
    <w:rsid w:val="0035743A"/>
    <w:rsid w:val="0037078B"/>
    <w:rsid w:val="00390327"/>
    <w:rsid w:val="00391C2E"/>
    <w:rsid w:val="0039609A"/>
    <w:rsid w:val="003E78D9"/>
    <w:rsid w:val="0041386D"/>
    <w:rsid w:val="004A4EC6"/>
    <w:rsid w:val="004C484E"/>
    <w:rsid w:val="00593B86"/>
    <w:rsid w:val="005E4AF0"/>
    <w:rsid w:val="005F6F95"/>
    <w:rsid w:val="0061333B"/>
    <w:rsid w:val="006272A8"/>
    <w:rsid w:val="00657B85"/>
    <w:rsid w:val="006648BC"/>
    <w:rsid w:val="0068068C"/>
    <w:rsid w:val="00751EDD"/>
    <w:rsid w:val="007569FC"/>
    <w:rsid w:val="00785432"/>
    <w:rsid w:val="007C5CF2"/>
    <w:rsid w:val="007D4B0F"/>
    <w:rsid w:val="007E0B03"/>
    <w:rsid w:val="007E657F"/>
    <w:rsid w:val="007F17BF"/>
    <w:rsid w:val="00873ED1"/>
    <w:rsid w:val="00880AD2"/>
    <w:rsid w:val="00965225"/>
    <w:rsid w:val="009810A1"/>
    <w:rsid w:val="009B56DD"/>
    <w:rsid w:val="009C09AE"/>
    <w:rsid w:val="009C1BA3"/>
    <w:rsid w:val="00A116CE"/>
    <w:rsid w:val="00A41D77"/>
    <w:rsid w:val="00A42C48"/>
    <w:rsid w:val="00A74F88"/>
    <w:rsid w:val="00B03A79"/>
    <w:rsid w:val="00B526FF"/>
    <w:rsid w:val="00B7722B"/>
    <w:rsid w:val="00B91FA1"/>
    <w:rsid w:val="00BC2078"/>
    <w:rsid w:val="00C07B26"/>
    <w:rsid w:val="00C139FF"/>
    <w:rsid w:val="00C21CE9"/>
    <w:rsid w:val="00C74262"/>
    <w:rsid w:val="00CA0DC2"/>
    <w:rsid w:val="00CB3039"/>
    <w:rsid w:val="00CE1815"/>
    <w:rsid w:val="00D92E5A"/>
    <w:rsid w:val="00DA3D8D"/>
    <w:rsid w:val="00DD3438"/>
    <w:rsid w:val="00E13524"/>
    <w:rsid w:val="00E21D0D"/>
    <w:rsid w:val="00E7504B"/>
    <w:rsid w:val="00EC3848"/>
    <w:rsid w:val="00EE7D0A"/>
    <w:rsid w:val="00EF11EC"/>
    <w:rsid w:val="00EF1D84"/>
    <w:rsid w:val="00F5157F"/>
    <w:rsid w:val="00F5433E"/>
    <w:rsid w:val="00F61E27"/>
    <w:rsid w:val="00FC299D"/>
    <w:rsid w:val="00FD06D6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FEC25"/>
  <w15:chartTrackingRefBased/>
  <w15:docId w15:val="{79F9216F-AE0A-4899-9936-BDA3CA84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4B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4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4B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4B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4B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4B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4B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4B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4B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4B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D4B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D4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4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4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4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4B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4B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4B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4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4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4B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4B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4B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4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4B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4B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C5CF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C5CF2"/>
    <w:rPr>
      <w:noProof/>
    </w:rPr>
  </w:style>
  <w:style w:type="paragraph" w:styleId="ab">
    <w:name w:val="footer"/>
    <w:basedOn w:val="a"/>
    <w:link w:val="Char4"/>
    <w:uiPriority w:val="99"/>
    <w:unhideWhenUsed/>
    <w:rsid w:val="007C5CF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C5CF2"/>
    <w:rPr>
      <w:noProof/>
    </w:rPr>
  </w:style>
  <w:style w:type="character" w:styleId="ac">
    <w:name w:val="Placeholder Text"/>
    <w:basedOn w:val="a0"/>
    <w:uiPriority w:val="99"/>
    <w:semiHidden/>
    <w:rsid w:val="007F17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minhee kim</dc:creator>
  <cp:keywords/>
  <dc:description/>
  <cp:lastModifiedBy>Su Hun Kim</cp:lastModifiedBy>
  <cp:revision>2</cp:revision>
  <dcterms:created xsi:type="dcterms:W3CDTF">2025-07-11T04:31:00Z</dcterms:created>
  <dcterms:modified xsi:type="dcterms:W3CDTF">2025-07-11T04:31:00Z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169304c9-1087-4125-9ce7-dc1731bee9e2</vt:lpwstr>
  </property>
</Properties>
</file>