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1980FF" w14:textId="77777777" w:rsidR="00690913" w:rsidRDefault="00BA3663">
      <w:pPr>
        <w:tabs>
          <w:tab w:val="left" w:pos="9072"/>
          <w:tab w:val="left" w:pos="9356"/>
        </w:tabs>
        <w:spacing w:after="0" w:line="480" w:lineRule="auto"/>
        <w:rPr>
          <w:rFonts w:ascii="Times New Roman" w:hAnsi="Times New Roman" w:cs="Times New Roman"/>
          <w:b/>
          <w:bCs/>
          <w:sz w:val="24"/>
          <w:szCs w:val="24"/>
        </w:rPr>
      </w:pPr>
      <w:r>
        <w:rPr>
          <w:rFonts w:ascii="Times New Roman" w:hAnsi="Times New Roman" w:cs="Times New Roman"/>
          <w:b/>
          <w:bCs/>
          <w:sz w:val="24"/>
          <w:szCs w:val="24"/>
        </w:rPr>
        <w:t>Tropical terrestrial and epiphytic ferns have different leaf stoichiometry with ecological implications</w:t>
      </w:r>
    </w:p>
    <w:p w14:paraId="0376780E"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Running Title: leaf stoichiometry in tropical ferns</w:t>
      </w:r>
    </w:p>
    <w:p w14:paraId="72E85426" w14:textId="77777777" w:rsidR="00690913" w:rsidRDefault="00690913">
      <w:pPr>
        <w:tabs>
          <w:tab w:val="left" w:pos="9072"/>
          <w:tab w:val="left" w:pos="9356"/>
        </w:tabs>
        <w:spacing w:after="0" w:line="480" w:lineRule="auto"/>
        <w:rPr>
          <w:rFonts w:ascii="Times New Roman" w:hAnsi="Times New Roman" w:cs="Times New Roman"/>
          <w:sz w:val="24"/>
          <w:szCs w:val="24"/>
        </w:rPr>
      </w:pPr>
    </w:p>
    <w:p w14:paraId="55F1364E" w14:textId="066398DA"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Syazwan </w:t>
      </w:r>
      <w:r w:rsidR="009D2CAE">
        <w:rPr>
          <w:rFonts w:ascii="Times New Roman" w:hAnsi="Times New Roman" w:cs="Times New Roman"/>
          <w:sz w:val="24"/>
          <w:szCs w:val="24"/>
        </w:rPr>
        <w:t>Pengiran</w:t>
      </w:r>
      <w:r>
        <w:rPr>
          <w:rFonts w:ascii="Times New Roman" w:hAnsi="Times New Roman" w:cs="Times New Roman"/>
          <w:sz w:val="24"/>
          <w:szCs w:val="24"/>
        </w:rPr>
        <w:t xml:space="preserve"> Sulaiman</w:t>
      </w:r>
      <w:r>
        <w:rPr>
          <w:rFonts w:ascii="Times New Roman" w:hAnsi="Times New Roman" w:cs="Times New Roman"/>
          <w:sz w:val="24"/>
          <w:szCs w:val="24"/>
          <w:vertAlign w:val="superscript"/>
        </w:rPr>
        <w:t>1</w:t>
      </w:r>
      <w:r>
        <w:rPr>
          <w:rFonts w:ascii="Times New Roman" w:hAnsi="Times New Roman" w:cs="Times New Roman"/>
          <w:sz w:val="24"/>
          <w:szCs w:val="24"/>
        </w:rPr>
        <w:t xml:space="preserve"> and Daniele Cicuzza</w:t>
      </w:r>
      <w:r>
        <w:rPr>
          <w:rFonts w:ascii="Times New Roman" w:hAnsi="Times New Roman" w:cs="Times New Roman"/>
          <w:sz w:val="24"/>
          <w:szCs w:val="24"/>
          <w:vertAlign w:val="superscript"/>
        </w:rPr>
        <w:t>1,*</w:t>
      </w:r>
    </w:p>
    <w:p w14:paraId="21BD3BF5" w14:textId="77777777" w:rsidR="00690913" w:rsidRDefault="00690913">
      <w:pPr>
        <w:tabs>
          <w:tab w:val="left" w:pos="9072"/>
          <w:tab w:val="left" w:pos="9356"/>
        </w:tabs>
        <w:spacing w:after="0" w:line="480" w:lineRule="auto"/>
        <w:rPr>
          <w:rFonts w:ascii="Times New Roman" w:hAnsi="Times New Roman" w:cs="Times New Roman"/>
          <w:sz w:val="24"/>
          <w:szCs w:val="24"/>
          <w:vertAlign w:val="superscript"/>
        </w:rPr>
      </w:pPr>
    </w:p>
    <w:p w14:paraId="73B1F5E0" w14:textId="77777777" w:rsidR="00690913" w:rsidRDefault="00690913">
      <w:pPr>
        <w:tabs>
          <w:tab w:val="left" w:pos="9072"/>
          <w:tab w:val="left" w:pos="9356"/>
        </w:tabs>
        <w:spacing w:after="0" w:line="480" w:lineRule="auto"/>
        <w:rPr>
          <w:rFonts w:ascii="Times New Roman" w:hAnsi="Times New Roman" w:cs="Times New Roman"/>
          <w:sz w:val="24"/>
          <w:szCs w:val="24"/>
          <w:vertAlign w:val="superscript"/>
        </w:rPr>
      </w:pPr>
    </w:p>
    <w:p w14:paraId="0D328458"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vertAlign w:val="superscript"/>
        </w:rPr>
        <w:t>1</w:t>
      </w:r>
      <w:r>
        <w:rPr>
          <w:rFonts w:ascii="Times New Roman" w:hAnsi="Times New Roman" w:cs="Times New Roman"/>
          <w:sz w:val="24"/>
          <w:szCs w:val="24"/>
        </w:rPr>
        <w:t>Environmental and Life Sciences, Faculty of Science, Universiti Brunei Darussalam, Jalan Tungku Link, Gadong, BE1410, Brunei Darussalam</w:t>
      </w:r>
    </w:p>
    <w:p w14:paraId="660BE215" w14:textId="77777777" w:rsidR="00690913" w:rsidRDefault="00690913">
      <w:pPr>
        <w:tabs>
          <w:tab w:val="left" w:pos="9072"/>
          <w:tab w:val="left" w:pos="9356"/>
        </w:tabs>
        <w:spacing w:after="0" w:line="480" w:lineRule="auto"/>
        <w:rPr>
          <w:rFonts w:ascii="Times New Roman" w:hAnsi="Times New Roman" w:cs="Times New Roman"/>
          <w:sz w:val="24"/>
          <w:szCs w:val="24"/>
        </w:rPr>
      </w:pPr>
    </w:p>
    <w:p w14:paraId="70ED2FB8" w14:textId="77777777" w:rsidR="00690913" w:rsidRDefault="00690913">
      <w:pPr>
        <w:tabs>
          <w:tab w:val="left" w:pos="9072"/>
          <w:tab w:val="left" w:pos="9356"/>
        </w:tabs>
        <w:spacing w:after="0" w:line="480" w:lineRule="auto"/>
        <w:rPr>
          <w:rFonts w:ascii="Times New Roman" w:hAnsi="Times New Roman" w:cs="Times New Roman"/>
          <w:sz w:val="24"/>
          <w:szCs w:val="24"/>
        </w:rPr>
      </w:pPr>
    </w:p>
    <w:p w14:paraId="564C9BDB"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*Correspondence should be addressed to:</w:t>
      </w:r>
    </w:p>
    <w:p w14:paraId="5403FDB2"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Dr. Daniele Cicuzza</w:t>
      </w:r>
    </w:p>
    <w:p w14:paraId="38286709"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Environmental and Life Sciences </w:t>
      </w:r>
    </w:p>
    <w:p w14:paraId="0105A827"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Faculty of Science </w:t>
      </w:r>
    </w:p>
    <w:p w14:paraId="51109883"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Universiti Brunei Darussalam</w:t>
      </w:r>
    </w:p>
    <w:p w14:paraId="04B7CA36"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Jalan Tungku Link, Gadong, BE1410 </w:t>
      </w:r>
    </w:p>
    <w:p w14:paraId="19D538C9"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Brunei Darussalam</w:t>
      </w:r>
    </w:p>
    <w:p w14:paraId="23F02F38" w14:textId="77777777" w:rsidR="00690913" w:rsidRDefault="00BA3663">
      <w:pPr>
        <w:tabs>
          <w:tab w:val="left" w:pos="9072"/>
          <w:tab w:val="left" w:pos="9356"/>
        </w:tabs>
        <w:spacing w:after="0" w:line="480" w:lineRule="auto"/>
        <w:rPr>
          <w:rFonts w:ascii="Times New Roman" w:hAnsi="Times New Roman" w:cs="Times New Roman"/>
          <w:sz w:val="24"/>
          <w:szCs w:val="24"/>
        </w:rPr>
      </w:pPr>
      <w:r>
        <w:rPr>
          <w:rFonts w:ascii="Times New Roman" w:hAnsi="Times New Roman" w:cs="Times New Roman"/>
          <w:sz w:val="24"/>
          <w:szCs w:val="24"/>
        </w:rPr>
        <w:t xml:space="preserve">E-mail: </w:t>
      </w:r>
      <w:hyperlink r:id="rId5" w:history="1">
        <w:r>
          <w:rPr>
            <w:rStyle w:val="Hyperlink"/>
            <w:rFonts w:ascii="Times New Roman" w:hAnsi="Times New Roman" w:cs="Times New Roman"/>
            <w:sz w:val="24"/>
            <w:szCs w:val="24"/>
          </w:rPr>
          <w:t>dcicuzza@gmail.com</w:t>
        </w:r>
      </w:hyperlink>
      <w:r>
        <w:rPr>
          <w:rFonts w:ascii="Times New Roman" w:hAnsi="Times New Roman" w:cs="Times New Roman"/>
          <w:sz w:val="24"/>
          <w:szCs w:val="24"/>
        </w:rPr>
        <w:t xml:space="preserve"> </w:t>
      </w:r>
    </w:p>
    <w:p w14:paraId="505033A9" w14:textId="77777777" w:rsidR="00690913" w:rsidRDefault="00690913">
      <w:pPr>
        <w:tabs>
          <w:tab w:val="left" w:pos="9072"/>
          <w:tab w:val="left" w:pos="9356"/>
        </w:tabs>
        <w:spacing w:after="0" w:line="480" w:lineRule="auto"/>
        <w:jc w:val="both"/>
        <w:rPr>
          <w:rFonts w:ascii="Times New Roman" w:hAnsi="Times New Roman" w:cs="Times New Roman"/>
          <w:b/>
          <w:bCs/>
          <w:sz w:val="24"/>
          <w:szCs w:val="24"/>
        </w:rPr>
      </w:pPr>
    </w:p>
    <w:p w14:paraId="2FDABCB4" w14:textId="77777777" w:rsidR="00690913" w:rsidRDefault="00690913">
      <w:pPr>
        <w:tabs>
          <w:tab w:val="left" w:pos="9072"/>
          <w:tab w:val="left" w:pos="9356"/>
        </w:tabs>
        <w:spacing w:after="0" w:line="480" w:lineRule="auto"/>
        <w:jc w:val="both"/>
        <w:rPr>
          <w:rFonts w:ascii="Times New Roman" w:hAnsi="Times New Roman" w:cs="Times New Roman"/>
          <w:b/>
          <w:bCs/>
          <w:sz w:val="24"/>
          <w:szCs w:val="24"/>
        </w:rPr>
      </w:pPr>
    </w:p>
    <w:p w14:paraId="758604DA" w14:textId="77777777" w:rsidR="00690913" w:rsidRDefault="00690913">
      <w:pPr>
        <w:tabs>
          <w:tab w:val="left" w:pos="9072"/>
          <w:tab w:val="left" w:pos="9356"/>
        </w:tabs>
        <w:spacing w:after="0" w:line="480" w:lineRule="auto"/>
        <w:jc w:val="both"/>
        <w:rPr>
          <w:rFonts w:ascii="Times New Roman" w:hAnsi="Times New Roman" w:cs="Times New Roman"/>
          <w:b/>
          <w:bCs/>
          <w:sz w:val="24"/>
          <w:szCs w:val="24"/>
        </w:rPr>
      </w:pPr>
    </w:p>
    <w:p w14:paraId="317519A1" w14:textId="77777777" w:rsidR="00690913" w:rsidRDefault="00690913">
      <w:pPr>
        <w:tabs>
          <w:tab w:val="left" w:pos="9072"/>
          <w:tab w:val="left" w:pos="9356"/>
        </w:tabs>
        <w:spacing w:after="0" w:line="480" w:lineRule="auto"/>
        <w:jc w:val="both"/>
        <w:rPr>
          <w:rFonts w:ascii="Times New Roman" w:hAnsi="Times New Roman" w:cs="Times New Roman"/>
          <w:b/>
          <w:bCs/>
          <w:sz w:val="24"/>
          <w:szCs w:val="24"/>
        </w:rPr>
      </w:pPr>
    </w:p>
    <w:p w14:paraId="746507D5" w14:textId="77777777" w:rsidR="00690913" w:rsidRDefault="00690913">
      <w:pPr>
        <w:tabs>
          <w:tab w:val="left" w:pos="9072"/>
          <w:tab w:val="left" w:pos="9356"/>
        </w:tabs>
        <w:spacing w:after="0" w:line="480" w:lineRule="auto"/>
        <w:jc w:val="both"/>
        <w:rPr>
          <w:rFonts w:ascii="Times New Roman" w:hAnsi="Times New Roman" w:cs="Times New Roman"/>
          <w:b/>
          <w:bCs/>
          <w:sz w:val="24"/>
          <w:szCs w:val="24"/>
        </w:rPr>
      </w:pPr>
    </w:p>
    <w:p w14:paraId="62EA681E" w14:textId="77777777" w:rsidR="00690913" w:rsidRDefault="00BA3663">
      <w:pPr>
        <w:tabs>
          <w:tab w:val="left" w:pos="9072"/>
          <w:tab w:val="left" w:pos="9356"/>
        </w:tabs>
        <w:spacing w:after="0" w:line="480" w:lineRule="auto"/>
        <w:jc w:val="center"/>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lastRenderedPageBreak/>
        <w:t>SUPPLEMENTARY MATERIALS</w:t>
      </w:r>
    </w:p>
    <w:p w14:paraId="55A93CE9" w14:textId="77777777" w:rsidR="00690913" w:rsidRDefault="00690913">
      <w:pPr>
        <w:tabs>
          <w:tab w:val="left" w:pos="9072"/>
          <w:tab w:val="left" w:pos="9356"/>
        </w:tabs>
        <w:spacing w:after="0" w:line="480" w:lineRule="auto"/>
        <w:jc w:val="center"/>
        <w:rPr>
          <w:rFonts w:ascii="Times New Roman" w:hAnsi="Times New Roman" w:cs="Times New Roman"/>
          <w:b/>
          <w:bCs/>
          <w:color w:val="000000" w:themeColor="text1"/>
          <w:sz w:val="24"/>
          <w:szCs w:val="24"/>
        </w:rPr>
      </w:pPr>
    </w:p>
    <w:p w14:paraId="589293B4" w14:textId="77777777" w:rsidR="00690913" w:rsidRDefault="00BA3663">
      <w:pPr>
        <w:tabs>
          <w:tab w:val="left" w:pos="9072"/>
          <w:tab w:val="left" w:pos="9356"/>
        </w:tabs>
        <w:spacing w:after="0" w:line="48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z w:val="24"/>
          <w:szCs w:val="24"/>
        </w:rPr>
        <w:t>Table S1</w:t>
      </w:r>
      <w:r>
        <w:rPr>
          <w:rFonts w:ascii="Times New Roman" w:hAnsi="Times New Roman" w:cs="Times New Roman"/>
          <w:color w:val="000000" w:themeColor="text1"/>
          <w:sz w:val="24"/>
          <w:szCs w:val="24"/>
        </w:rPr>
        <w:t xml:space="preserve">: The 20 fern species investigated in this study sampled from three sites in the tropical forests of Brunei Darussalam.  The sampled fern species consisted of 16 terrestrial species and 4 epiphytic species.  One species is categorised as lithophytic and classified into terrestrial due to the relatively similar growth conditions to a terrestrial species </w:t>
      </w:r>
      <w:r>
        <w:rPr>
          <w:rFonts w:ascii="Times New Roman" w:hAnsi="Times New Roman" w:cs="Times New Roman"/>
          <w:color w:val="000000" w:themeColor="text1"/>
          <w:sz w:val="24"/>
          <w:szCs w:val="24"/>
        </w:rPr>
        <w:fldChar w:fldCharType="begin" w:fldLock="1"/>
      </w:r>
      <w:r>
        <w:rPr>
          <w:rFonts w:ascii="Times New Roman" w:hAnsi="Times New Roman" w:cs="Times New Roman"/>
          <w:color w:val="000000" w:themeColor="text1"/>
          <w:sz w:val="24"/>
          <w:szCs w:val="24"/>
        </w:rPr>
        <w:instrText>ADDIN CSL_CITATION {"citationItems":[{"id":"ITEM-1","itemData":{"DOI":"10.1007/978-3-319-39237-0_1","ISBN":"978-3-319-39237-0","abstract":"This introductory chapter sets the scene by defining the subject of the book: vascular epiphytes, i.e. plants that germinate and root non-parasitically on other plants at all stages of their life. Although the distinction of vascular epiphytes from other life forms causes no problem in the majority of cases, conceptual issues, intraspecific plasticity, and a lack of data can cause occasional ambiguity. The question whether epiphytes should be considered a life form at all is also discussed. I also treat other structurally dependent plant groups which share the same habitat (lianas, nomadic vines, hemiepiphytes, and mistletoes) and explore possible evolutionary links between them. A final section focuses on the question which ecological drivers caused or facilitated the conquest of tree crowns in the first place.","author":[{"dropping-particle":"","family":"Zotz","given":"Gerhard","non-dropping-particle":"","parse-names":false,"suffix":""}],"id":"ITEM-1","issued":{"date-parts":[["2016"]]},"title":"Plants on Plants – The Biology of Vascular Epiphytes","type":"book"},"uris":["http://www.mendeley.com/documents/?uuid=e4f913da-ebe6-44c5-9c5d-35a794c35eb4"]}],"mendeley":{"formattedCitation":"(Zotz 2016)","plainTextFormattedCitation":"(Zotz 2016)","previouslyFormattedCitation":"(Zotz 2016)"},"properties":{"noteIndex":0},"schema":"https://github.com/citation-style-language/schema/raw/master/csl-citation.json"}</w:instrText>
      </w:r>
      <w:r>
        <w:rPr>
          <w:rFonts w:ascii="Times New Roman" w:hAnsi="Times New Roman" w:cs="Times New Roman"/>
          <w:color w:val="000000" w:themeColor="text1"/>
          <w:sz w:val="24"/>
          <w:szCs w:val="24"/>
        </w:rPr>
        <w:fldChar w:fldCharType="separate"/>
      </w:r>
      <w:r>
        <w:rPr>
          <w:rFonts w:ascii="Times New Roman" w:hAnsi="Times New Roman" w:cs="Times New Roman"/>
          <w:noProof/>
          <w:color w:val="000000" w:themeColor="text1"/>
          <w:sz w:val="24"/>
          <w:szCs w:val="24"/>
        </w:rPr>
        <w:t>(Zotz 2016)</w:t>
      </w:r>
      <w:r>
        <w:rPr>
          <w:rFonts w:ascii="Times New Roman" w:hAnsi="Times New Roman" w:cs="Times New Roman"/>
          <w:color w:val="000000" w:themeColor="text1"/>
          <w:sz w:val="24"/>
          <w:szCs w:val="24"/>
        </w:rPr>
        <w:fldChar w:fldCharType="end"/>
      </w:r>
      <w:r>
        <w:rPr>
          <w:rFonts w:ascii="Times New Roman" w:hAnsi="Times New Roman" w:cs="Times New Roman"/>
          <w:color w:val="000000" w:themeColor="text1"/>
          <w:sz w:val="24"/>
          <w:szCs w:val="24"/>
        </w:rPr>
        <w:t>.</w:t>
      </w:r>
    </w:p>
    <w:p w14:paraId="0A39512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b/>
          <w:bCs/>
          <w:color w:val="000000" w:themeColor="text1"/>
          <w:sz w:val="24"/>
          <w:szCs w:val="24"/>
        </w:rPr>
        <w:t>Table S</w:t>
      </w:r>
      <w:r>
        <w:rPr>
          <w:rFonts w:ascii="Times New Roman" w:hAnsi="Times New Roman" w:cs="Times New Roman"/>
          <w:b/>
          <w:bCs/>
          <w:i/>
          <w:iCs/>
          <w:color w:val="000000" w:themeColor="text1"/>
          <w:sz w:val="24"/>
          <w:szCs w:val="24"/>
        </w:rPr>
        <w:t>2</w:t>
      </w:r>
      <w:r>
        <w:rPr>
          <w:rFonts w:ascii="Times New Roman" w:hAnsi="Times New Roman" w:cs="Times New Roman"/>
          <w:color w:val="000000" w:themeColor="text1"/>
          <w:sz w:val="24"/>
          <w:szCs w:val="24"/>
        </w:rPr>
        <w:t>: Foliar element concentrations (mean ± SE) across 20 fern species from 12 families for nitrogen (N), phosphorus (P), potassium (K), calcium (Ca), magnesium (Mg) and aluminium (Al).  Values which is below the lowest detection limit of 0 p.p.m are denoted as ND (</w:t>
      </w:r>
      <w:r>
        <w:rPr>
          <w:rFonts w:ascii="Times New Roman" w:hAnsi="Times New Roman" w:cs="Times New Roman"/>
          <w:sz w:val="24"/>
          <w:szCs w:val="24"/>
        </w:rPr>
        <w:t>Not detected).</w:t>
      </w:r>
    </w:p>
    <w:p w14:paraId="53EB5388" w14:textId="77777777" w:rsidR="00690913" w:rsidRDefault="00BA3663">
      <w:pPr>
        <w:tabs>
          <w:tab w:val="left" w:pos="9072"/>
          <w:tab w:val="left" w:pos="9356"/>
        </w:tabs>
        <w:spacing w:after="0" w:line="480" w:lineRule="auto"/>
        <w:jc w:val="both"/>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 xml:space="preserve">Table S3: </w:t>
      </w:r>
      <w:r>
        <w:rPr>
          <w:rFonts w:ascii="Times New Roman" w:hAnsi="Times New Roman" w:cs="Times New Roman"/>
          <w:color w:val="000000" w:themeColor="text1"/>
          <w:sz w:val="24"/>
          <w:szCs w:val="24"/>
        </w:rPr>
        <w:t>Probability values (</w:t>
      </w:r>
      <w:r>
        <w:rPr>
          <w:rFonts w:ascii="Times New Roman" w:hAnsi="Times New Roman" w:cs="Times New Roman"/>
          <w:i/>
          <w:iCs/>
          <w:color w:val="000000" w:themeColor="text1"/>
          <w:sz w:val="24"/>
          <w:szCs w:val="24"/>
        </w:rPr>
        <w:t>P</w:t>
      </w:r>
      <w:r>
        <w:rPr>
          <w:rFonts w:ascii="Times New Roman" w:hAnsi="Times New Roman" w:cs="Times New Roman"/>
          <w:color w:val="000000" w:themeColor="text1"/>
          <w:sz w:val="24"/>
          <w:szCs w:val="24"/>
        </w:rPr>
        <w:t xml:space="preserve">) testing between polypod and non-polypod fern species for variations in leaf element concentrations of nitrogen (N), phosphorus (P), potassium (K), calcium (Ca), magnesium (Mg) and aluminium (Al).  </w:t>
      </w:r>
      <w:r>
        <w:rPr>
          <w:rFonts w:ascii="Times New Roman" w:hAnsi="Times New Roman" w:cs="Times New Roman"/>
          <w:bCs/>
          <w:sz w:val="24"/>
          <w:szCs w:val="24"/>
        </w:rPr>
        <w:t>The mean (</w:t>
      </w:r>
      <w:r>
        <w:rPr>
          <w:rFonts w:ascii="Times New Roman" w:hAnsi="Times New Roman" w:cs="Times New Roman"/>
          <w:bCs/>
          <w:color w:val="000000"/>
          <w:sz w:val="24"/>
          <w:szCs w:val="24"/>
        </w:rPr>
        <w:t>± SE) foliar element concentrations (</w:t>
      </w:r>
      <w:r>
        <w:rPr>
          <w:rFonts w:ascii="Times New Roman" w:hAnsi="Times New Roman" w:cs="Times New Roman"/>
          <w:bCs/>
          <w:sz w:val="24"/>
          <w:szCs w:val="24"/>
        </w:rPr>
        <w:t>mg g</w:t>
      </w:r>
      <w:r>
        <w:rPr>
          <w:rFonts w:ascii="Times New Roman" w:hAnsi="Times New Roman" w:cs="Times New Roman"/>
          <w:bCs/>
          <w:sz w:val="24"/>
          <w:szCs w:val="24"/>
          <w:vertAlign w:val="superscript"/>
        </w:rPr>
        <w:t xml:space="preserve">-1 </w:t>
      </w:r>
      <w:r>
        <w:rPr>
          <w:rFonts w:ascii="Times New Roman" w:hAnsi="Times New Roman" w:cs="Times New Roman"/>
          <w:bCs/>
          <w:sz w:val="24"/>
          <w:szCs w:val="24"/>
        </w:rPr>
        <w:t xml:space="preserve">dry mass) and </w:t>
      </w:r>
      <m:oMath>
        <m:r>
          <w:rPr>
            <w:rFonts w:ascii="Cambria Math" w:hAnsi="Cambria Math" w:cs="Times New Roman"/>
            <w:sz w:val="24"/>
            <w:szCs w:val="24"/>
          </w:rPr>
          <m:t>F</m:t>
        </m:r>
      </m:oMath>
      <w:r>
        <w:rPr>
          <w:rFonts w:ascii="Times New Roman" w:hAnsi="Times New Roman" w:cs="Times New Roman"/>
          <w:bCs/>
          <w:sz w:val="24"/>
          <w:szCs w:val="24"/>
          <w:vertAlign w:val="superscript"/>
        </w:rPr>
        <w:t xml:space="preserve"> </w:t>
      </w:r>
      <w:r>
        <w:rPr>
          <w:rFonts w:ascii="Times New Roman" w:hAnsi="Times New Roman" w:cs="Times New Roman"/>
          <w:bCs/>
          <w:sz w:val="24"/>
          <w:szCs w:val="24"/>
        </w:rPr>
        <w:t xml:space="preserve">value between terrestrial and epiphytic fern species are also presented.  </w:t>
      </w:r>
      <w:r>
        <w:rPr>
          <w:rFonts w:ascii="Times New Roman" w:hAnsi="Times New Roman" w:cs="Times New Roman"/>
          <w:bCs/>
          <w:i/>
          <w:iCs/>
          <w:sz w:val="24"/>
          <w:szCs w:val="24"/>
        </w:rPr>
        <w:t>P</w:t>
      </w:r>
      <w:r>
        <w:rPr>
          <w:rFonts w:ascii="Times New Roman" w:hAnsi="Times New Roman" w:cs="Times New Roman"/>
          <w:bCs/>
          <w:sz w:val="24"/>
          <w:szCs w:val="24"/>
        </w:rPr>
        <w:t xml:space="preserve"> values in bold suggest significant differences (</w:t>
      </w:r>
      <w:r>
        <w:rPr>
          <w:rFonts w:ascii="Times New Roman" w:hAnsi="Times New Roman" w:cs="Times New Roman"/>
          <w:bCs/>
          <w:i/>
          <w:iCs/>
          <w:color w:val="000000" w:themeColor="text1"/>
          <w:sz w:val="24"/>
          <w:szCs w:val="24"/>
        </w:rPr>
        <w:t>P</w:t>
      </w:r>
      <w:r>
        <w:rPr>
          <w:rFonts w:ascii="Times New Roman" w:hAnsi="Times New Roman" w:cs="Times New Roman"/>
          <w:bCs/>
          <w:color w:val="000000" w:themeColor="text1"/>
          <w:sz w:val="24"/>
          <w:szCs w:val="24"/>
        </w:rPr>
        <w:t xml:space="preserve"> </w:t>
      </w:r>
      <w:r>
        <w:rPr>
          <w:rFonts w:ascii="Times New Roman" w:hAnsi="Times New Roman" w:cs="Times New Roman"/>
          <w:bCs/>
          <w:sz w:val="24"/>
          <w:szCs w:val="24"/>
        </w:rPr>
        <w:t xml:space="preserve">≤ </w:t>
      </w:r>
      <w:r>
        <w:rPr>
          <w:rFonts w:ascii="Times New Roman" w:hAnsi="Times New Roman" w:cs="Times New Roman"/>
          <w:bCs/>
          <w:color w:val="000000" w:themeColor="text1"/>
          <w:sz w:val="24"/>
          <w:szCs w:val="24"/>
        </w:rPr>
        <w:t xml:space="preserve">0.05).  </w:t>
      </w:r>
    </w:p>
    <w:p w14:paraId="05F066BF" w14:textId="77777777" w:rsidR="00690913" w:rsidRDefault="00BA3663">
      <w:pPr>
        <w:tabs>
          <w:tab w:val="left" w:pos="9072"/>
          <w:tab w:val="left" w:pos="9356"/>
        </w:tabs>
        <w:spacing w:after="0" w:line="480" w:lineRule="auto"/>
        <w:jc w:val="both"/>
        <w:rPr>
          <w:rFonts w:ascii="Times New Roman" w:hAnsi="Times New Roman" w:cs="Times New Roman"/>
          <w:color w:val="000000" w:themeColor="text1"/>
          <w:sz w:val="24"/>
          <w:szCs w:val="24"/>
        </w:rPr>
      </w:pPr>
      <w:r>
        <w:rPr>
          <w:rFonts w:ascii="Times New Roman" w:hAnsi="Times New Roman" w:cs="Times New Roman"/>
          <w:b/>
          <w:color w:val="000000" w:themeColor="text1"/>
          <w:sz w:val="24"/>
          <w:szCs w:val="24"/>
        </w:rPr>
        <w:t>Figure S1</w:t>
      </w:r>
      <w:r>
        <w:rPr>
          <w:rFonts w:ascii="Times New Roman" w:hAnsi="Times New Roman" w:cs="Times New Roman"/>
          <w:bCs/>
          <w:color w:val="0070C0"/>
          <w:sz w:val="24"/>
          <w:szCs w:val="24"/>
        </w:rPr>
        <w:t>: Leaf element concentrations for a) nitrogen (N), b) phosphorus (P), c) potassium (K), d) calcium (Ca) and e) magnesium (Mg) across 20 fern species</w:t>
      </w:r>
      <w:r>
        <w:rPr>
          <w:rFonts w:ascii="Times New Roman" w:hAnsi="Times New Roman" w:cs="Times New Roman"/>
          <w:bCs/>
          <w:color w:val="000000" w:themeColor="text1"/>
          <w:sz w:val="24"/>
          <w:szCs w:val="24"/>
        </w:rPr>
        <w:t xml:space="preserve">.  </w:t>
      </w:r>
      <w:r>
        <w:rPr>
          <w:rFonts w:ascii="Times New Roman" w:hAnsi="Times New Roman" w:cs="Times New Roman"/>
          <w:color w:val="000000" w:themeColor="text1"/>
          <w:sz w:val="24"/>
          <w:szCs w:val="24"/>
        </w:rPr>
        <w:t>The two bounds of the box are the 25th and 75th percentiles, the two extreme lines (whiskers) are the 10th and 90th percentiles as error bars and the centre line is the median at 50</w:t>
      </w:r>
      <w:r>
        <w:rPr>
          <w:rFonts w:ascii="Times New Roman" w:hAnsi="Times New Roman" w:cs="Times New Roman"/>
          <w:color w:val="000000" w:themeColor="text1"/>
          <w:sz w:val="24"/>
          <w:szCs w:val="24"/>
          <w:vertAlign w:val="superscript"/>
        </w:rPr>
        <w:t>th</w:t>
      </w:r>
      <w:r>
        <w:rPr>
          <w:rFonts w:ascii="Times New Roman" w:hAnsi="Times New Roman" w:cs="Times New Roman"/>
          <w:color w:val="000000" w:themeColor="text1"/>
          <w:sz w:val="24"/>
          <w:szCs w:val="24"/>
        </w:rPr>
        <w:t xml:space="preserve"> percentile and outliers as individual points.  </w:t>
      </w:r>
    </w:p>
    <w:p w14:paraId="72A254CC" w14:textId="77777777" w:rsidR="00690913" w:rsidRDefault="00BA3663">
      <w:pPr>
        <w:tabs>
          <w:tab w:val="left" w:pos="9072"/>
          <w:tab w:val="left" w:pos="9356"/>
        </w:tabs>
        <w:spacing w:after="0" w:line="480" w:lineRule="auto"/>
        <w:jc w:val="both"/>
        <w:rPr>
          <w:rFonts w:ascii="Times New Roman" w:hAnsi="Times New Roman" w:cs="Times New Roman"/>
          <w:bCs/>
          <w:color w:val="0070C0"/>
          <w:sz w:val="24"/>
          <w:szCs w:val="24"/>
        </w:rPr>
      </w:pPr>
      <w:r>
        <w:rPr>
          <w:rFonts w:ascii="Times New Roman" w:hAnsi="Times New Roman" w:cs="Times New Roman"/>
          <w:b/>
          <w:color w:val="000000" w:themeColor="text1"/>
          <w:sz w:val="24"/>
          <w:szCs w:val="24"/>
        </w:rPr>
        <w:t xml:space="preserve">Figure S2: </w:t>
      </w:r>
      <w:r>
        <w:rPr>
          <w:rFonts w:ascii="Times New Roman" w:hAnsi="Times New Roman" w:cs="Times New Roman"/>
          <w:color w:val="0070C0"/>
          <w:sz w:val="24"/>
          <w:szCs w:val="24"/>
        </w:rPr>
        <w:t xml:space="preserve">Principal component analysis (PCA) of leaf </w:t>
      </w:r>
      <w:r>
        <w:rPr>
          <w:rFonts w:ascii="Times New Roman" w:hAnsi="Times New Roman" w:cs="Times New Roman"/>
          <w:bCs/>
          <w:color w:val="0070C0"/>
          <w:sz w:val="24"/>
          <w:szCs w:val="24"/>
        </w:rPr>
        <w:t xml:space="preserve">element concentrations (N, P, K, Ca and Mg) between a) polypod and non-polypod fern as well as b) terrestrial and epiphytic fern.  In a), the first PCA axis (PC1) explains 40.56% of the total variance.  </w:t>
      </w:r>
      <w:r>
        <w:rPr>
          <w:rFonts w:ascii="Times New Roman" w:hAnsi="Times New Roman" w:cs="Times New Roman"/>
          <w:color w:val="0070C0"/>
          <w:sz w:val="24"/>
          <w:szCs w:val="24"/>
        </w:rPr>
        <w:t>The positive side of the first axis loaded epiphytic species together with majority of the terrestrial species</w:t>
      </w:r>
      <w:r>
        <w:rPr>
          <w:rFonts w:ascii="Times New Roman" w:hAnsi="Times New Roman" w:cs="Times New Roman"/>
          <w:bCs/>
          <w:color w:val="0070C0"/>
          <w:sz w:val="24"/>
          <w:szCs w:val="24"/>
        </w:rPr>
        <w:t xml:space="preserve">. The </w:t>
      </w:r>
      <w:r>
        <w:rPr>
          <w:rFonts w:ascii="Times New Roman" w:hAnsi="Times New Roman" w:cs="Times New Roman"/>
          <w:color w:val="0070C0"/>
          <w:sz w:val="24"/>
          <w:szCs w:val="24"/>
        </w:rPr>
        <w:t xml:space="preserve">second PCA axis (PCA2) explains 26.63% of the total variance with no clear pattern was observed between the two lifeforms.  In b), the first axis of the PCA explained 39.74% of the variation in leaf element </w:t>
      </w:r>
      <w:r>
        <w:rPr>
          <w:rFonts w:ascii="Times New Roman" w:hAnsi="Times New Roman" w:cs="Times New Roman"/>
          <w:color w:val="0070C0"/>
          <w:sz w:val="24"/>
          <w:szCs w:val="24"/>
        </w:rPr>
        <w:lastRenderedPageBreak/>
        <w:t xml:space="preserve">concentrations, which correspond to the K, Ca and Mg elements. The second axis of the PCA explained 26.51% of the variation, representing N and P elements.  However, no clear pattern was observed between the two groups.   In both subfigures, </w:t>
      </w:r>
      <w:r>
        <w:rPr>
          <w:rFonts w:ascii="Times New Roman" w:hAnsi="Times New Roman" w:cs="Times New Roman"/>
          <w:bCs/>
          <w:color w:val="0070C0"/>
          <w:sz w:val="24"/>
          <w:szCs w:val="24"/>
        </w:rPr>
        <w:t>solid arrows represent the vectors for the chemical element in leaves.</w:t>
      </w:r>
    </w:p>
    <w:p w14:paraId="589C04C7" w14:textId="77777777" w:rsidR="00690913" w:rsidRDefault="00690913">
      <w:pPr>
        <w:tabs>
          <w:tab w:val="left" w:pos="9072"/>
          <w:tab w:val="left" w:pos="9356"/>
        </w:tabs>
        <w:spacing w:after="0" w:line="480" w:lineRule="auto"/>
        <w:jc w:val="center"/>
        <w:rPr>
          <w:rFonts w:ascii="Times New Roman" w:hAnsi="Times New Roman" w:cs="Times New Roman"/>
          <w:sz w:val="24"/>
          <w:szCs w:val="24"/>
        </w:rPr>
        <w:sectPr w:rsidR="00690913">
          <w:pgSz w:w="12240" w:h="15840" w:code="1"/>
          <w:pgMar w:top="1418" w:right="1418" w:bottom="1418" w:left="1418" w:header="709" w:footer="709" w:gutter="0"/>
          <w:lnNumType w:countBy="1" w:restart="continuous"/>
          <w:cols w:space="708"/>
          <w:docGrid w:linePitch="360"/>
        </w:sectPr>
      </w:pPr>
    </w:p>
    <w:p w14:paraId="74702B12" w14:textId="77777777" w:rsidR="00690913" w:rsidRDefault="00BA3663">
      <w:pPr>
        <w:tabs>
          <w:tab w:val="left" w:pos="9072"/>
          <w:tab w:val="left" w:pos="9356"/>
        </w:tabs>
        <w:spacing w:after="0" w:line="480" w:lineRule="auto"/>
        <w:jc w:val="center"/>
        <w:rPr>
          <w:rFonts w:ascii="Times New Roman" w:hAnsi="Times New Roman" w:cs="Times New Roman"/>
          <w:b/>
          <w:bCs/>
          <w:sz w:val="24"/>
          <w:szCs w:val="24"/>
        </w:rPr>
      </w:pPr>
      <w:bookmarkStart w:id="0" w:name="_Hlk62554768"/>
      <w:r>
        <w:rPr>
          <w:rFonts w:ascii="Times New Roman" w:hAnsi="Times New Roman" w:cs="Times New Roman"/>
          <w:b/>
          <w:bCs/>
          <w:sz w:val="24"/>
          <w:szCs w:val="24"/>
        </w:rPr>
        <w:lastRenderedPageBreak/>
        <w:t>TABLE S1</w:t>
      </w:r>
    </w:p>
    <w:tbl>
      <w:tblPr>
        <w:tblW w:w="10631" w:type="dxa"/>
        <w:jc w:val="center"/>
        <w:shd w:val="clear" w:color="auto" w:fill="FFFFFF" w:themeFill="background1"/>
        <w:tblLook w:val="04A0" w:firstRow="1" w:lastRow="0" w:firstColumn="1" w:lastColumn="0" w:noHBand="0" w:noVBand="1"/>
      </w:tblPr>
      <w:tblGrid>
        <w:gridCol w:w="2415"/>
        <w:gridCol w:w="3255"/>
        <w:gridCol w:w="1276"/>
        <w:gridCol w:w="1559"/>
        <w:gridCol w:w="2126"/>
      </w:tblGrid>
      <w:tr w:rsidR="00690913" w14:paraId="2061621E" w14:textId="77777777">
        <w:trPr>
          <w:jc w:val="center"/>
        </w:trPr>
        <w:tc>
          <w:tcPr>
            <w:tcW w:w="2415" w:type="dxa"/>
            <w:tcBorders>
              <w:top w:val="single" w:sz="12" w:space="0" w:color="auto"/>
              <w:bottom w:val="single" w:sz="4" w:space="0" w:color="auto"/>
            </w:tcBorders>
            <w:shd w:val="clear" w:color="auto" w:fill="FFFFFF" w:themeFill="background1"/>
          </w:tcPr>
          <w:p w14:paraId="0E313725"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Family</w:t>
            </w:r>
          </w:p>
        </w:tc>
        <w:tc>
          <w:tcPr>
            <w:tcW w:w="3255" w:type="dxa"/>
            <w:tcBorders>
              <w:top w:val="single" w:sz="12" w:space="0" w:color="auto"/>
              <w:bottom w:val="single" w:sz="4" w:space="0" w:color="auto"/>
            </w:tcBorders>
            <w:shd w:val="clear" w:color="auto" w:fill="FFFFFF" w:themeFill="background1"/>
          </w:tcPr>
          <w:p w14:paraId="111D459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Species</w:t>
            </w:r>
          </w:p>
        </w:tc>
        <w:tc>
          <w:tcPr>
            <w:tcW w:w="1276" w:type="dxa"/>
            <w:tcBorders>
              <w:top w:val="single" w:sz="12" w:space="0" w:color="auto"/>
              <w:bottom w:val="single" w:sz="4" w:space="0" w:color="auto"/>
            </w:tcBorders>
            <w:shd w:val="clear" w:color="auto" w:fill="FFFFFF" w:themeFill="background1"/>
          </w:tcPr>
          <w:p w14:paraId="2B0429D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Lifeform</w:t>
            </w:r>
          </w:p>
        </w:tc>
        <w:tc>
          <w:tcPr>
            <w:tcW w:w="1559" w:type="dxa"/>
            <w:tcBorders>
              <w:top w:val="single" w:sz="12" w:space="0" w:color="auto"/>
              <w:bottom w:val="single" w:sz="4" w:space="0" w:color="auto"/>
            </w:tcBorders>
            <w:shd w:val="clear" w:color="auto" w:fill="FFFFFF" w:themeFill="background1"/>
          </w:tcPr>
          <w:p w14:paraId="59C70C5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Group</w:t>
            </w:r>
          </w:p>
        </w:tc>
        <w:tc>
          <w:tcPr>
            <w:tcW w:w="2126" w:type="dxa"/>
            <w:tcBorders>
              <w:top w:val="single" w:sz="12" w:space="0" w:color="auto"/>
              <w:bottom w:val="single" w:sz="4" w:space="0" w:color="auto"/>
            </w:tcBorders>
            <w:shd w:val="clear" w:color="auto" w:fill="FFFFFF" w:themeFill="background1"/>
          </w:tcPr>
          <w:p w14:paraId="4430D4D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Sample site</w:t>
            </w:r>
          </w:p>
        </w:tc>
      </w:tr>
      <w:tr w:rsidR="00690913" w14:paraId="4ECC80E2" w14:textId="77777777">
        <w:trPr>
          <w:jc w:val="center"/>
        </w:trPr>
        <w:tc>
          <w:tcPr>
            <w:tcW w:w="2415" w:type="dxa"/>
            <w:vMerge w:val="restart"/>
            <w:tcBorders>
              <w:top w:val="single" w:sz="4" w:space="0" w:color="auto"/>
            </w:tcBorders>
            <w:shd w:val="clear" w:color="auto" w:fill="FFFFFF" w:themeFill="background1"/>
          </w:tcPr>
          <w:p w14:paraId="52FDECF8"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bookmarkStart w:id="1" w:name="_Hlk62555886"/>
            <w:r>
              <w:rPr>
                <w:rFonts w:ascii="Times New Roman" w:hAnsi="Times New Roman" w:cs="Times New Roman"/>
                <w:sz w:val="24"/>
                <w:szCs w:val="24"/>
              </w:rPr>
              <w:t>Pteridaceae</w:t>
            </w:r>
          </w:p>
          <w:p w14:paraId="7278B84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Aspleniaceae</w:t>
            </w:r>
          </w:p>
        </w:tc>
        <w:tc>
          <w:tcPr>
            <w:tcW w:w="3255" w:type="dxa"/>
            <w:tcBorders>
              <w:top w:val="single" w:sz="4" w:space="0" w:color="auto"/>
            </w:tcBorders>
            <w:shd w:val="clear" w:color="auto" w:fill="FFFFFF" w:themeFill="background1"/>
          </w:tcPr>
          <w:p w14:paraId="1C42D2B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Antrophyum callifolium</w:t>
            </w:r>
          </w:p>
        </w:tc>
        <w:tc>
          <w:tcPr>
            <w:tcW w:w="1276" w:type="dxa"/>
            <w:tcBorders>
              <w:top w:val="single" w:sz="4" w:space="0" w:color="auto"/>
            </w:tcBorders>
            <w:shd w:val="clear" w:color="auto" w:fill="FFFFFF" w:themeFill="background1"/>
          </w:tcPr>
          <w:p w14:paraId="4A9981A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Epiphyte</w:t>
            </w:r>
          </w:p>
        </w:tc>
        <w:tc>
          <w:tcPr>
            <w:tcW w:w="1559" w:type="dxa"/>
            <w:tcBorders>
              <w:top w:val="single" w:sz="4" w:space="0" w:color="auto"/>
            </w:tcBorders>
            <w:shd w:val="clear" w:color="auto" w:fill="FFFFFF" w:themeFill="background1"/>
          </w:tcPr>
          <w:p w14:paraId="7E10BE95"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tcBorders>
              <w:top w:val="single" w:sz="4" w:space="0" w:color="auto"/>
            </w:tcBorders>
            <w:shd w:val="clear" w:color="auto" w:fill="FFFFFF" w:themeFill="background1"/>
          </w:tcPr>
          <w:p w14:paraId="636C5A2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1E2937B0" w14:textId="77777777">
        <w:trPr>
          <w:jc w:val="center"/>
        </w:trPr>
        <w:tc>
          <w:tcPr>
            <w:tcW w:w="2415" w:type="dxa"/>
            <w:vMerge/>
            <w:shd w:val="clear" w:color="auto" w:fill="FFFFFF" w:themeFill="background1"/>
          </w:tcPr>
          <w:p w14:paraId="167946B4"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459A30BF" w14:textId="77777777" w:rsidR="00690913" w:rsidRDefault="00BA3663">
            <w:pPr>
              <w:tabs>
                <w:tab w:val="left" w:pos="9072"/>
                <w:tab w:val="left" w:pos="9356"/>
              </w:tabs>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Asplenium tenerum</w:t>
            </w:r>
          </w:p>
        </w:tc>
        <w:tc>
          <w:tcPr>
            <w:tcW w:w="1276" w:type="dxa"/>
            <w:shd w:val="clear" w:color="auto" w:fill="FFFFFF" w:themeFill="background1"/>
          </w:tcPr>
          <w:p w14:paraId="474CE28F" w14:textId="77777777" w:rsidR="00690913" w:rsidRDefault="00BA3663">
            <w:pPr>
              <w:tabs>
                <w:tab w:val="left" w:pos="9072"/>
                <w:tab w:val="left" w:pos="9356"/>
              </w:tabs>
              <w:spacing w:after="0" w:line="480" w:lineRule="auto"/>
              <w:jc w:val="both"/>
              <w:rPr>
                <w:rFonts w:ascii="Times New Roman" w:hAnsi="Times New Roman" w:cs="Times New Roman"/>
                <w:color w:val="000000"/>
                <w:sz w:val="24"/>
                <w:szCs w:val="24"/>
              </w:rPr>
            </w:pPr>
            <w:r>
              <w:rPr>
                <w:rFonts w:ascii="Times New Roman" w:hAnsi="Times New Roman" w:cs="Times New Roman"/>
                <w:color w:val="000000"/>
                <w:sz w:val="24"/>
                <w:szCs w:val="24"/>
              </w:rPr>
              <w:t>Epiphyte</w:t>
            </w:r>
          </w:p>
        </w:tc>
        <w:tc>
          <w:tcPr>
            <w:tcW w:w="1559" w:type="dxa"/>
            <w:shd w:val="clear" w:color="auto" w:fill="FFFFFF" w:themeFill="background1"/>
          </w:tcPr>
          <w:p w14:paraId="6B9C534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6732AD2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6C271014" w14:textId="77777777">
        <w:trPr>
          <w:jc w:val="center"/>
        </w:trPr>
        <w:tc>
          <w:tcPr>
            <w:tcW w:w="2415" w:type="dxa"/>
            <w:vMerge w:val="restart"/>
            <w:shd w:val="clear" w:color="auto" w:fill="FFFFFF" w:themeFill="background1"/>
          </w:tcPr>
          <w:p w14:paraId="2E4A2D36"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Athyriaceae</w:t>
            </w:r>
          </w:p>
          <w:p w14:paraId="6EB53506"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Blechnaceae</w:t>
            </w:r>
          </w:p>
        </w:tc>
        <w:tc>
          <w:tcPr>
            <w:tcW w:w="3255" w:type="dxa"/>
            <w:shd w:val="clear" w:color="auto" w:fill="FFFFFF" w:themeFill="background1"/>
          </w:tcPr>
          <w:p w14:paraId="38C0212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Athyrium sp.</w:t>
            </w:r>
          </w:p>
        </w:tc>
        <w:tc>
          <w:tcPr>
            <w:tcW w:w="1276" w:type="dxa"/>
            <w:shd w:val="clear" w:color="auto" w:fill="FFFFFF" w:themeFill="background1"/>
          </w:tcPr>
          <w:p w14:paraId="3DC5170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4D107DE5"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0CBA8FB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268D47AD" w14:textId="77777777">
        <w:trPr>
          <w:jc w:val="center"/>
        </w:trPr>
        <w:tc>
          <w:tcPr>
            <w:tcW w:w="2415" w:type="dxa"/>
            <w:vMerge/>
            <w:shd w:val="clear" w:color="auto" w:fill="FFFFFF" w:themeFill="background1"/>
          </w:tcPr>
          <w:p w14:paraId="31A0B17F"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7CC6341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Blechnum finlaysonianum</w:t>
            </w:r>
          </w:p>
        </w:tc>
        <w:tc>
          <w:tcPr>
            <w:tcW w:w="1276" w:type="dxa"/>
            <w:shd w:val="clear" w:color="auto" w:fill="FFFFFF" w:themeFill="background1"/>
          </w:tcPr>
          <w:p w14:paraId="5AC875B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575821E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6B188403"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25B7904C" w14:textId="77777777">
        <w:trPr>
          <w:jc w:val="center"/>
        </w:trPr>
        <w:tc>
          <w:tcPr>
            <w:tcW w:w="2415" w:type="dxa"/>
            <w:shd w:val="clear" w:color="auto" w:fill="FFFFFF" w:themeFill="background1"/>
          </w:tcPr>
          <w:p w14:paraId="1503709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Hymenophyllaceae</w:t>
            </w:r>
          </w:p>
        </w:tc>
        <w:tc>
          <w:tcPr>
            <w:tcW w:w="3255" w:type="dxa"/>
            <w:shd w:val="clear" w:color="auto" w:fill="FFFFFF" w:themeFill="background1"/>
          </w:tcPr>
          <w:p w14:paraId="400257C6"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Chephalomanes javanicum</w:t>
            </w:r>
          </w:p>
        </w:tc>
        <w:tc>
          <w:tcPr>
            <w:tcW w:w="1276" w:type="dxa"/>
            <w:shd w:val="clear" w:color="auto" w:fill="FFFFFF" w:themeFill="background1"/>
          </w:tcPr>
          <w:p w14:paraId="34EE0C6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2B5E1A6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5428364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29870B8F" w14:textId="77777777">
        <w:trPr>
          <w:jc w:val="center"/>
        </w:trPr>
        <w:tc>
          <w:tcPr>
            <w:tcW w:w="2415" w:type="dxa"/>
            <w:shd w:val="clear" w:color="auto" w:fill="FFFFFF" w:themeFill="background1"/>
          </w:tcPr>
          <w:p w14:paraId="0E277E2B" w14:textId="77777777" w:rsidR="00690913" w:rsidRDefault="00BA3663">
            <w:r>
              <w:rPr>
                <w:rFonts w:ascii="Times New Roman" w:hAnsi="Times New Roman" w:cs="Times New Roman"/>
                <w:color w:val="000000"/>
                <w:sz w:val="24"/>
                <w:szCs w:val="24"/>
              </w:rPr>
              <w:t>Hymenophyllaceae</w:t>
            </w:r>
          </w:p>
        </w:tc>
        <w:tc>
          <w:tcPr>
            <w:tcW w:w="3255" w:type="dxa"/>
            <w:shd w:val="clear" w:color="auto" w:fill="FFFFFF" w:themeFill="background1"/>
          </w:tcPr>
          <w:p w14:paraId="1C1FE0D6"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Chephalomanes singaporianum</w:t>
            </w:r>
          </w:p>
        </w:tc>
        <w:tc>
          <w:tcPr>
            <w:tcW w:w="1276" w:type="dxa"/>
            <w:shd w:val="clear" w:color="auto" w:fill="FFFFFF" w:themeFill="background1"/>
          </w:tcPr>
          <w:p w14:paraId="0E01217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5C6DED7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003C6F5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775D6267" w14:textId="77777777">
        <w:trPr>
          <w:jc w:val="center"/>
        </w:trPr>
        <w:tc>
          <w:tcPr>
            <w:tcW w:w="2415" w:type="dxa"/>
            <w:shd w:val="clear" w:color="auto" w:fill="FFFFFF" w:themeFill="background1"/>
          </w:tcPr>
          <w:p w14:paraId="3CD328F8"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Marattiaceae</w:t>
            </w:r>
          </w:p>
          <w:p w14:paraId="0BD786EB"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665F8A2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Christensenia aesculifolia</w:t>
            </w:r>
          </w:p>
        </w:tc>
        <w:tc>
          <w:tcPr>
            <w:tcW w:w="1276" w:type="dxa"/>
            <w:shd w:val="clear" w:color="auto" w:fill="FFFFFF" w:themeFill="background1"/>
          </w:tcPr>
          <w:p w14:paraId="7A4427D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23B9B1A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25E2582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48F0F9D6" w14:textId="77777777">
        <w:trPr>
          <w:jc w:val="center"/>
        </w:trPr>
        <w:tc>
          <w:tcPr>
            <w:tcW w:w="2415" w:type="dxa"/>
            <w:vMerge w:val="restart"/>
            <w:shd w:val="clear" w:color="auto" w:fill="FFFFFF" w:themeFill="background1"/>
          </w:tcPr>
          <w:p w14:paraId="5495022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Cyatheaceae</w:t>
            </w:r>
          </w:p>
          <w:p w14:paraId="737F777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Athyriaceae</w:t>
            </w:r>
          </w:p>
          <w:p w14:paraId="7C16008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Athyriaceae</w:t>
            </w:r>
          </w:p>
          <w:p w14:paraId="731EB977"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7CBE119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Cyathea trichoderma</w:t>
            </w:r>
          </w:p>
        </w:tc>
        <w:tc>
          <w:tcPr>
            <w:tcW w:w="1276" w:type="dxa"/>
            <w:shd w:val="clear" w:color="auto" w:fill="FFFFFF" w:themeFill="background1"/>
          </w:tcPr>
          <w:p w14:paraId="22B709A8"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62FA467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366E84F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64DF023A" w14:textId="77777777">
        <w:trPr>
          <w:jc w:val="center"/>
        </w:trPr>
        <w:tc>
          <w:tcPr>
            <w:tcW w:w="2415" w:type="dxa"/>
            <w:vMerge/>
            <w:shd w:val="clear" w:color="auto" w:fill="FFFFFF" w:themeFill="background1"/>
          </w:tcPr>
          <w:p w14:paraId="5FAD605B"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1956663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Diplazium porphyrorachis</w:t>
            </w:r>
          </w:p>
        </w:tc>
        <w:tc>
          <w:tcPr>
            <w:tcW w:w="1276" w:type="dxa"/>
            <w:shd w:val="clear" w:color="auto" w:fill="FFFFFF" w:themeFill="background1"/>
          </w:tcPr>
          <w:p w14:paraId="229B253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34EE95E7"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3FF9953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4AACD3EF" w14:textId="77777777">
        <w:trPr>
          <w:jc w:val="center"/>
        </w:trPr>
        <w:tc>
          <w:tcPr>
            <w:tcW w:w="2415" w:type="dxa"/>
            <w:vMerge/>
            <w:shd w:val="clear" w:color="auto" w:fill="FFFFFF" w:themeFill="background1"/>
          </w:tcPr>
          <w:p w14:paraId="5A654655"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7A480DD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Diplazium riparium</w:t>
            </w:r>
          </w:p>
        </w:tc>
        <w:tc>
          <w:tcPr>
            <w:tcW w:w="1276" w:type="dxa"/>
            <w:shd w:val="clear" w:color="auto" w:fill="FFFFFF" w:themeFill="background1"/>
          </w:tcPr>
          <w:p w14:paraId="394888BD"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2EB2900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134B4BE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02D1B6D8" w14:textId="77777777">
        <w:trPr>
          <w:jc w:val="center"/>
        </w:trPr>
        <w:tc>
          <w:tcPr>
            <w:tcW w:w="2415" w:type="dxa"/>
            <w:vMerge w:val="restart"/>
            <w:shd w:val="clear" w:color="auto" w:fill="FFFFFF" w:themeFill="background1"/>
          </w:tcPr>
          <w:p w14:paraId="634B55E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Dipteridaceae</w:t>
            </w:r>
          </w:p>
          <w:p w14:paraId="5C2C910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Pteridaceae</w:t>
            </w:r>
          </w:p>
          <w:p w14:paraId="34C5C11F"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218E7F7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Dipteris lobbiana</w:t>
            </w:r>
            <w:r>
              <w:rPr>
                <w:rFonts w:ascii="Times New Roman" w:hAnsi="Times New Roman" w:cs="Times New Roman"/>
                <w:color w:val="000000"/>
                <w:sz w:val="24"/>
                <w:szCs w:val="24"/>
                <w:vertAlign w:val="superscript"/>
              </w:rPr>
              <w:t>1</w:t>
            </w:r>
          </w:p>
        </w:tc>
        <w:tc>
          <w:tcPr>
            <w:tcW w:w="1276" w:type="dxa"/>
            <w:shd w:val="clear" w:color="auto" w:fill="FFFFFF" w:themeFill="background1"/>
          </w:tcPr>
          <w:p w14:paraId="72BD548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Lithophyte</w:t>
            </w:r>
          </w:p>
        </w:tc>
        <w:tc>
          <w:tcPr>
            <w:tcW w:w="1559" w:type="dxa"/>
            <w:shd w:val="clear" w:color="auto" w:fill="FFFFFF" w:themeFill="background1"/>
          </w:tcPr>
          <w:p w14:paraId="64604D0D"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5D78EAB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613FDE1B" w14:textId="77777777">
        <w:trPr>
          <w:jc w:val="center"/>
        </w:trPr>
        <w:tc>
          <w:tcPr>
            <w:tcW w:w="2415" w:type="dxa"/>
            <w:vMerge/>
            <w:shd w:val="clear" w:color="auto" w:fill="FFFFFF" w:themeFill="background1"/>
          </w:tcPr>
          <w:p w14:paraId="426024B5"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7D6CFBF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Haplopteris longifolia</w:t>
            </w:r>
          </w:p>
        </w:tc>
        <w:tc>
          <w:tcPr>
            <w:tcW w:w="1276" w:type="dxa"/>
            <w:shd w:val="clear" w:color="auto" w:fill="FFFFFF" w:themeFill="background1"/>
          </w:tcPr>
          <w:p w14:paraId="590BE74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Epiphyte</w:t>
            </w:r>
          </w:p>
        </w:tc>
        <w:tc>
          <w:tcPr>
            <w:tcW w:w="1559" w:type="dxa"/>
            <w:shd w:val="clear" w:color="auto" w:fill="FFFFFF" w:themeFill="background1"/>
          </w:tcPr>
          <w:p w14:paraId="38B4B55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079E5C1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41B27349" w14:textId="77777777">
        <w:trPr>
          <w:jc w:val="center"/>
        </w:trPr>
        <w:tc>
          <w:tcPr>
            <w:tcW w:w="2415" w:type="dxa"/>
            <w:shd w:val="clear" w:color="auto" w:fill="FFFFFF" w:themeFill="background1"/>
          </w:tcPr>
          <w:p w14:paraId="6A38A665" w14:textId="77777777" w:rsidR="00690913" w:rsidRDefault="00BA3663">
            <w:pPr>
              <w:tabs>
                <w:tab w:val="left" w:pos="9072"/>
                <w:tab w:val="left" w:pos="9356"/>
              </w:tabs>
              <w:spacing w:after="0" w:line="48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Lindsaeaceae</w:t>
            </w:r>
          </w:p>
        </w:tc>
        <w:tc>
          <w:tcPr>
            <w:tcW w:w="3255" w:type="dxa"/>
            <w:shd w:val="clear" w:color="auto" w:fill="FFFFFF" w:themeFill="background1"/>
          </w:tcPr>
          <w:p w14:paraId="1A5462C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Lindsaea borneensis</w:t>
            </w:r>
          </w:p>
        </w:tc>
        <w:tc>
          <w:tcPr>
            <w:tcW w:w="1276" w:type="dxa"/>
            <w:shd w:val="clear" w:color="auto" w:fill="FFFFFF" w:themeFill="background1"/>
          </w:tcPr>
          <w:p w14:paraId="325F6B2D"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119F7E3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2EBA71F4"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5C25F32B" w14:textId="77777777">
        <w:trPr>
          <w:jc w:val="center"/>
        </w:trPr>
        <w:tc>
          <w:tcPr>
            <w:tcW w:w="2415" w:type="dxa"/>
            <w:shd w:val="clear" w:color="auto" w:fill="FFFFFF" w:themeFill="background1"/>
          </w:tcPr>
          <w:p w14:paraId="75FD8298" w14:textId="77777777" w:rsidR="00690913" w:rsidRDefault="00BA3663">
            <w:pPr>
              <w:tabs>
                <w:tab w:val="left" w:pos="9072"/>
                <w:tab w:val="left" w:pos="9356"/>
              </w:tabs>
              <w:spacing w:after="0" w:line="48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Lindsaeaceae</w:t>
            </w:r>
          </w:p>
          <w:p w14:paraId="19880193"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11B11DBA"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Lindsaea divergens</w:t>
            </w:r>
          </w:p>
        </w:tc>
        <w:tc>
          <w:tcPr>
            <w:tcW w:w="1276" w:type="dxa"/>
            <w:shd w:val="clear" w:color="auto" w:fill="FFFFFF" w:themeFill="background1"/>
          </w:tcPr>
          <w:p w14:paraId="52CE1A5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47D4AD0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44FDEAC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3BDA592E" w14:textId="77777777">
        <w:trPr>
          <w:jc w:val="center"/>
        </w:trPr>
        <w:tc>
          <w:tcPr>
            <w:tcW w:w="2415" w:type="dxa"/>
            <w:vMerge w:val="restart"/>
            <w:shd w:val="clear" w:color="auto" w:fill="FFFFFF" w:themeFill="background1"/>
          </w:tcPr>
          <w:p w14:paraId="36EEAF0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Lindsaeaceae</w:t>
            </w:r>
          </w:p>
          <w:p w14:paraId="7DBCB943"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Marattiaceae</w:t>
            </w:r>
          </w:p>
          <w:p w14:paraId="4C1C41DD" w14:textId="77777777" w:rsidR="00690913" w:rsidRDefault="00BA3663">
            <w:pPr>
              <w:tabs>
                <w:tab w:val="left" w:pos="9072"/>
                <w:tab w:val="left" w:pos="9356"/>
              </w:tabs>
              <w:spacing w:after="0" w:line="480" w:lineRule="auto"/>
              <w:jc w:val="both"/>
            </w:pPr>
            <w:r>
              <w:rPr>
                <w:rFonts w:ascii="Times New Roman" w:hAnsi="Times New Roman" w:cs="Times New Roman"/>
                <w:sz w:val="24"/>
                <w:szCs w:val="24"/>
              </w:rPr>
              <w:t>Tectariaceae</w:t>
            </w:r>
          </w:p>
        </w:tc>
        <w:tc>
          <w:tcPr>
            <w:tcW w:w="3255" w:type="dxa"/>
            <w:shd w:val="clear" w:color="auto" w:fill="FFFFFF" w:themeFill="background1"/>
          </w:tcPr>
          <w:p w14:paraId="7317A54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Lindsaea jioryophora</w:t>
            </w:r>
          </w:p>
        </w:tc>
        <w:tc>
          <w:tcPr>
            <w:tcW w:w="1276" w:type="dxa"/>
            <w:shd w:val="clear" w:color="auto" w:fill="FFFFFF" w:themeFill="background1"/>
          </w:tcPr>
          <w:p w14:paraId="6D2DA25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0ABA9B8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33ED90D7"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5C3FD0B2" w14:textId="77777777">
        <w:trPr>
          <w:jc w:val="center"/>
        </w:trPr>
        <w:tc>
          <w:tcPr>
            <w:tcW w:w="2415" w:type="dxa"/>
            <w:vMerge/>
            <w:shd w:val="clear" w:color="auto" w:fill="FFFFFF" w:themeFill="background1"/>
          </w:tcPr>
          <w:p w14:paraId="429C01B8"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75FAB8A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Macroglossum smithii</w:t>
            </w:r>
          </w:p>
        </w:tc>
        <w:tc>
          <w:tcPr>
            <w:tcW w:w="1276" w:type="dxa"/>
            <w:shd w:val="clear" w:color="auto" w:fill="FFFFFF" w:themeFill="background1"/>
          </w:tcPr>
          <w:p w14:paraId="2E8B8D9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3AC4352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1438A5DD"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7CAE1A04" w14:textId="77777777">
        <w:trPr>
          <w:jc w:val="center"/>
        </w:trPr>
        <w:tc>
          <w:tcPr>
            <w:tcW w:w="2415" w:type="dxa"/>
            <w:vMerge/>
            <w:shd w:val="clear" w:color="auto" w:fill="FFFFFF" w:themeFill="background1"/>
          </w:tcPr>
          <w:p w14:paraId="17362C76"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shd w:val="clear" w:color="auto" w:fill="FFFFFF" w:themeFill="background1"/>
          </w:tcPr>
          <w:p w14:paraId="14545EA5" w14:textId="77777777" w:rsidR="00690913" w:rsidRDefault="00BA3663">
            <w:pPr>
              <w:tabs>
                <w:tab w:val="left" w:pos="9072"/>
                <w:tab w:val="left" w:pos="9356"/>
              </w:tabs>
              <w:spacing w:after="0" w:line="480" w:lineRule="auto"/>
              <w:jc w:val="both"/>
              <w:rPr>
                <w:rFonts w:ascii="Times New Roman" w:hAnsi="Times New Roman" w:cs="Times New Roman"/>
                <w:color w:val="0070C0"/>
                <w:sz w:val="24"/>
                <w:szCs w:val="24"/>
              </w:rPr>
            </w:pPr>
            <w:r>
              <w:rPr>
                <w:rFonts w:ascii="Times New Roman" w:hAnsi="Times New Roman" w:cs="Times New Roman"/>
                <w:color w:val="0070C0"/>
                <w:sz w:val="24"/>
                <w:szCs w:val="24"/>
              </w:rPr>
              <w:t>Malaifilix grandidentata</w:t>
            </w:r>
          </w:p>
        </w:tc>
        <w:tc>
          <w:tcPr>
            <w:tcW w:w="1276" w:type="dxa"/>
            <w:shd w:val="clear" w:color="auto" w:fill="FFFFFF" w:themeFill="background1"/>
          </w:tcPr>
          <w:p w14:paraId="03BFA721"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6A7B3F87"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15411422"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5F1D7790" w14:textId="77777777">
        <w:trPr>
          <w:jc w:val="center"/>
        </w:trPr>
        <w:tc>
          <w:tcPr>
            <w:tcW w:w="2415" w:type="dxa"/>
            <w:shd w:val="clear" w:color="auto" w:fill="FFFFFF" w:themeFill="background1"/>
          </w:tcPr>
          <w:p w14:paraId="3E28F819"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Polypodiaceae</w:t>
            </w:r>
          </w:p>
        </w:tc>
        <w:tc>
          <w:tcPr>
            <w:tcW w:w="3255" w:type="dxa"/>
            <w:shd w:val="clear" w:color="auto" w:fill="FFFFFF" w:themeFill="background1"/>
          </w:tcPr>
          <w:p w14:paraId="44C2BF9B"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Platycerium coronarium</w:t>
            </w:r>
          </w:p>
        </w:tc>
        <w:tc>
          <w:tcPr>
            <w:tcW w:w="1276" w:type="dxa"/>
            <w:shd w:val="clear" w:color="auto" w:fill="FFFFFF" w:themeFill="background1"/>
          </w:tcPr>
          <w:p w14:paraId="7E3D860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Epiphyte</w:t>
            </w:r>
          </w:p>
        </w:tc>
        <w:tc>
          <w:tcPr>
            <w:tcW w:w="1559" w:type="dxa"/>
            <w:shd w:val="clear" w:color="auto" w:fill="FFFFFF" w:themeFill="background1"/>
          </w:tcPr>
          <w:p w14:paraId="194CC4B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shd w:val="clear" w:color="auto" w:fill="FFFFFF" w:themeFill="background1"/>
          </w:tcPr>
          <w:p w14:paraId="31247807"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Shahbandar</w:t>
            </w:r>
          </w:p>
        </w:tc>
      </w:tr>
      <w:tr w:rsidR="00690913" w14:paraId="75CC314F" w14:textId="77777777">
        <w:trPr>
          <w:jc w:val="center"/>
        </w:trPr>
        <w:tc>
          <w:tcPr>
            <w:tcW w:w="2415" w:type="dxa"/>
            <w:vMerge w:val="restart"/>
            <w:shd w:val="clear" w:color="auto" w:fill="FFFFFF" w:themeFill="background1"/>
          </w:tcPr>
          <w:p w14:paraId="0880B30C"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Schizaeaceae</w:t>
            </w:r>
          </w:p>
          <w:p w14:paraId="4C617DC5"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Tectariaceae</w:t>
            </w:r>
          </w:p>
        </w:tc>
        <w:tc>
          <w:tcPr>
            <w:tcW w:w="3255" w:type="dxa"/>
            <w:shd w:val="clear" w:color="auto" w:fill="FFFFFF" w:themeFill="background1"/>
          </w:tcPr>
          <w:p w14:paraId="5322C11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Schizaea dichotoma</w:t>
            </w:r>
          </w:p>
        </w:tc>
        <w:tc>
          <w:tcPr>
            <w:tcW w:w="1276" w:type="dxa"/>
            <w:shd w:val="clear" w:color="auto" w:fill="FFFFFF" w:themeFill="background1"/>
          </w:tcPr>
          <w:p w14:paraId="77555C20"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shd w:val="clear" w:color="auto" w:fill="FFFFFF" w:themeFill="background1"/>
          </w:tcPr>
          <w:p w14:paraId="20BC253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Non-polypod</w:t>
            </w:r>
          </w:p>
        </w:tc>
        <w:tc>
          <w:tcPr>
            <w:tcW w:w="2126" w:type="dxa"/>
            <w:shd w:val="clear" w:color="auto" w:fill="FFFFFF" w:themeFill="background1"/>
          </w:tcPr>
          <w:p w14:paraId="6CEDB1D5"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Kuala Belalong</w:t>
            </w:r>
          </w:p>
        </w:tc>
      </w:tr>
      <w:tr w:rsidR="00690913" w14:paraId="0D46E0A7" w14:textId="77777777">
        <w:trPr>
          <w:trHeight w:val="462"/>
          <w:jc w:val="center"/>
        </w:trPr>
        <w:tc>
          <w:tcPr>
            <w:tcW w:w="2415" w:type="dxa"/>
            <w:vMerge/>
            <w:tcBorders>
              <w:bottom w:val="single" w:sz="4" w:space="0" w:color="auto"/>
            </w:tcBorders>
            <w:shd w:val="clear" w:color="auto" w:fill="FFFFFF" w:themeFill="background1"/>
          </w:tcPr>
          <w:p w14:paraId="358CAA7F"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tcBorders>
              <w:bottom w:val="single" w:sz="4" w:space="0" w:color="auto"/>
            </w:tcBorders>
            <w:shd w:val="clear" w:color="auto" w:fill="FFFFFF" w:themeFill="background1"/>
          </w:tcPr>
          <w:p w14:paraId="70759B48"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Tectaria angulata</w:t>
            </w:r>
          </w:p>
        </w:tc>
        <w:tc>
          <w:tcPr>
            <w:tcW w:w="1276" w:type="dxa"/>
            <w:tcBorders>
              <w:bottom w:val="single" w:sz="4" w:space="0" w:color="auto"/>
            </w:tcBorders>
            <w:shd w:val="clear" w:color="auto" w:fill="FFFFFF" w:themeFill="background1"/>
          </w:tcPr>
          <w:p w14:paraId="6AD30E7E"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color w:val="000000"/>
                <w:sz w:val="24"/>
                <w:szCs w:val="24"/>
              </w:rPr>
              <w:t>Terrestrial</w:t>
            </w:r>
          </w:p>
        </w:tc>
        <w:tc>
          <w:tcPr>
            <w:tcW w:w="1559" w:type="dxa"/>
            <w:tcBorders>
              <w:bottom w:val="single" w:sz="4" w:space="0" w:color="auto"/>
            </w:tcBorders>
            <w:shd w:val="clear" w:color="auto" w:fill="FFFFFF" w:themeFill="background1"/>
          </w:tcPr>
          <w:p w14:paraId="3DDFE2FF"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Polypod</w:t>
            </w:r>
          </w:p>
        </w:tc>
        <w:tc>
          <w:tcPr>
            <w:tcW w:w="2126" w:type="dxa"/>
            <w:tcBorders>
              <w:bottom w:val="single" w:sz="4" w:space="0" w:color="auto"/>
            </w:tcBorders>
            <w:shd w:val="clear" w:color="auto" w:fill="FFFFFF" w:themeFill="background1"/>
          </w:tcPr>
          <w:p w14:paraId="511427C7" w14:textId="77777777" w:rsidR="00690913" w:rsidRDefault="00BA3663">
            <w:pPr>
              <w:tabs>
                <w:tab w:val="left" w:pos="9072"/>
                <w:tab w:val="left" w:pos="9356"/>
              </w:tabs>
              <w:spacing w:after="0" w:line="480" w:lineRule="auto"/>
              <w:jc w:val="both"/>
              <w:rPr>
                <w:rFonts w:ascii="Times New Roman" w:hAnsi="Times New Roman" w:cs="Times New Roman"/>
                <w:sz w:val="24"/>
                <w:szCs w:val="24"/>
              </w:rPr>
            </w:pPr>
            <w:r>
              <w:rPr>
                <w:rFonts w:ascii="Times New Roman" w:hAnsi="Times New Roman" w:cs="Times New Roman"/>
                <w:sz w:val="24"/>
                <w:szCs w:val="24"/>
              </w:rPr>
              <w:t>Bukit Teraja</w:t>
            </w:r>
          </w:p>
        </w:tc>
      </w:tr>
      <w:tr w:rsidR="00690913" w14:paraId="60C847F1" w14:textId="77777777">
        <w:trPr>
          <w:trHeight w:val="1193"/>
          <w:jc w:val="center"/>
        </w:trPr>
        <w:tc>
          <w:tcPr>
            <w:tcW w:w="2415" w:type="dxa"/>
            <w:tcBorders>
              <w:top w:val="single" w:sz="4" w:space="0" w:color="auto"/>
            </w:tcBorders>
            <w:shd w:val="clear" w:color="auto" w:fill="FFFFFF" w:themeFill="background1"/>
          </w:tcPr>
          <w:p w14:paraId="73251499"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3255" w:type="dxa"/>
            <w:tcBorders>
              <w:top w:val="single" w:sz="4" w:space="0" w:color="auto"/>
            </w:tcBorders>
            <w:shd w:val="clear" w:color="auto" w:fill="FFFFFF" w:themeFill="background1"/>
          </w:tcPr>
          <w:p w14:paraId="709418AE" w14:textId="77777777" w:rsidR="00690913" w:rsidRDefault="00690913">
            <w:pPr>
              <w:tabs>
                <w:tab w:val="left" w:pos="9072"/>
                <w:tab w:val="left" w:pos="9356"/>
              </w:tabs>
              <w:spacing w:after="0" w:line="480" w:lineRule="auto"/>
              <w:jc w:val="both"/>
              <w:rPr>
                <w:rFonts w:ascii="Times New Roman" w:hAnsi="Times New Roman" w:cs="Times New Roman"/>
                <w:color w:val="000000"/>
                <w:sz w:val="24"/>
                <w:szCs w:val="24"/>
              </w:rPr>
            </w:pPr>
          </w:p>
        </w:tc>
        <w:tc>
          <w:tcPr>
            <w:tcW w:w="1276" w:type="dxa"/>
            <w:tcBorders>
              <w:top w:val="single" w:sz="4" w:space="0" w:color="auto"/>
            </w:tcBorders>
            <w:shd w:val="clear" w:color="auto" w:fill="FFFFFF" w:themeFill="background1"/>
          </w:tcPr>
          <w:p w14:paraId="7C83C903" w14:textId="77777777" w:rsidR="00690913" w:rsidRDefault="00690913">
            <w:pPr>
              <w:tabs>
                <w:tab w:val="left" w:pos="9072"/>
                <w:tab w:val="left" w:pos="9356"/>
              </w:tabs>
              <w:spacing w:after="0" w:line="480" w:lineRule="auto"/>
              <w:jc w:val="both"/>
              <w:rPr>
                <w:rFonts w:ascii="Times New Roman" w:hAnsi="Times New Roman" w:cs="Times New Roman"/>
                <w:color w:val="000000"/>
                <w:sz w:val="24"/>
                <w:szCs w:val="24"/>
              </w:rPr>
            </w:pPr>
          </w:p>
        </w:tc>
        <w:tc>
          <w:tcPr>
            <w:tcW w:w="1559" w:type="dxa"/>
            <w:tcBorders>
              <w:top w:val="single" w:sz="4" w:space="0" w:color="auto"/>
            </w:tcBorders>
            <w:shd w:val="clear" w:color="auto" w:fill="FFFFFF" w:themeFill="background1"/>
          </w:tcPr>
          <w:p w14:paraId="66C37764"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c>
          <w:tcPr>
            <w:tcW w:w="2126" w:type="dxa"/>
            <w:tcBorders>
              <w:top w:val="single" w:sz="4" w:space="0" w:color="auto"/>
            </w:tcBorders>
            <w:shd w:val="clear" w:color="auto" w:fill="FFFFFF" w:themeFill="background1"/>
          </w:tcPr>
          <w:p w14:paraId="73C8288B" w14:textId="77777777" w:rsidR="00690913" w:rsidRDefault="00690913">
            <w:pPr>
              <w:tabs>
                <w:tab w:val="left" w:pos="9072"/>
                <w:tab w:val="left" w:pos="9356"/>
              </w:tabs>
              <w:spacing w:after="0" w:line="480" w:lineRule="auto"/>
              <w:jc w:val="both"/>
              <w:rPr>
                <w:rFonts w:ascii="Times New Roman" w:hAnsi="Times New Roman" w:cs="Times New Roman"/>
                <w:sz w:val="24"/>
                <w:szCs w:val="24"/>
              </w:rPr>
            </w:pPr>
          </w:p>
        </w:tc>
      </w:tr>
      <w:bookmarkEnd w:id="0"/>
      <w:bookmarkEnd w:id="1"/>
    </w:tbl>
    <w:p w14:paraId="7E7CD4AB" w14:textId="77777777" w:rsidR="00690913" w:rsidRDefault="00690913">
      <w:pPr>
        <w:tabs>
          <w:tab w:val="left" w:pos="2665"/>
        </w:tabs>
        <w:rPr>
          <w:rFonts w:ascii="Times New Roman" w:hAnsi="Times New Roman" w:cs="Times New Roman"/>
          <w:b/>
          <w:bCs/>
          <w:sz w:val="24"/>
          <w:szCs w:val="24"/>
        </w:rPr>
      </w:pPr>
    </w:p>
    <w:p w14:paraId="15F7A873" w14:textId="77777777" w:rsidR="00690913" w:rsidRDefault="00690913">
      <w:pPr>
        <w:tabs>
          <w:tab w:val="left" w:pos="2665"/>
        </w:tabs>
        <w:rPr>
          <w:rFonts w:ascii="Times New Roman" w:hAnsi="Times New Roman" w:cs="Times New Roman"/>
          <w:sz w:val="24"/>
          <w:szCs w:val="24"/>
        </w:rPr>
        <w:sectPr w:rsidR="00690913">
          <w:type w:val="nextColumn"/>
          <w:pgSz w:w="12240" w:h="15840" w:code="1"/>
          <w:pgMar w:top="1418" w:right="1418" w:bottom="1418" w:left="1418" w:header="708" w:footer="708" w:gutter="0"/>
          <w:lnNumType w:countBy="1" w:restart="continuous"/>
          <w:cols w:space="708"/>
          <w:docGrid w:linePitch="360"/>
        </w:sectPr>
      </w:pPr>
    </w:p>
    <w:p w14:paraId="5905EEDC" w14:textId="77777777" w:rsidR="00690913" w:rsidRDefault="00BA3663">
      <w:pPr>
        <w:tabs>
          <w:tab w:val="left" w:pos="9072"/>
          <w:tab w:val="left" w:pos="9356"/>
        </w:tabs>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TABLE S2</w:t>
      </w:r>
    </w:p>
    <w:tbl>
      <w:tblPr>
        <w:tblStyle w:val="ListTable1Light"/>
        <w:tblW w:w="0" w:type="auto"/>
        <w:tblLook w:val="04A0" w:firstRow="1" w:lastRow="0" w:firstColumn="1" w:lastColumn="0" w:noHBand="0" w:noVBand="1"/>
      </w:tblPr>
      <w:tblGrid>
        <w:gridCol w:w="1216"/>
        <w:gridCol w:w="2069"/>
        <w:gridCol w:w="2784"/>
        <w:gridCol w:w="1288"/>
        <w:gridCol w:w="1088"/>
        <w:gridCol w:w="1131"/>
        <w:gridCol w:w="1088"/>
        <w:gridCol w:w="1088"/>
        <w:gridCol w:w="1208"/>
      </w:tblGrid>
      <w:tr w:rsidR="00690913" w14:paraId="22BF5828" w14:textId="77777777" w:rsidTr="006909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gridSpan w:val="9"/>
            <w:tcBorders>
              <w:top w:val="single" w:sz="12" w:space="0" w:color="auto"/>
            </w:tcBorders>
            <w:shd w:val="clear" w:color="auto" w:fill="auto"/>
          </w:tcPr>
          <w:p w14:paraId="53A958C5" w14:textId="77777777" w:rsidR="00690913" w:rsidRDefault="00BA3663">
            <w:pPr>
              <w:tabs>
                <w:tab w:val="left" w:pos="9072"/>
                <w:tab w:val="left" w:pos="9356"/>
              </w:tabs>
              <w:spacing w:after="0" w:line="480" w:lineRule="auto"/>
              <w:jc w:val="center"/>
              <w:rPr>
                <w:rFonts w:ascii="Times New Roman" w:hAnsi="Times New Roman" w:cs="Times New Roman"/>
                <w:color w:val="000000"/>
                <w:sz w:val="24"/>
                <w:szCs w:val="24"/>
              </w:rPr>
            </w:pPr>
            <w:r>
              <w:rPr>
                <w:rFonts w:ascii="Times New Roman" w:hAnsi="Times New Roman" w:cs="Times New Roman"/>
                <w:sz w:val="24"/>
                <w:szCs w:val="24"/>
              </w:rPr>
              <w:t xml:space="preserve">                                                                                    </w:t>
            </w:r>
            <w:r>
              <w:rPr>
                <w:rFonts w:ascii="Times New Roman" w:hAnsi="Times New Roman" w:cs="Times New Roman"/>
                <w:b w:val="0"/>
                <w:bCs w:val="0"/>
                <w:sz w:val="24"/>
                <w:szCs w:val="24"/>
              </w:rPr>
              <w:t>Leaf element concentration (mg g</w:t>
            </w:r>
            <w:r>
              <w:rPr>
                <w:rFonts w:ascii="Times New Roman" w:hAnsi="Times New Roman" w:cs="Times New Roman"/>
                <w:b w:val="0"/>
                <w:bCs w:val="0"/>
                <w:sz w:val="24"/>
                <w:szCs w:val="24"/>
                <w:vertAlign w:val="superscript"/>
              </w:rPr>
              <w:t>-1</w:t>
            </w:r>
            <w:r>
              <w:rPr>
                <w:rFonts w:ascii="Times New Roman" w:hAnsi="Times New Roman" w:cs="Times New Roman"/>
                <w:b w:val="0"/>
                <w:bCs w:val="0"/>
                <w:sz w:val="24"/>
                <w:szCs w:val="24"/>
              </w:rPr>
              <w:t>)</w:t>
            </w:r>
          </w:p>
        </w:tc>
      </w:tr>
      <w:tr w:rsidR="00690913" w14:paraId="7900D6DC"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bottom w:val="single" w:sz="4" w:space="0" w:color="auto"/>
            </w:tcBorders>
            <w:shd w:val="clear" w:color="auto" w:fill="auto"/>
          </w:tcPr>
          <w:p w14:paraId="21A5C129" w14:textId="77777777" w:rsidR="00690913" w:rsidRDefault="00BA3663">
            <w:pPr>
              <w:tabs>
                <w:tab w:val="left" w:pos="9072"/>
                <w:tab w:val="left" w:pos="9356"/>
              </w:tabs>
              <w:spacing w:after="0" w:line="48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Lifeform</w:t>
            </w:r>
          </w:p>
        </w:tc>
        <w:tc>
          <w:tcPr>
            <w:tcW w:w="0" w:type="auto"/>
            <w:tcBorders>
              <w:bottom w:val="single" w:sz="4" w:space="0" w:color="auto"/>
            </w:tcBorders>
            <w:shd w:val="clear" w:color="auto" w:fill="auto"/>
          </w:tcPr>
          <w:p w14:paraId="6EF0186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Family</w:t>
            </w:r>
          </w:p>
        </w:tc>
        <w:tc>
          <w:tcPr>
            <w:tcW w:w="0" w:type="auto"/>
            <w:tcBorders>
              <w:bottom w:val="single" w:sz="4" w:space="0" w:color="auto"/>
            </w:tcBorders>
            <w:shd w:val="clear" w:color="auto" w:fill="auto"/>
          </w:tcPr>
          <w:p w14:paraId="0BE652AA"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Species</w:t>
            </w:r>
          </w:p>
        </w:tc>
        <w:tc>
          <w:tcPr>
            <w:tcW w:w="0" w:type="auto"/>
            <w:tcBorders>
              <w:bottom w:val="single" w:sz="4" w:space="0" w:color="auto"/>
            </w:tcBorders>
            <w:shd w:val="clear" w:color="auto" w:fill="auto"/>
          </w:tcPr>
          <w:p w14:paraId="1DFDEC72"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N </w:t>
            </w:r>
          </w:p>
        </w:tc>
        <w:tc>
          <w:tcPr>
            <w:tcW w:w="0" w:type="auto"/>
            <w:tcBorders>
              <w:bottom w:val="single" w:sz="4" w:space="0" w:color="auto"/>
            </w:tcBorders>
            <w:shd w:val="clear" w:color="auto" w:fill="auto"/>
          </w:tcPr>
          <w:p w14:paraId="31649D18"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P </w:t>
            </w:r>
          </w:p>
        </w:tc>
        <w:tc>
          <w:tcPr>
            <w:tcW w:w="0" w:type="auto"/>
            <w:tcBorders>
              <w:bottom w:val="single" w:sz="4" w:space="0" w:color="auto"/>
            </w:tcBorders>
            <w:shd w:val="clear" w:color="auto" w:fill="auto"/>
          </w:tcPr>
          <w:p w14:paraId="7BEB66B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K </w:t>
            </w:r>
          </w:p>
        </w:tc>
        <w:tc>
          <w:tcPr>
            <w:tcW w:w="0" w:type="auto"/>
            <w:tcBorders>
              <w:bottom w:val="single" w:sz="4" w:space="0" w:color="auto"/>
            </w:tcBorders>
            <w:shd w:val="clear" w:color="auto" w:fill="auto"/>
          </w:tcPr>
          <w:p w14:paraId="10D0D29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Ca </w:t>
            </w:r>
          </w:p>
        </w:tc>
        <w:tc>
          <w:tcPr>
            <w:tcW w:w="0" w:type="auto"/>
            <w:tcBorders>
              <w:bottom w:val="single" w:sz="4" w:space="0" w:color="auto"/>
            </w:tcBorders>
            <w:shd w:val="clear" w:color="auto" w:fill="auto"/>
          </w:tcPr>
          <w:p w14:paraId="362B258C"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Mg </w:t>
            </w:r>
          </w:p>
        </w:tc>
        <w:tc>
          <w:tcPr>
            <w:tcW w:w="0" w:type="auto"/>
            <w:tcBorders>
              <w:bottom w:val="single" w:sz="4" w:space="0" w:color="auto"/>
            </w:tcBorders>
            <w:shd w:val="clear" w:color="auto" w:fill="auto"/>
          </w:tcPr>
          <w:p w14:paraId="304C450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 xml:space="preserve">Al </w:t>
            </w:r>
          </w:p>
        </w:tc>
      </w:tr>
      <w:tr w:rsidR="00690913" w14:paraId="40337C4C" w14:textId="77777777" w:rsidTr="00690913">
        <w:tc>
          <w:tcPr>
            <w:cnfStyle w:val="001000000000" w:firstRow="0" w:lastRow="0" w:firstColumn="1" w:lastColumn="0" w:oddVBand="0" w:evenVBand="0" w:oddHBand="0" w:evenHBand="0" w:firstRowFirstColumn="0" w:firstRowLastColumn="0" w:lastRowFirstColumn="0" w:lastRowLastColumn="0"/>
            <w:tcW w:w="0" w:type="auto"/>
            <w:tcBorders>
              <w:top w:val="single" w:sz="4" w:space="0" w:color="auto"/>
            </w:tcBorders>
            <w:shd w:val="clear" w:color="auto" w:fill="auto"/>
          </w:tcPr>
          <w:p w14:paraId="303FB467" w14:textId="77777777" w:rsidR="00690913" w:rsidRDefault="00BA3663">
            <w:r>
              <w:rPr>
                <w:rFonts w:ascii="Times New Roman" w:hAnsi="Times New Roman" w:cs="Times New Roman"/>
                <w:b w:val="0"/>
                <w:bCs w:val="0"/>
                <w:color w:val="000000"/>
                <w:sz w:val="24"/>
                <w:szCs w:val="24"/>
              </w:rPr>
              <w:t>Epiphytic</w:t>
            </w:r>
          </w:p>
        </w:tc>
        <w:tc>
          <w:tcPr>
            <w:tcW w:w="0" w:type="auto"/>
            <w:tcBorders>
              <w:top w:val="single" w:sz="4" w:space="0" w:color="auto"/>
            </w:tcBorders>
            <w:shd w:val="clear" w:color="auto" w:fill="auto"/>
          </w:tcPr>
          <w:p w14:paraId="16F89E4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Pteridaceae</w:t>
            </w:r>
          </w:p>
        </w:tc>
        <w:tc>
          <w:tcPr>
            <w:tcW w:w="0" w:type="auto"/>
            <w:tcBorders>
              <w:top w:val="single" w:sz="4" w:space="0" w:color="auto"/>
            </w:tcBorders>
            <w:shd w:val="clear" w:color="auto" w:fill="auto"/>
          </w:tcPr>
          <w:p w14:paraId="5ADCA88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Antrophyum callifolium</w:t>
            </w:r>
          </w:p>
        </w:tc>
        <w:tc>
          <w:tcPr>
            <w:tcW w:w="0" w:type="auto"/>
            <w:tcBorders>
              <w:top w:val="single" w:sz="4" w:space="0" w:color="auto"/>
            </w:tcBorders>
            <w:shd w:val="clear" w:color="auto" w:fill="auto"/>
          </w:tcPr>
          <w:p w14:paraId="5E39958F"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16.18 ± 1.26</w:t>
            </w:r>
          </w:p>
          <w:p w14:paraId="622B8556"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tcBorders>
              <w:top w:val="single" w:sz="4" w:space="0" w:color="auto"/>
            </w:tcBorders>
            <w:shd w:val="clear" w:color="auto" w:fill="auto"/>
          </w:tcPr>
          <w:p w14:paraId="3AA70DC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1.68 ± 0.09</w:t>
            </w:r>
          </w:p>
          <w:p w14:paraId="35C88DD2"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tcBorders>
              <w:top w:val="single" w:sz="4" w:space="0" w:color="auto"/>
            </w:tcBorders>
            <w:shd w:val="clear" w:color="auto" w:fill="auto"/>
          </w:tcPr>
          <w:p w14:paraId="69F574CC"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2.09 ± 0.14</w:t>
            </w:r>
          </w:p>
          <w:p w14:paraId="088EA93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tcBorders>
              <w:top w:val="single" w:sz="4" w:space="0" w:color="auto"/>
            </w:tcBorders>
            <w:shd w:val="clear" w:color="auto" w:fill="auto"/>
          </w:tcPr>
          <w:p w14:paraId="63FDE35D"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7.85 ± 0.56</w:t>
            </w:r>
          </w:p>
          <w:p w14:paraId="1E085ED3"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tcBorders>
              <w:top w:val="single" w:sz="4" w:space="0" w:color="auto"/>
            </w:tcBorders>
            <w:shd w:val="clear" w:color="auto" w:fill="auto"/>
          </w:tcPr>
          <w:p w14:paraId="422A77A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3.07 ± 0.24</w:t>
            </w:r>
          </w:p>
          <w:p w14:paraId="723E1C6F"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tcBorders>
              <w:top w:val="single" w:sz="4" w:space="0" w:color="auto"/>
            </w:tcBorders>
            <w:shd w:val="clear" w:color="auto" w:fill="auto"/>
          </w:tcPr>
          <w:p w14:paraId="53D5C070"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0.07 ± 0.003</w:t>
            </w:r>
          </w:p>
          <w:p w14:paraId="4A447B1A"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300453F5"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2344003" w14:textId="77777777" w:rsidR="00690913" w:rsidRDefault="00BA3663">
            <w:r>
              <w:rPr>
                <w:rFonts w:ascii="Times New Roman" w:hAnsi="Times New Roman" w:cs="Times New Roman"/>
                <w:b w:val="0"/>
                <w:bCs w:val="0"/>
                <w:color w:val="000000"/>
                <w:sz w:val="24"/>
                <w:szCs w:val="24"/>
              </w:rPr>
              <w:t>Epiphytic</w:t>
            </w:r>
          </w:p>
        </w:tc>
        <w:tc>
          <w:tcPr>
            <w:tcW w:w="0" w:type="auto"/>
            <w:shd w:val="clear" w:color="auto" w:fill="auto"/>
          </w:tcPr>
          <w:p w14:paraId="798862B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Aspleniaceae</w:t>
            </w:r>
          </w:p>
        </w:tc>
        <w:tc>
          <w:tcPr>
            <w:tcW w:w="0" w:type="auto"/>
            <w:shd w:val="clear" w:color="auto" w:fill="auto"/>
          </w:tcPr>
          <w:p w14:paraId="004100F3"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Asplenium tenerum</w:t>
            </w:r>
          </w:p>
        </w:tc>
        <w:tc>
          <w:tcPr>
            <w:tcW w:w="0" w:type="auto"/>
            <w:shd w:val="clear" w:color="auto" w:fill="auto"/>
          </w:tcPr>
          <w:p w14:paraId="58CE095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13.94 ± 2.27</w:t>
            </w:r>
          </w:p>
          <w:p w14:paraId="734A69F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8CFF28A"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1.64 ± 0.08</w:t>
            </w:r>
          </w:p>
          <w:p w14:paraId="2C98487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920B6C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1.97 ± 0.20</w:t>
            </w:r>
          </w:p>
          <w:p w14:paraId="2710B6F4"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7476D21"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8.00 ± 0.86</w:t>
            </w:r>
          </w:p>
          <w:p w14:paraId="1A32779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D218A5C"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2.77 ± 0.36</w:t>
            </w:r>
          </w:p>
          <w:p w14:paraId="2AC5A3FF"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B31266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0.14 ± 0.01</w:t>
            </w:r>
          </w:p>
          <w:p w14:paraId="279C3E0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690913" w14:paraId="7FC09CB2"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115A76F" w14:textId="77777777" w:rsidR="00690913" w:rsidRDefault="00BA3663">
            <w:pPr>
              <w:tabs>
                <w:tab w:val="left" w:pos="9072"/>
                <w:tab w:val="left" w:pos="9356"/>
              </w:tabs>
              <w:spacing w:after="0" w:line="480" w:lineRule="auto"/>
              <w:jc w:val="both"/>
              <w:rPr>
                <w:rFonts w:ascii="Times New Roman" w:hAnsi="Times New Roman" w:cs="Times New Roman"/>
                <w:b w:val="0"/>
                <w:bCs w:val="0"/>
                <w:sz w:val="24"/>
                <w:szCs w:val="24"/>
              </w:rPr>
            </w:pPr>
            <w:r>
              <w:rPr>
                <w:rFonts w:ascii="Times New Roman" w:hAnsi="Times New Roman" w:cs="Times New Roman"/>
                <w:b w:val="0"/>
                <w:bCs w:val="0"/>
                <w:sz w:val="24"/>
                <w:szCs w:val="24"/>
              </w:rPr>
              <w:t>Terrestrial</w:t>
            </w:r>
          </w:p>
        </w:tc>
        <w:tc>
          <w:tcPr>
            <w:tcW w:w="0" w:type="auto"/>
            <w:shd w:val="clear" w:color="auto" w:fill="auto"/>
          </w:tcPr>
          <w:p w14:paraId="26C52777"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Athyriaceae</w:t>
            </w:r>
          </w:p>
        </w:tc>
        <w:tc>
          <w:tcPr>
            <w:tcW w:w="0" w:type="auto"/>
            <w:shd w:val="clear" w:color="auto" w:fill="auto"/>
          </w:tcPr>
          <w:p w14:paraId="7487C769"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Athyrium sp.</w:t>
            </w:r>
          </w:p>
        </w:tc>
        <w:tc>
          <w:tcPr>
            <w:tcW w:w="0" w:type="auto"/>
            <w:shd w:val="clear" w:color="auto" w:fill="auto"/>
          </w:tcPr>
          <w:p w14:paraId="17F9F66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8.74 ± 1.06</w:t>
            </w:r>
          </w:p>
          <w:p w14:paraId="6B6F104E"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ED16B5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1.50 ± 0.07</w:t>
            </w:r>
          </w:p>
          <w:p w14:paraId="630F846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5574C2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0.95 ± 0.07</w:t>
            </w:r>
          </w:p>
          <w:p w14:paraId="6111E4E9"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687AFF1"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3.32 ± 0.18</w:t>
            </w:r>
          </w:p>
          <w:p w14:paraId="1E75563E"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67A4A0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4.66 ± 0.26</w:t>
            </w:r>
          </w:p>
          <w:p w14:paraId="6C76257C"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B89026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0.11 ± 0.003</w:t>
            </w:r>
          </w:p>
          <w:p w14:paraId="222EFD85"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071E5060"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B486083"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42AB413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Blechnaceae</w:t>
            </w:r>
          </w:p>
        </w:tc>
        <w:tc>
          <w:tcPr>
            <w:tcW w:w="0" w:type="auto"/>
            <w:shd w:val="clear" w:color="auto" w:fill="auto"/>
          </w:tcPr>
          <w:p w14:paraId="3EF149E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Blechnum finlaysonianum</w:t>
            </w:r>
          </w:p>
          <w:p w14:paraId="49ACC682"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4484DC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25.25 ± 3.80</w:t>
            </w:r>
          </w:p>
          <w:p w14:paraId="64DCC25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418E89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1.42 ± 0.06</w:t>
            </w:r>
          </w:p>
          <w:p w14:paraId="4A9F9FED"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8C7345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1.85 ± 0.12</w:t>
            </w:r>
          </w:p>
          <w:p w14:paraId="3D2FE75D"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1CBBAF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1.77 ± 0.11</w:t>
            </w:r>
          </w:p>
          <w:p w14:paraId="2FD184CE"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3E0A748"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2.69 ± 0.23</w:t>
            </w:r>
          </w:p>
          <w:p w14:paraId="2C7E43D5"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2FD119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0.20 ± 0.02</w:t>
            </w:r>
          </w:p>
          <w:p w14:paraId="41983461"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690913" w14:paraId="5D2299CD"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0FE22E8" w14:textId="77777777" w:rsidR="00690913" w:rsidRDefault="00BA3663">
            <w:r>
              <w:rPr>
                <w:rFonts w:ascii="Times New Roman" w:hAnsi="Times New Roman" w:cs="Times New Roman"/>
                <w:b w:val="0"/>
                <w:bCs w:val="0"/>
                <w:sz w:val="24"/>
                <w:szCs w:val="24"/>
              </w:rPr>
              <w:lastRenderedPageBreak/>
              <w:t>Terrestrial</w:t>
            </w:r>
          </w:p>
        </w:tc>
        <w:tc>
          <w:tcPr>
            <w:tcW w:w="0" w:type="auto"/>
            <w:shd w:val="clear" w:color="auto" w:fill="auto"/>
          </w:tcPr>
          <w:p w14:paraId="208DE252"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Hymenophyllaceae</w:t>
            </w:r>
          </w:p>
        </w:tc>
        <w:tc>
          <w:tcPr>
            <w:tcW w:w="0" w:type="auto"/>
            <w:shd w:val="clear" w:color="auto" w:fill="auto"/>
          </w:tcPr>
          <w:p w14:paraId="7E301490"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Chephalomanes javanicum</w:t>
            </w:r>
          </w:p>
          <w:p w14:paraId="1591E209"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899215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12.19 ± 2.35</w:t>
            </w:r>
          </w:p>
          <w:p w14:paraId="45A1485F"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76233B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1.63 ± 0.04</w:t>
            </w:r>
          </w:p>
          <w:p w14:paraId="6D66A6BB"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6173711"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0.67 ± 0.04</w:t>
            </w:r>
          </w:p>
          <w:p w14:paraId="13A846A5"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9AAD5A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1.79 ± 0.14</w:t>
            </w:r>
          </w:p>
          <w:p w14:paraId="69D31380"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19FF94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3.75 ± 0.27</w:t>
            </w:r>
          </w:p>
          <w:p w14:paraId="512BFD1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F98B6A5"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2.50 ± 0.50</w:t>
            </w:r>
          </w:p>
          <w:p w14:paraId="40A38B4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5E5B6FCA"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3732F1B"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44E2EC4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Hymenophyllaceae</w:t>
            </w:r>
          </w:p>
        </w:tc>
        <w:tc>
          <w:tcPr>
            <w:tcW w:w="0" w:type="auto"/>
            <w:shd w:val="clear" w:color="auto" w:fill="auto"/>
          </w:tcPr>
          <w:p w14:paraId="508F7F51"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Chephalomanes singaporeonum</w:t>
            </w:r>
          </w:p>
          <w:p w14:paraId="2C14154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9801563"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13.15 ± 5.55</w:t>
            </w:r>
          </w:p>
          <w:p w14:paraId="61C1485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F00EF1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1.88 ± 0.09</w:t>
            </w:r>
          </w:p>
          <w:p w14:paraId="71E256F8"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32F58B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0.28 ± 0.02</w:t>
            </w:r>
          </w:p>
          <w:p w14:paraId="1A6B1842"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98E632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0.86 ± 0.05</w:t>
            </w:r>
          </w:p>
          <w:p w14:paraId="067EE4CE"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D1C5C32"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3.39 ± 0.16</w:t>
            </w:r>
          </w:p>
          <w:p w14:paraId="5409CE31"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7381A73"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7A41B09F"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4DC7331"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483C24B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Marattiaceae</w:t>
            </w:r>
          </w:p>
          <w:p w14:paraId="4658B14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395F13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Christensenia aesculifolia</w:t>
            </w:r>
          </w:p>
          <w:p w14:paraId="3A53D7EC"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D8F45C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3.91 ± 0.87</w:t>
            </w:r>
          </w:p>
          <w:p w14:paraId="3C741930"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CF72DFD"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1.81 ± 0.05</w:t>
            </w:r>
          </w:p>
          <w:p w14:paraId="41AC1DCC"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300019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1.19 ± 0.13</w:t>
            </w:r>
          </w:p>
          <w:p w14:paraId="324AAA1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56C2E30"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4.57 ± 0.39</w:t>
            </w:r>
          </w:p>
          <w:p w14:paraId="5234E59E"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259B3B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3.70 ± 0.34</w:t>
            </w:r>
          </w:p>
          <w:p w14:paraId="5651559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94D6C55"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1F304DA6"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521C95C"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3C36A32B"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Cyatheaceae</w:t>
            </w:r>
          </w:p>
        </w:tc>
        <w:tc>
          <w:tcPr>
            <w:tcW w:w="0" w:type="auto"/>
            <w:shd w:val="clear" w:color="auto" w:fill="auto"/>
          </w:tcPr>
          <w:p w14:paraId="171E6CC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Cyathea Trichoderma</w:t>
            </w:r>
          </w:p>
          <w:p w14:paraId="0540FFEB"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29A68F1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27.39 ± 10.61</w:t>
            </w:r>
          </w:p>
          <w:p w14:paraId="75CD6D4D"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4E7296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1.50 ± 0.21</w:t>
            </w:r>
          </w:p>
          <w:p w14:paraId="132BDC7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4B478E0"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0.95 ± 0.07</w:t>
            </w:r>
          </w:p>
          <w:p w14:paraId="6A8DE81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10D957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1.34 ± 0.11</w:t>
            </w:r>
          </w:p>
          <w:p w14:paraId="612BF1A3"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DE1DA4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1.20 ± 0.13</w:t>
            </w:r>
          </w:p>
          <w:p w14:paraId="0C7F840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2F8B6D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0.05 ± 0.002</w:t>
            </w:r>
          </w:p>
          <w:p w14:paraId="6A8C3092"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690913" w14:paraId="3BB5AABC"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B1F8F68"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24CD41C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Athyriaceae</w:t>
            </w:r>
          </w:p>
          <w:p w14:paraId="71623813"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00E329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Diplazium porphyrorachis</w:t>
            </w:r>
          </w:p>
          <w:p w14:paraId="1BB827F9"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2E22FC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10.65 ± 4.23</w:t>
            </w:r>
          </w:p>
          <w:p w14:paraId="3A4EF713"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2696654"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1.62 ± 0.16</w:t>
            </w:r>
          </w:p>
          <w:p w14:paraId="20876781"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59A822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2.20 ± 0.10</w:t>
            </w:r>
          </w:p>
          <w:p w14:paraId="1380DFAD"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211B5D4"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3.33 ± 0.09</w:t>
            </w:r>
          </w:p>
          <w:p w14:paraId="0C7978E2"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2B1F3B0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2.17 ± 0.08</w:t>
            </w:r>
          </w:p>
          <w:p w14:paraId="6828A64D"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A80D699"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2EC35EB6"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4363D194" w14:textId="77777777" w:rsidR="00690913" w:rsidRDefault="00BA3663">
            <w:r>
              <w:rPr>
                <w:rFonts w:ascii="Times New Roman" w:hAnsi="Times New Roman" w:cs="Times New Roman"/>
                <w:b w:val="0"/>
                <w:bCs w:val="0"/>
                <w:sz w:val="24"/>
                <w:szCs w:val="24"/>
              </w:rPr>
              <w:lastRenderedPageBreak/>
              <w:t>Terrestrial</w:t>
            </w:r>
          </w:p>
        </w:tc>
        <w:tc>
          <w:tcPr>
            <w:tcW w:w="0" w:type="auto"/>
            <w:shd w:val="clear" w:color="auto" w:fill="auto"/>
          </w:tcPr>
          <w:p w14:paraId="676BE81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Athyriaceae</w:t>
            </w:r>
          </w:p>
          <w:p w14:paraId="31B3A594"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3E3F5D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Diplazium riparium</w:t>
            </w:r>
          </w:p>
          <w:p w14:paraId="6B5AC8C3"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4D4DF9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24.22 ± 3.14</w:t>
            </w:r>
          </w:p>
          <w:p w14:paraId="4593972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A19819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1.45 ± 0.13</w:t>
            </w:r>
          </w:p>
          <w:p w14:paraId="4F8D44F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99B79AA"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1.47 ± 0.07</w:t>
            </w:r>
          </w:p>
          <w:p w14:paraId="5C9768F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7A2AF7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4.06 ± 0.08</w:t>
            </w:r>
          </w:p>
          <w:p w14:paraId="773212A3"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701F013"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3.42 ± 0.07</w:t>
            </w:r>
          </w:p>
          <w:p w14:paraId="0063E24C"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2ED257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0B2219F8"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8154677"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033D00D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Dipteridaceae</w:t>
            </w:r>
          </w:p>
        </w:tc>
        <w:tc>
          <w:tcPr>
            <w:tcW w:w="0" w:type="auto"/>
            <w:shd w:val="clear" w:color="auto" w:fill="auto"/>
          </w:tcPr>
          <w:p w14:paraId="56555DF7"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Dipteris lobbiana</w:t>
            </w:r>
          </w:p>
        </w:tc>
        <w:tc>
          <w:tcPr>
            <w:tcW w:w="0" w:type="auto"/>
            <w:shd w:val="clear" w:color="auto" w:fill="auto"/>
          </w:tcPr>
          <w:p w14:paraId="2402B93B"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14.34 ± 2.16</w:t>
            </w:r>
          </w:p>
          <w:p w14:paraId="1788D78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7C0969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1.51 ± 0.12</w:t>
            </w:r>
          </w:p>
          <w:p w14:paraId="325D8B60"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9B8B30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0.36 ± 0.06</w:t>
            </w:r>
          </w:p>
          <w:p w14:paraId="4DB8BC2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3170F3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1.27 ± 0.14</w:t>
            </w:r>
          </w:p>
          <w:p w14:paraId="66B086A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D2A994D"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0.57 ± 0.08</w:t>
            </w:r>
          </w:p>
          <w:p w14:paraId="0647D04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C0DFB34"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0.03 ± 0.004</w:t>
            </w:r>
          </w:p>
          <w:p w14:paraId="0F6AB15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43D0D6E7"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64AFDE2" w14:textId="77777777" w:rsidR="00690913" w:rsidRDefault="00BA3663">
            <w:pPr>
              <w:tabs>
                <w:tab w:val="left" w:pos="9072"/>
                <w:tab w:val="left" w:pos="9356"/>
              </w:tabs>
              <w:spacing w:after="0" w:line="480" w:lineRule="auto"/>
              <w:jc w:val="both"/>
              <w:rPr>
                <w:rFonts w:ascii="Times New Roman" w:hAnsi="Times New Roman" w:cs="Times New Roman"/>
                <w:b w:val="0"/>
                <w:bCs w:val="0"/>
                <w:sz w:val="24"/>
                <w:szCs w:val="24"/>
              </w:rPr>
            </w:pPr>
            <w:r>
              <w:rPr>
                <w:rFonts w:ascii="Times New Roman" w:hAnsi="Times New Roman" w:cs="Times New Roman"/>
                <w:b w:val="0"/>
                <w:bCs w:val="0"/>
                <w:color w:val="000000"/>
                <w:sz w:val="24"/>
                <w:szCs w:val="24"/>
              </w:rPr>
              <w:t>Epiphytic</w:t>
            </w:r>
          </w:p>
        </w:tc>
        <w:tc>
          <w:tcPr>
            <w:tcW w:w="0" w:type="auto"/>
            <w:shd w:val="clear" w:color="auto" w:fill="auto"/>
          </w:tcPr>
          <w:p w14:paraId="75FAA92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Pteridaceae</w:t>
            </w:r>
          </w:p>
        </w:tc>
        <w:tc>
          <w:tcPr>
            <w:tcW w:w="0" w:type="auto"/>
            <w:shd w:val="clear" w:color="auto" w:fill="auto"/>
          </w:tcPr>
          <w:p w14:paraId="2C394100"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Haplopteris longifolia</w:t>
            </w:r>
          </w:p>
        </w:tc>
        <w:tc>
          <w:tcPr>
            <w:tcW w:w="0" w:type="auto"/>
            <w:shd w:val="clear" w:color="auto" w:fill="auto"/>
          </w:tcPr>
          <w:p w14:paraId="2B7F5712"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4.22 ± 1.34</w:t>
            </w:r>
          </w:p>
          <w:p w14:paraId="4F3C1E9C"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06F350A"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2.07 ± 0.13</w:t>
            </w:r>
          </w:p>
          <w:p w14:paraId="5552AFD3"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03020C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1.31 ± 0.15</w:t>
            </w:r>
          </w:p>
          <w:p w14:paraId="31660DB8"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32911C1"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2.49 ± 0.32</w:t>
            </w:r>
          </w:p>
          <w:p w14:paraId="499ADEA5"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55C4F5C"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1.52 ± 0.22</w:t>
            </w:r>
          </w:p>
          <w:p w14:paraId="515D5A15"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555B36C"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36B84206"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DD13D40"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1F27983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Lindsaeaceae</w:t>
            </w:r>
          </w:p>
        </w:tc>
        <w:tc>
          <w:tcPr>
            <w:tcW w:w="0" w:type="auto"/>
            <w:shd w:val="clear" w:color="auto" w:fill="auto"/>
          </w:tcPr>
          <w:p w14:paraId="4D07594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Lindsaea borneensis</w:t>
            </w:r>
          </w:p>
          <w:p w14:paraId="2DF82CAB"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24D660FB"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27.90 ± 3.69</w:t>
            </w:r>
          </w:p>
        </w:tc>
        <w:tc>
          <w:tcPr>
            <w:tcW w:w="0" w:type="auto"/>
            <w:shd w:val="clear" w:color="auto" w:fill="auto"/>
          </w:tcPr>
          <w:p w14:paraId="4F535440"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0.81 ± 0.10</w:t>
            </w:r>
          </w:p>
        </w:tc>
        <w:tc>
          <w:tcPr>
            <w:tcW w:w="0" w:type="auto"/>
            <w:shd w:val="clear" w:color="auto" w:fill="auto"/>
          </w:tcPr>
          <w:p w14:paraId="4AD3F7A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0.75 ± 0.09</w:t>
            </w:r>
          </w:p>
        </w:tc>
        <w:tc>
          <w:tcPr>
            <w:tcW w:w="0" w:type="auto"/>
            <w:shd w:val="clear" w:color="auto" w:fill="auto"/>
          </w:tcPr>
          <w:p w14:paraId="40D000A1"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0.96 ± 0.08</w:t>
            </w:r>
          </w:p>
        </w:tc>
        <w:tc>
          <w:tcPr>
            <w:tcW w:w="0" w:type="auto"/>
            <w:shd w:val="clear" w:color="auto" w:fill="auto"/>
          </w:tcPr>
          <w:p w14:paraId="06B5073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1.12 ± 0.10</w:t>
            </w:r>
          </w:p>
        </w:tc>
        <w:tc>
          <w:tcPr>
            <w:tcW w:w="0" w:type="auto"/>
            <w:shd w:val="clear" w:color="auto" w:fill="auto"/>
          </w:tcPr>
          <w:p w14:paraId="69E2A3F1"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1AB740D5"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5C9A21E"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335D2CBF" w14:textId="77777777" w:rsidR="00690913" w:rsidRDefault="00BA3663">
            <w:pPr>
              <w:cnfStyle w:val="000000100000" w:firstRow="0" w:lastRow="0" w:firstColumn="0" w:lastColumn="0" w:oddVBand="0" w:evenVBand="0" w:oddHBand="1" w:evenHBand="0" w:firstRowFirstColumn="0" w:firstRowLastColumn="0" w:lastRowFirstColumn="0" w:lastRowLastColumn="0"/>
            </w:pPr>
            <w:r>
              <w:rPr>
                <w:rFonts w:ascii="Times New Roman" w:hAnsi="Times New Roman" w:cs="Times New Roman"/>
                <w:sz w:val="24"/>
                <w:szCs w:val="24"/>
              </w:rPr>
              <w:t>Lindsaeaceae</w:t>
            </w:r>
          </w:p>
        </w:tc>
        <w:tc>
          <w:tcPr>
            <w:tcW w:w="0" w:type="auto"/>
            <w:shd w:val="clear" w:color="auto" w:fill="auto"/>
          </w:tcPr>
          <w:p w14:paraId="188A58A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Lindsaea divergens</w:t>
            </w:r>
          </w:p>
          <w:p w14:paraId="0E78D505"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C90D112"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5.19 ± 2.21</w:t>
            </w:r>
          </w:p>
          <w:p w14:paraId="6AB1787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567D17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2.14 ± 0.05</w:t>
            </w:r>
          </w:p>
          <w:p w14:paraId="6ADB8058"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1D7A011"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1.92 ± 0.23</w:t>
            </w:r>
          </w:p>
          <w:p w14:paraId="4824557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4EF6CE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1.46 ± 0.16</w:t>
            </w:r>
          </w:p>
          <w:p w14:paraId="6032C7DE"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72A6E9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1.75 ± 0.14</w:t>
            </w:r>
          </w:p>
          <w:p w14:paraId="51E12949"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5F9C99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ND</w:t>
            </w:r>
          </w:p>
        </w:tc>
      </w:tr>
      <w:tr w:rsidR="00690913" w14:paraId="5336FEAE"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33EEDD8"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20372F5E" w14:textId="77777777" w:rsidR="00690913" w:rsidRDefault="00BA3663">
            <w:pPr>
              <w:cnfStyle w:val="000000000000" w:firstRow="0" w:lastRow="0" w:firstColumn="0" w:lastColumn="0" w:oddVBand="0" w:evenVBand="0" w:oddHBand="0" w:evenHBand="0" w:firstRowFirstColumn="0" w:firstRowLastColumn="0" w:lastRowFirstColumn="0" w:lastRowLastColumn="0"/>
            </w:pPr>
            <w:r>
              <w:rPr>
                <w:rFonts w:ascii="Times New Roman" w:hAnsi="Times New Roman" w:cs="Times New Roman"/>
                <w:sz w:val="24"/>
                <w:szCs w:val="24"/>
              </w:rPr>
              <w:t>Lindsaeaceae</w:t>
            </w:r>
          </w:p>
        </w:tc>
        <w:tc>
          <w:tcPr>
            <w:tcW w:w="0" w:type="auto"/>
            <w:shd w:val="clear" w:color="auto" w:fill="auto"/>
          </w:tcPr>
          <w:p w14:paraId="0020EFF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Lindsaea jioryophora</w:t>
            </w:r>
          </w:p>
          <w:p w14:paraId="0AA26D70"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44D1697"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25.08 ± 4.05</w:t>
            </w:r>
          </w:p>
          <w:p w14:paraId="6C6869D9"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CB193F7"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1.59 ± 0.15</w:t>
            </w:r>
          </w:p>
          <w:p w14:paraId="4386632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5963206"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2.19 ± 0.17</w:t>
            </w:r>
          </w:p>
          <w:p w14:paraId="3E09D0C5"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99ADF1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2.56 ± 0.15</w:t>
            </w:r>
          </w:p>
          <w:p w14:paraId="656C96A5"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1DC215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2.86 ± 0.15</w:t>
            </w:r>
          </w:p>
          <w:p w14:paraId="44F8DC6E"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A2D342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lastRenderedPageBreak/>
              <w:t>ND</w:t>
            </w:r>
          </w:p>
        </w:tc>
      </w:tr>
      <w:tr w:rsidR="00690913" w14:paraId="6A2AD270"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7FD547BA"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342DA7B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Marattiaceae</w:t>
            </w:r>
          </w:p>
        </w:tc>
        <w:tc>
          <w:tcPr>
            <w:tcW w:w="0" w:type="auto"/>
            <w:shd w:val="clear" w:color="auto" w:fill="auto"/>
          </w:tcPr>
          <w:p w14:paraId="5687650D"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 xml:space="preserve">Macroglossum smithii </w:t>
            </w:r>
          </w:p>
        </w:tc>
        <w:tc>
          <w:tcPr>
            <w:tcW w:w="0" w:type="auto"/>
            <w:shd w:val="clear" w:color="auto" w:fill="auto"/>
          </w:tcPr>
          <w:p w14:paraId="233C9A90"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20.69 ± 1.93</w:t>
            </w:r>
          </w:p>
          <w:p w14:paraId="67023CEF"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BE8869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2.12 ± 0.04</w:t>
            </w:r>
          </w:p>
          <w:p w14:paraId="02816DE3"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A615510"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1.30 ± 0.03</w:t>
            </w:r>
          </w:p>
          <w:p w14:paraId="4309181D"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EEEDE16"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5.54 ± 0.11</w:t>
            </w:r>
          </w:p>
          <w:p w14:paraId="3CCACBC2"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AF79C2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2.17 ± 0.04</w:t>
            </w:r>
          </w:p>
          <w:p w14:paraId="182F6E39"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EA44E8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0.30 ± 0.02</w:t>
            </w:r>
          </w:p>
          <w:p w14:paraId="3066933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690913" w14:paraId="0279E8A7"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07D7FFA3"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0476C7B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A3663">
              <w:rPr>
                <w:rFonts w:ascii="Times New Roman" w:hAnsi="Times New Roman" w:cs="Times New Roman"/>
                <w:sz w:val="24"/>
                <w:szCs w:val="24"/>
              </w:rPr>
              <w:t>Tectariaceae</w:t>
            </w:r>
          </w:p>
        </w:tc>
        <w:tc>
          <w:tcPr>
            <w:tcW w:w="0" w:type="auto"/>
            <w:shd w:val="clear" w:color="auto" w:fill="auto"/>
          </w:tcPr>
          <w:p w14:paraId="5BD967FD" w14:textId="77777777" w:rsidR="00690913" w:rsidRPr="00BA366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BA3663">
              <w:rPr>
                <w:rFonts w:ascii="Times New Roman" w:hAnsi="Times New Roman" w:cs="Times New Roman"/>
                <w:sz w:val="24"/>
                <w:szCs w:val="24"/>
              </w:rPr>
              <w:t>Malaifilix grandidentata</w:t>
            </w:r>
          </w:p>
          <w:p w14:paraId="3E7735F1"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E5D4101"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42.51 ± 7.25</w:t>
            </w:r>
          </w:p>
          <w:p w14:paraId="5A93B720"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6FE538E3"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1.74 ± 0.42</w:t>
            </w:r>
          </w:p>
          <w:p w14:paraId="47C45CBE"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326BDA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1.83 ± 0.15</w:t>
            </w:r>
          </w:p>
          <w:p w14:paraId="1046F80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DA5F325"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0.83 ± 0.06</w:t>
            </w:r>
          </w:p>
          <w:p w14:paraId="326D9AAC"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31D39639"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0.87 ± 0.09</w:t>
            </w:r>
          </w:p>
          <w:p w14:paraId="1D36C51A"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934395B"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0.02 ± 0.002</w:t>
            </w:r>
          </w:p>
          <w:p w14:paraId="438939C4"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654EAD0E"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9DEF6FB" w14:textId="77777777" w:rsidR="00690913" w:rsidRDefault="00BA3663">
            <w:r>
              <w:rPr>
                <w:rFonts w:ascii="Times New Roman" w:hAnsi="Times New Roman" w:cs="Times New Roman"/>
                <w:b w:val="0"/>
                <w:bCs w:val="0"/>
                <w:color w:val="000000"/>
                <w:sz w:val="24"/>
                <w:szCs w:val="24"/>
              </w:rPr>
              <w:t>Epiphytic</w:t>
            </w:r>
          </w:p>
        </w:tc>
        <w:tc>
          <w:tcPr>
            <w:tcW w:w="0" w:type="auto"/>
            <w:shd w:val="clear" w:color="auto" w:fill="auto"/>
          </w:tcPr>
          <w:p w14:paraId="19B5CA63"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Polypodiaceae</w:t>
            </w:r>
          </w:p>
        </w:tc>
        <w:tc>
          <w:tcPr>
            <w:tcW w:w="0" w:type="auto"/>
            <w:shd w:val="clear" w:color="auto" w:fill="auto"/>
          </w:tcPr>
          <w:p w14:paraId="6E220237"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Platycerium coronarium</w:t>
            </w:r>
          </w:p>
        </w:tc>
        <w:tc>
          <w:tcPr>
            <w:tcW w:w="0" w:type="auto"/>
            <w:shd w:val="clear" w:color="auto" w:fill="auto"/>
          </w:tcPr>
          <w:p w14:paraId="29BBF86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11.23 ± 2.18</w:t>
            </w:r>
          </w:p>
          <w:p w14:paraId="2B359482"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18F1A31"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2.09 ± 0.05</w:t>
            </w:r>
          </w:p>
          <w:p w14:paraId="29EC90E9"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737FFC9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1.18 ± 0.13</w:t>
            </w:r>
          </w:p>
          <w:p w14:paraId="1009B3F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F4A3B2F"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4.48 ± 0.26</w:t>
            </w:r>
          </w:p>
          <w:p w14:paraId="3DCD713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D7CF71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2.23 ± 0.15</w:t>
            </w:r>
          </w:p>
          <w:p w14:paraId="0E20ECD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202B2E74"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0.09 ± 0.004</w:t>
            </w:r>
          </w:p>
          <w:p w14:paraId="33A1E804"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r w:rsidR="00690913" w14:paraId="49DD7195" w14:textId="77777777" w:rsidTr="00690913">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651D67E" w14:textId="77777777" w:rsidR="00690913" w:rsidRDefault="00BA3663">
            <w:r>
              <w:rPr>
                <w:rFonts w:ascii="Times New Roman" w:hAnsi="Times New Roman" w:cs="Times New Roman"/>
                <w:b w:val="0"/>
                <w:bCs w:val="0"/>
                <w:sz w:val="24"/>
                <w:szCs w:val="24"/>
              </w:rPr>
              <w:t>Terrestrial</w:t>
            </w:r>
          </w:p>
        </w:tc>
        <w:tc>
          <w:tcPr>
            <w:tcW w:w="0" w:type="auto"/>
            <w:shd w:val="clear" w:color="auto" w:fill="auto"/>
          </w:tcPr>
          <w:p w14:paraId="5C9E628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Schizaeaceae</w:t>
            </w:r>
          </w:p>
        </w:tc>
        <w:tc>
          <w:tcPr>
            <w:tcW w:w="0" w:type="auto"/>
            <w:shd w:val="clear" w:color="auto" w:fill="auto"/>
          </w:tcPr>
          <w:p w14:paraId="4336F58A"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color w:val="000000"/>
                <w:sz w:val="24"/>
                <w:szCs w:val="24"/>
              </w:rPr>
              <w:t>Schizaea dichotoma</w:t>
            </w:r>
          </w:p>
        </w:tc>
        <w:tc>
          <w:tcPr>
            <w:tcW w:w="0" w:type="auto"/>
            <w:shd w:val="clear" w:color="auto" w:fill="auto"/>
          </w:tcPr>
          <w:p w14:paraId="2E768BD2"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30.04 ± 4.54</w:t>
            </w:r>
          </w:p>
          <w:p w14:paraId="14DEC53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4140A539"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1.65 ± 0.03</w:t>
            </w:r>
          </w:p>
          <w:p w14:paraId="680F582B"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2FB64902"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1.44 ± 0.08</w:t>
            </w:r>
          </w:p>
          <w:p w14:paraId="7F1B8DF7"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5F223E6E"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0.44 ± 0.04</w:t>
            </w:r>
          </w:p>
          <w:p w14:paraId="3FC1EBFC"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0D86FD37"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0.36 ± 0.05</w:t>
            </w:r>
          </w:p>
          <w:p w14:paraId="0EACD238"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c>
          <w:tcPr>
            <w:tcW w:w="0" w:type="auto"/>
            <w:shd w:val="clear" w:color="auto" w:fill="auto"/>
          </w:tcPr>
          <w:p w14:paraId="17095A68" w14:textId="77777777" w:rsidR="00690913" w:rsidRDefault="00BA366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0.51 ± 0.06</w:t>
            </w:r>
          </w:p>
          <w:p w14:paraId="5CDDF3C3" w14:textId="77777777" w:rsidR="00690913" w:rsidRDefault="00690913">
            <w:pPr>
              <w:tabs>
                <w:tab w:val="left" w:pos="9072"/>
                <w:tab w:val="left" w:pos="9356"/>
              </w:tabs>
              <w:spacing w:after="0" w:line="480" w:lineRule="auto"/>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
        </w:tc>
      </w:tr>
      <w:tr w:rsidR="00690913" w14:paraId="358526C4"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auto"/>
            <w:tcBorders>
              <w:bottom w:val="single" w:sz="12" w:space="0" w:color="auto"/>
            </w:tcBorders>
            <w:shd w:val="clear" w:color="auto" w:fill="auto"/>
          </w:tcPr>
          <w:p w14:paraId="4F5B30A1" w14:textId="77777777" w:rsidR="00690913" w:rsidRDefault="00BA3663">
            <w:r>
              <w:rPr>
                <w:rFonts w:ascii="Times New Roman" w:hAnsi="Times New Roman" w:cs="Times New Roman"/>
                <w:b w:val="0"/>
                <w:bCs w:val="0"/>
                <w:sz w:val="24"/>
                <w:szCs w:val="24"/>
              </w:rPr>
              <w:t>Terrestrial</w:t>
            </w:r>
          </w:p>
        </w:tc>
        <w:tc>
          <w:tcPr>
            <w:tcW w:w="0" w:type="auto"/>
            <w:tcBorders>
              <w:bottom w:val="single" w:sz="12" w:space="0" w:color="auto"/>
            </w:tcBorders>
            <w:shd w:val="clear" w:color="auto" w:fill="auto"/>
          </w:tcPr>
          <w:p w14:paraId="78655F9C"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Tectariaceae</w:t>
            </w:r>
          </w:p>
        </w:tc>
        <w:tc>
          <w:tcPr>
            <w:tcW w:w="0" w:type="auto"/>
            <w:tcBorders>
              <w:bottom w:val="single" w:sz="12" w:space="0" w:color="auto"/>
            </w:tcBorders>
            <w:shd w:val="clear" w:color="auto" w:fill="auto"/>
          </w:tcPr>
          <w:p w14:paraId="6411DCA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Tectaria angulata</w:t>
            </w:r>
          </w:p>
          <w:p w14:paraId="1C4BE68A"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26D8021E"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15.93 ± 2.98</w:t>
            </w:r>
          </w:p>
          <w:p w14:paraId="47D60566"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789A0559"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1.84 ± 0.07</w:t>
            </w:r>
          </w:p>
          <w:p w14:paraId="47CC2BBB"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7EB67D45"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1.16± 0.16</w:t>
            </w:r>
          </w:p>
          <w:p w14:paraId="39F0C63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64EFFEAB"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3.56 ± 0.26</w:t>
            </w:r>
          </w:p>
          <w:p w14:paraId="6609E12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240F78C0"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3.57 ± 0.27</w:t>
            </w:r>
          </w:p>
          <w:p w14:paraId="00982097"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c>
          <w:tcPr>
            <w:tcW w:w="0" w:type="auto"/>
            <w:tcBorders>
              <w:bottom w:val="single" w:sz="12" w:space="0" w:color="auto"/>
            </w:tcBorders>
            <w:shd w:val="clear" w:color="auto" w:fill="auto"/>
          </w:tcPr>
          <w:p w14:paraId="6726F53A" w14:textId="77777777" w:rsidR="00690913" w:rsidRDefault="00BA366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Pr>
                <w:rFonts w:ascii="Times New Roman" w:hAnsi="Times New Roman" w:cs="Times New Roman"/>
                <w:color w:val="000000"/>
                <w:sz w:val="24"/>
                <w:szCs w:val="24"/>
              </w:rPr>
              <w:t>0.01 ± 0.002</w:t>
            </w:r>
          </w:p>
          <w:p w14:paraId="5C9AB100" w14:textId="77777777" w:rsidR="00690913" w:rsidRDefault="00690913">
            <w:pPr>
              <w:tabs>
                <w:tab w:val="left" w:pos="9072"/>
                <w:tab w:val="left" w:pos="9356"/>
              </w:tabs>
              <w:spacing w:after="0" w:line="480" w:lineRule="auto"/>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
        </w:tc>
      </w:tr>
    </w:tbl>
    <w:p w14:paraId="502CF7E8" w14:textId="77777777" w:rsidR="00690913" w:rsidRDefault="00690913">
      <w:pPr>
        <w:tabs>
          <w:tab w:val="left" w:pos="9072"/>
          <w:tab w:val="left" w:pos="9356"/>
        </w:tabs>
        <w:spacing w:after="0" w:line="480" w:lineRule="auto"/>
        <w:jc w:val="center"/>
        <w:rPr>
          <w:rFonts w:ascii="Times New Roman" w:hAnsi="Times New Roman" w:cs="Times New Roman"/>
          <w:b/>
          <w:bCs/>
          <w:sz w:val="24"/>
          <w:szCs w:val="24"/>
        </w:rPr>
        <w:sectPr w:rsidR="00690913">
          <w:pgSz w:w="15840" w:h="12240" w:orient="landscape"/>
          <w:pgMar w:top="1440" w:right="1440" w:bottom="1440" w:left="1440" w:header="720" w:footer="720" w:gutter="0"/>
          <w:lnNumType w:countBy="1" w:restart="continuous"/>
          <w:cols w:space="720"/>
          <w:docGrid w:linePitch="360"/>
        </w:sectPr>
      </w:pPr>
    </w:p>
    <w:p w14:paraId="682F5CCA" w14:textId="77777777" w:rsidR="00690913" w:rsidRDefault="00BA3663">
      <w:pPr>
        <w:tabs>
          <w:tab w:val="left" w:pos="9072"/>
          <w:tab w:val="left" w:pos="9356"/>
        </w:tabs>
        <w:spacing w:after="0" w:line="48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TABLE S3</w:t>
      </w:r>
    </w:p>
    <w:tbl>
      <w:tblPr>
        <w:tblStyle w:val="ListTable1Light"/>
        <w:tblW w:w="9646" w:type="dxa"/>
        <w:tblLayout w:type="fixed"/>
        <w:tblLook w:val="04A0" w:firstRow="1" w:lastRow="0" w:firstColumn="1" w:lastColumn="0" w:noHBand="0" w:noVBand="1"/>
      </w:tblPr>
      <w:tblGrid>
        <w:gridCol w:w="1543"/>
        <w:gridCol w:w="1009"/>
        <w:gridCol w:w="1134"/>
        <w:gridCol w:w="3118"/>
        <w:gridCol w:w="2842"/>
      </w:tblGrid>
      <w:tr w:rsidR="00690913" w14:paraId="5E5F7AD3" w14:textId="77777777" w:rsidTr="0069091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Borders>
              <w:top w:val="single" w:sz="12" w:space="0" w:color="auto"/>
              <w:bottom w:val="single" w:sz="4" w:space="0" w:color="auto"/>
            </w:tcBorders>
            <w:shd w:val="clear" w:color="auto" w:fill="auto"/>
          </w:tcPr>
          <w:p w14:paraId="7C07A598"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Leaf element</w:t>
            </w:r>
          </w:p>
        </w:tc>
        <w:tc>
          <w:tcPr>
            <w:tcW w:w="1009" w:type="dxa"/>
            <w:tcBorders>
              <w:top w:val="single" w:sz="12" w:space="0" w:color="auto"/>
              <w:bottom w:val="single" w:sz="4" w:space="0" w:color="auto"/>
            </w:tcBorders>
            <w:shd w:val="clear" w:color="auto" w:fill="auto"/>
          </w:tcPr>
          <w:p w14:paraId="4C68ADDB"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i/>
                <w:iCs/>
                <w:sz w:val="24"/>
                <w:szCs w:val="24"/>
              </w:rPr>
              <w:t>F</w:t>
            </w:r>
          </w:p>
        </w:tc>
        <w:tc>
          <w:tcPr>
            <w:tcW w:w="1134" w:type="dxa"/>
            <w:tcBorders>
              <w:top w:val="single" w:sz="12" w:space="0" w:color="auto"/>
              <w:bottom w:val="single" w:sz="4" w:space="0" w:color="auto"/>
            </w:tcBorders>
            <w:shd w:val="clear" w:color="auto" w:fill="auto"/>
          </w:tcPr>
          <w:p w14:paraId="66E28B4A"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i/>
                <w:iCs/>
                <w:sz w:val="24"/>
                <w:szCs w:val="24"/>
              </w:rPr>
            </w:pPr>
            <w:r>
              <w:rPr>
                <w:rFonts w:ascii="Times New Roman" w:hAnsi="Times New Roman" w:cs="Times New Roman"/>
                <w:b w:val="0"/>
                <w:bCs w:val="0"/>
                <w:i/>
                <w:iCs/>
                <w:sz w:val="24"/>
                <w:szCs w:val="24"/>
              </w:rPr>
              <w:t>P</w:t>
            </w:r>
          </w:p>
        </w:tc>
        <w:tc>
          <w:tcPr>
            <w:tcW w:w="3118" w:type="dxa"/>
            <w:tcBorders>
              <w:top w:val="single" w:sz="12" w:space="0" w:color="auto"/>
              <w:bottom w:val="single" w:sz="4" w:space="0" w:color="auto"/>
            </w:tcBorders>
            <w:shd w:val="clear" w:color="auto" w:fill="auto"/>
          </w:tcPr>
          <w:p w14:paraId="1C0682D5"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 xml:space="preserve">Polypod mean leaf element concentrations  </w:t>
            </w:r>
          </w:p>
          <w:p w14:paraId="40D5DCE7"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color w:val="000000"/>
                <w:sz w:val="24"/>
                <w:szCs w:val="24"/>
              </w:rPr>
              <w:t>± SE (</w:t>
            </w:r>
            <w:r>
              <w:rPr>
                <w:rFonts w:ascii="Times New Roman" w:hAnsi="Times New Roman" w:cs="Times New Roman"/>
                <w:b w:val="0"/>
                <w:bCs w:val="0"/>
                <w:sz w:val="24"/>
                <w:szCs w:val="24"/>
              </w:rPr>
              <w:t>mg g</w:t>
            </w:r>
            <w:r>
              <w:rPr>
                <w:rFonts w:ascii="Times New Roman" w:hAnsi="Times New Roman" w:cs="Times New Roman"/>
                <w:b w:val="0"/>
                <w:bCs w:val="0"/>
                <w:sz w:val="24"/>
                <w:szCs w:val="24"/>
                <w:vertAlign w:val="superscript"/>
              </w:rPr>
              <w:t>-1</w:t>
            </w:r>
            <w:r>
              <w:rPr>
                <w:rFonts w:ascii="Times New Roman" w:hAnsi="Times New Roman" w:cs="Times New Roman"/>
                <w:b w:val="0"/>
                <w:bCs w:val="0"/>
                <w:sz w:val="24"/>
                <w:szCs w:val="24"/>
              </w:rPr>
              <w:t>)</w:t>
            </w:r>
          </w:p>
        </w:tc>
        <w:tc>
          <w:tcPr>
            <w:tcW w:w="2842" w:type="dxa"/>
            <w:tcBorders>
              <w:top w:val="single" w:sz="12" w:space="0" w:color="auto"/>
              <w:bottom w:val="single" w:sz="4" w:space="0" w:color="auto"/>
            </w:tcBorders>
            <w:shd w:val="clear" w:color="auto" w:fill="auto"/>
          </w:tcPr>
          <w:p w14:paraId="6788543F"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sz w:val="24"/>
                <w:szCs w:val="24"/>
              </w:rPr>
              <w:t xml:space="preserve">Non-polypod mean leaf element concentrations  </w:t>
            </w:r>
          </w:p>
          <w:p w14:paraId="7414D5EA" w14:textId="77777777" w:rsidR="00690913" w:rsidRDefault="00BA3663">
            <w:pPr>
              <w:tabs>
                <w:tab w:val="left" w:pos="9072"/>
                <w:tab w:val="left" w:pos="9356"/>
              </w:tabs>
              <w:spacing w:after="0"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4"/>
                <w:szCs w:val="24"/>
              </w:rPr>
            </w:pPr>
            <w:r>
              <w:rPr>
                <w:rFonts w:ascii="Times New Roman" w:hAnsi="Times New Roman" w:cs="Times New Roman"/>
                <w:b w:val="0"/>
                <w:bCs w:val="0"/>
                <w:color w:val="000000"/>
                <w:sz w:val="24"/>
                <w:szCs w:val="24"/>
              </w:rPr>
              <w:t>± SE (</w:t>
            </w:r>
            <w:r>
              <w:rPr>
                <w:rFonts w:ascii="Times New Roman" w:hAnsi="Times New Roman" w:cs="Times New Roman"/>
                <w:b w:val="0"/>
                <w:bCs w:val="0"/>
                <w:sz w:val="24"/>
                <w:szCs w:val="24"/>
              </w:rPr>
              <w:t>mg g</w:t>
            </w:r>
            <w:r>
              <w:rPr>
                <w:rFonts w:ascii="Times New Roman" w:hAnsi="Times New Roman" w:cs="Times New Roman"/>
                <w:b w:val="0"/>
                <w:bCs w:val="0"/>
                <w:sz w:val="24"/>
                <w:szCs w:val="24"/>
                <w:vertAlign w:val="superscript"/>
              </w:rPr>
              <w:t>-1</w:t>
            </w:r>
            <w:r>
              <w:rPr>
                <w:rFonts w:ascii="Times New Roman" w:hAnsi="Times New Roman" w:cs="Times New Roman"/>
                <w:b w:val="0"/>
                <w:bCs w:val="0"/>
                <w:sz w:val="24"/>
                <w:szCs w:val="24"/>
              </w:rPr>
              <w:t>)</w:t>
            </w:r>
          </w:p>
        </w:tc>
      </w:tr>
      <w:tr w:rsidR="00690913" w14:paraId="291DE719"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Borders>
              <w:top w:val="single" w:sz="4" w:space="0" w:color="auto"/>
            </w:tcBorders>
            <w:shd w:val="clear" w:color="auto" w:fill="auto"/>
          </w:tcPr>
          <w:p w14:paraId="0FF7E492"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N</w:t>
            </w:r>
          </w:p>
        </w:tc>
        <w:tc>
          <w:tcPr>
            <w:tcW w:w="1009" w:type="dxa"/>
            <w:tcBorders>
              <w:top w:val="single" w:sz="4" w:space="0" w:color="auto"/>
            </w:tcBorders>
            <w:shd w:val="clear" w:color="auto" w:fill="auto"/>
          </w:tcPr>
          <w:p w14:paraId="34086871"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1.11</w:t>
            </w:r>
          </w:p>
        </w:tc>
        <w:tc>
          <w:tcPr>
            <w:tcW w:w="1134" w:type="dxa"/>
            <w:tcBorders>
              <w:top w:val="single" w:sz="4" w:space="0" w:color="auto"/>
            </w:tcBorders>
            <w:shd w:val="clear" w:color="auto" w:fill="auto"/>
          </w:tcPr>
          <w:p w14:paraId="419B81C1"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 0.30</w:t>
            </w:r>
          </w:p>
        </w:tc>
        <w:tc>
          <w:tcPr>
            <w:tcW w:w="3118" w:type="dxa"/>
            <w:tcBorders>
              <w:top w:val="single" w:sz="4" w:space="0" w:color="auto"/>
            </w:tcBorders>
            <w:shd w:val="clear" w:color="auto" w:fill="auto"/>
          </w:tcPr>
          <w:p w14:paraId="05CDA6A1"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20.61 </w:t>
            </w:r>
            <w:r>
              <w:rPr>
                <w:rFonts w:ascii="Times New Roman" w:hAnsi="Times New Roman" w:cs="Times New Roman"/>
                <w:bCs/>
                <w:color w:val="000000"/>
                <w:sz w:val="24"/>
                <w:szCs w:val="24"/>
              </w:rPr>
              <w:t>± 2.04</w:t>
            </w:r>
          </w:p>
        </w:tc>
        <w:tc>
          <w:tcPr>
            <w:tcW w:w="2842" w:type="dxa"/>
            <w:tcBorders>
              <w:top w:val="single" w:sz="4" w:space="0" w:color="auto"/>
            </w:tcBorders>
            <w:shd w:val="clear" w:color="auto" w:fill="auto"/>
          </w:tcPr>
          <w:p w14:paraId="3D7E15FA"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17.39 </w:t>
            </w:r>
            <w:r>
              <w:rPr>
                <w:rFonts w:ascii="Times New Roman" w:hAnsi="Times New Roman" w:cs="Times New Roman"/>
                <w:bCs/>
                <w:color w:val="000000"/>
                <w:sz w:val="24"/>
                <w:szCs w:val="24"/>
              </w:rPr>
              <w:t>± 2.27</w:t>
            </w:r>
          </w:p>
        </w:tc>
      </w:tr>
      <w:tr w:rsidR="00690913" w14:paraId="72781C0B" w14:textId="77777777" w:rsidTr="00690913">
        <w:tc>
          <w:tcPr>
            <w:cnfStyle w:val="001000000000" w:firstRow="0" w:lastRow="0" w:firstColumn="1" w:lastColumn="0" w:oddVBand="0" w:evenVBand="0" w:oddHBand="0" w:evenHBand="0" w:firstRowFirstColumn="0" w:firstRowLastColumn="0" w:lastRowFirstColumn="0" w:lastRowLastColumn="0"/>
            <w:tcW w:w="1543" w:type="dxa"/>
            <w:shd w:val="clear" w:color="auto" w:fill="auto"/>
          </w:tcPr>
          <w:p w14:paraId="7B37644C"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P</w:t>
            </w:r>
          </w:p>
        </w:tc>
        <w:tc>
          <w:tcPr>
            <w:tcW w:w="1009" w:type="dxa"/>
            <w:shd w:val="clear" w:color="auto" w:fill="auto"/>
          </w:tcPr>
          <w:p w14:paraId="170FBCFC"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3.37</w:t>
            </w:r>
          </w:p>
        </w:tc>
        <w:tc>
          <w:tcPr>
            <w:tcW w:w="1134" w:type="dxa"/>
            <w:shd w:val="clear" w:color="auto" w:fill="auto"/>
          </w:tcPr>
          <w:p w14:paraId="51D1CF4F"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 0.07</w:t>
            </w:r>
          </w:p>
        </w:tc>
        <w:tc>
          <w:tcPr>
            <w:tcW w:w="3118" w:type="dxa"/>
            <w:shd w:val="clear" w:color="auto" w:fill="auto"/>
          </w:tcPr>
          <w:p w14:paraId="790AF9A4"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1.57 </w:t>
            </w:r>
            <w:r>
              <w:rPr>
                <w:rFonts w:ascii="Times New Roman" w:hAnsi="Times New Roman" w:cs="Times New Roman"/>
                <w:bCs/>
                <w:color w:val="000000"/>
                <w:sz w:val="24"/>
                <w:szCs w:val="24"/>
              </w:rPr>
              <w:t>± 0.07</w:t>
            </w:r>
          </w:p>
        </w:tc>
        <w:tc>
          <w:tcPr>
            <w:tcW w:w="2842" w:type="dxa"/>
            <w:shd w:val="clear" w:color="auto" w:fill="auto"/>
          </w:tcPr>
          <w:p w14:paraId="3517F0A8"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1.73 </w:t>
            </w:r>
            <w:r>
              <w:rPr>
                <w:rFonts w:ascii="Times New Roman" w:hAnsi="Times New Roman" w:cs="Times New Roman"/>
                <w:bCs/>
                <w:color w:val="000000"/>
                <w:sz w:val="24"/>
                <w:szCs w:val="24"/>
              </w:rPr>
              <w:t>± 0.05</w:t>
            </w:r>
          </w:p>
        </w:tc>
      </w:tr>
      <w:tr w:rsidR="00690913" w14:paraId="1CFBDCBB"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shd w:val="clear" w:color="auto" w:fill="auto"/>
          </w:tcPr>
          <w:p w14:paraId="04D8C8FC"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K</w:t>
            </w:r>
          </w:p>
        </w:tc>
        <w:tc>
          <w:tcPr>
            <w:tcW w:w="1009" w:type="dxa"/>
            <w:shd w:val="clear" w:color="auto" w:fill="auto"/>
          </w:tcPr>
          <w:p w14:paraId="0BA3301C"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35.29</w:t>
            </w:r>
          </w:p>
        </w:tc>
        <w:tc>
          <w:tcPr>
            <w:tcW w:w="1134" w:type="dxa"/>
            <w:shd w:val="clear" w:color="auto" w:fill="auto"/>
          </w:tcPr>
          <w:p w14:paraId="0E795D5E"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
                <w:sz w:val="24"/>
                <w:szCs w:val="24"/>
              </w:rPr>
              <w:t>&lt; 0.001</w:t>
            </w:r>
          </w:p>
        </w:tc>
        <w:tc>
          <w:tcPr>
            <w:tcW w:w="3118" w:type="dxa"/>
            <w:shd w:val="clear" w:color="auto" w:fill="auto"/>
          </w:tcPr>
          <w:p w14:paraId="60FFA5A7"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1.59 </w:t>
            </w:r>
            <w:r>
              <w:rPr>
                <w:rFonts w:ascii="Times New Roman" w:hAnsi="Times New Roman" w:cs="Times New Roman"/>
                <w:bCs/>
                <w:color w:val="000000"/>
                <w:sz w:val="24"/>
                <w:szCs w:val="24"/>
              </w:rPr>
              <w:t>± 0.09</w:t>
            </w:r>
          </w:p>
        </w:tc>
        <w:tc>
          <w:tcPr>
            <w:tcW w:w="2842" w:type="dxa"/>
            <w:shd w:val="clear" w:color="auto" w:fill="auto"/>
          </w:tcPr>
          <w:p w14:paraId="4A82F4F3"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0.88 </w:t>
            </w:r>
            <w:r>
              <w:rPr>
                <w:rFonts w:ascii="Times New Roman" w:hAnsi="Times New Roman" w:cs="Times New Roman"/>
                <w:bCs/>
                <w:color w:val="000000"/>
                <w:sz w:val="24"/>
                <w:szCs w:val="24"/>
              </w:rPr>
              <w:t>± 0.08</w:t>
            </w:r>
          </w:p>
        </w:tc>
      </w:tr>
      <w:tr w:rsidR="00690913" w14:paraId="184BDB92" w14:textId="77777777" w:rsidTr="00690913">
        <w:tc>
          <w:tcPr>
            <w:cnfStyle w:val="001000000000" w:firstRow="0" w:lastRow="0" w:firstColumn="1" w:lastColumn="0" w:oddVBand="0" w:evenVBand="0" w:oddHBand="0" w:evenHBand="0" w:firstRowFirstColumn="0" w:firstRowLastColumn="0" w:lastRowFirstColumn="0" w:lastRowLastColumn="0"/>
            <w:tcW w:w="1543" w:type="dxa"/>
            <w:shd w:val="clear" w:color="auto" w:fill="auto"/>
          </w:tcPr>
          <w:p w14:paraId="054FAC3B"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Ca</w:t>
            </w:r>
          </w:p>
        </w:tc>
        <w:tc>
          <w:tcPr>
            <w:tcW w:w="1009" w:type="dxa"/>
            <w:shd w:val="clear" w:color="auto" w:fill="auto"/>
          </w:tcPr>
          <w:p w14:paraId="5C8F130C"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0.23</w:t>
            </w:r>
          </w:p>
        </w:tc>
        <w:tc>
          <w:tcPr>
            <w:tcW w:w="1134" w:type="dxa"/>
            <w:shd w:val="clear" w:color="auto" w:fill="auto"/>
          </w:tcPr>
          <w:p w14:paraId="77DA955D"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 0.63</w:t>
            </w:r>
          </w:p>
        </w:tc>
        <w:tc>
          <w:tcPr>
            <w:tcW w:w="3118" w:type="dxa"/>
            <w:shd w:val="clear" w:color="auto" w:fill="auto"/>
          </w:tcPr>
          <w:p w14:paraId="17A1011B"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2.43 </w:t>
            </w:r>
            <w:r>
              <w:rPr>
                <w:rFonts w:ascii="Times New Roman" w:hAnsi="Times New Roman" w:cs="Times New Roman"/>
                <w:bCs/>
                <w:color w:val="000000"/>
                <w:sz w:val="24"/>
                <w:szCs w:val="24"/>
              </w:rPr>
              <w:t>± 0.18</w:t>
            </w:r>
          </w:p>
        </w:tc>
        <w:tc>
          <w:tcPr>
            <w:tcW w:w="2842" w:type="dxa"/>
            <w:shd w:val="clear" w:color="auto" w:fill="auto"/>
          </w:tcPr>
          <w:p w14:paraId="16B42714" w14:textId="77777777" w:rsidR="00690913" w:rsidRDefault="00BA3663">
            <w:pPr>
              <w:tabs>
                <w:tab w:val="left" w:pos="9072"/>
                <w:tab w:val="left" w:pos="9356"/>
              </w:tabs>
              <w:spacing w:after="0" w:line="48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2.26 </w:t>
            </w:r>
            <w:r>
              <w:rPr>
                <w:rFonts w:ascii="Times New Roman" w:hAnsi="Times New Roman" w:cs="Times New Roman"/>
                <w:bCs/>
                <w:color w:val="000000"/>
                <w:sz w:val="24"/>
                <w:szCs w:val="24"/>
              </w:rPr>
              <w:t>± 0.32</w:t>
            </w:r>
          </w:p>
        </w:tc>
      </w:tr>
      <w:tr w:rsidR="00690913" w14:paraId="59C24B52" w14:textId="77777777" w:rsidTr="0069091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43" w:type="dxa"/>
            <w:tcBorders>
              <w:bottom w:val="single" w:sz="12" w:space="0" w:color="auto"/>
            </w:tcBorders>
            <w:shd w:val="clear" w:color="auto" w:fill="auto"/>
          </w:tcPr>
          <w:p w14:paraId="31333772" w14:textId="77777777" w:rsidR="00690913" w:rsidRDefault="00BA3663">
            <w:pPr>
              <w:tabs>
                <w:tab w:val="left" w:pos="9072"/>
                <w:tab w:val="left" w:pos="9356"/>
              </w:tabs>
              <w:spacing w:after="0" w:line="480" w:lineRule="auto"/>
              <w:jc w:val="center"/>
              <w:rPr>
                <w:rFonts w:ascii="Times New Roman" w:hAnsi="Times New Roman" w:cs="Times New Roman"/>
                <w:b w:val="0"/>
                <w:bCs w:val="0"/>
                <w:sz w:val="24"/>
                <w:szCs w:val="24"/>
              </w:rPr>
            </w:pPr>
            <w:r>
              <w:rPr>
                <w:rFonts w:ascii="Times New Roman" w:hAnsi="Times New Roman" w:cs="Times New Roman"/>
                <w:b w:val="0"/>
                <w:bCs w:val="0"/>
                <w:sz w:val="24"/>
                <w:szCs w:val="24"/>
              </w:rPr>
              <w:t>Mg</w:t>
            </w:r>
          </w:p>
        </w:tc>
        <w:tc>
          <w:tcPr>
            <w:tcW w:w="1009" w:type="dxa"/>
            <w:tcBorders>
              <w:bottom w:val="single" w:sz="12" w:space="0" w:color="auto"/>
            </w:tcBorders>
            <w:shd w:val="clear" w:color="auto" w:fill="auto"/>
          </w:tcPr>
          <w:p w14:paraId="14E2EE3A"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1.83</w:t>
            </w:r>
          </w:p>
        </w:tc>
        <w:tc>
          <w:tcPr>
            <w:tcW w:w="1134" w:type="dxa"/>
            <w:tcBorders>
              <w:bottom w:val="single" w:sz="12" w:space="0" w:color="auto"/>
            </w:tcBorders>
            <w:shd w:val="clear" w:color="auto" w:fill="auto"/>
          </w:tcPr>
          <w:p w14:paraId="60D9EA6E"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 0.18</w:t>
            </w:r>
          </w:p>
        </w:tc>
        <w:tc>
          <w:tcPr>
            <w:tcW w:w="3118" w:type="dxa"/>
            <w:tcBorders>
              <w:bottom w:val="single" w:sz="12" w:space="0" w:color="auto"/>
            </w:tcBorders>
            <w:shd w:val="clear" w:color="auto" w:fill="auto"/>
          </w:tcPr>
          <w:p w14:paraId="2303631E"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2.57 </w:t>
            </w:r>
            <w:r>
              <w:rPr>
                <w:rFonts w:ascii="Times New Roman" w:hAnsi="Times New Roman" w:cs="Times New Roman"/>
                <w:bCs/>
                <w:color w:val="000000"/>
                <w:sz w:val="24"/>
                <w:szCs w:val="24"/>
              </w:rPr>
              <w:t>± 0.18</w:t>
            </w:r>
          </w:p>
        </w:tc>
        <w:tc>
          <w:tcPr>
            <w:tcW w:w="2842" w:type="dxa"/>
            <w:tcBorders>
              <w:bottom w:val="single" w:sz="12" w:space="0" w:color="auto"/>
            </w:tcBorders>
            <w:shd w:val="clear" w:color="auto" w:fill="auto"/>
          </w:tcPr>
          <w:p w14:paraId="53FE319E" w14:textId="77777777" w:rsidR="00690913" w:rsidRDefault="00BA3663">
            <w:pPr>
              <w:tabs>
                <w:tab w:val="left" w:pos="9072"/>
                <w:tab w:val="left" w:pos="9356"/>
              </w:tabs>
              <w:spacing w:after="0"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rPr>
            </w:pPr>
            <w:r>
              <w:rPr>
                <w:rFonts w:ascii="Times New Roman" w:hAnsi="Times New Roman" w:cs="Times New Roman"/>
                <w:bCs/>
                <w:sz w:val="24"/>
                <w:szCs w:val="24"/>
              </w:rPr>
              <w:t xml:space="preserve">2.16 </w:t>
            </w:r>
            <w:r>
              <w:rPr>
                <w:rFonts w:ascii="Times New Roman" w:hAnsi="Times New Roman" w:cs="Times New Roman"/>
                <w:bCs/>
                <w:color w:val="000000"/>
                <w:sz w:val="24"/>
                <w:szCs w:val="24"/>
              </w:rPr>
              <w:t>± 0.24</w:t>
            </w:r>
          </w:p>
        </w:tc>
      </w:tr>
    </w:tbl>
    <w:p w14:paraId="0DD0693A" w14:textId="77777777" w:rsidR="00690913" w:rsidRDefault="00690913"/>
    <w:p w14:paraId="0F6180C8" w14:textId="77777777" w:rsidR="00690913" w:rsidRDefault="00690913"/>
    <w:p w14:paraId="2A9640AA" w14:textId="77777777" w:rsidR="00690913" w:rsidRDefault="00690913"/>
    <w:p w14:paraId="613B8296" w14:textId="77777777" w:rsidR="00690913" w:rsidRDefault="00690913"/>
    <w:p w14:paraId="430DA39C" w14:textId="77777777" w:rsidR="00690913" w:rsidRDefault="00690913"/>
    <w:p w14:paraId="7D4A7FD2" w14:textId="77777777" w:rsidR="00690913" w:rsidRDefault="00690913"/>
    <w:p w14:paraId="2E168790" w14:textId="77777777" w:rsidR="00690913" w:rsidRDefault="00690913"/>
    <w:p w14:paraId="315B64EC" w14:textId="77777777" w:rsidR="00690913" w:rsidRDefault="00690913"/>
    <w:p w14:paraId="1A3B81C3" w14:textId="77777777" w:rsidR="00690913" w:rsidRDefault="00690913"/>
    <w:p w14:paraId="77EDC903" w14:textId="77777777" w:rsidR="00690913" w:rsidRDefault="00690913"/>
    <w:p w14:paraId="78457A9D" w14:textId="77777777" w:rsidR="00690913" w:rsidRDefault="00690913"/>
    <w:p w14:paraId="1C7DC310" w14:textId="77777777" w:rsidR="00690913" w:rsidRDefault="00690913"/>
    <w:p w14:paraId="1FB0F131" w14:textId="77777777" w:rsidR="00690913" w:rsidRDefault="00690913"/>
    <w:p w14:paraId="62219700" w14:textId="77777777" w:rsidR="00690913" w:rsidRDefault="00690913"/>
    <w:sectPr w:rsidR="00690913">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913"/>
    <w:rsid w:val="00690913"/>
    <w:rsid w:val="009D2CAE"/>
    <w:rsid w:val="00BA36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ED7F7A"/>
  <w15:chartTrackingRefBased/>
  <w15:docId w15:val="{6F424622-ACFD-4752-ADFD-21928C632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val="en-GB"/>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lang w:val="en-GB"/>
    </w:rPr>
  </w:style>
  <w:style w:type="table" w:styleId="ListTable1Light">
    <w:name w:val="List Table 1 Light"/>
    <w:basedOn w:val="TableNormal"/>
    <w:uiPriority w:val="46"/>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LineNumber">
    <w:name w:val="line number"/>
    <w:basedOn w:val="DefaultParagraphFont"/>
    <w:uiPriority w:val="99"/>
    <w:semiHidden/>
    <w:unhideWhenUsed/>
  </w:style>
  <w:style w:type="character" w:styleId="Hyperlink">
    <w:name w:val="Hyperlink"/>
    <w:basedOn w:val="DefaultParagraphFont"/>
    <w:uiPriority w:val="99"/>
    <w:unhideWhenUsed/>
    <w:rPr>
      <w:color w:val="0563C1" w:themeColor="hyperlink"/>
      <w:u w:val="single"/>
    </w:rPr>
  </w:style>
  <w:style w:type="character" w:customStyle="1" w:styleId="fontstyle01">
    <w:name w:val="fontstyle01"/>
    <w:basedOn w:val="DefaultParagraphFont"/>
    <w:rPr>
      <w:rFonts w:ascii="Helvetica" w:hAnsi="Helvetica" w:hint="default"/>
      <w:b w:val="0"/>
      <w:bCs w:val="0"/>
      <w:i w:val="0"/>
      <w:iCs w:val="0"/>
      <w:color w:val="000000"/>
      <w:sz w:val="22"/>
      <w:szCs w:val="22"/>
    </w:rPr>
  </w:style>
  <w:style w:type="table" w:styleId="TableGrid">
    <w:name w:val="Table Grid"/>
    <w:basedOn w:val="TableNormal"/>
    <w:uiPriority w:val="39"/>
    <w:pPr>
      <w:spacing w:after="0" w:line="240" w:lineRule="auto"/>
    </w:pPr>
    <w:rPr>
      <w:rFonts w:eastAsiaTheme="minorEastAsia"/>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dcicuzza@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0D53BB-E2AD-4162-B5AB-413BD0CEC8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1056</TotalTime>
  <Pages>10</Pages>
  <Words>1352</Words>
  <Characters>7709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Syazwan Pg Sulaiman</dc:creator>
  <cp:keywords/>
  <dc:description/>
  <cp:lastModifiedBy>Daniele Cicuzza</cp:lastModifiedBy>
  <cp:revision>24</cp:revision>
  <dcterms:created xsi:type="dcterms:W3CDTF">2020-11-12T01:55:00Z</dcterms:created>
  <dcterms:modified xsi:type="dcterms:W3CDTF">2021-07-14T00:44:00Z</dcterms:modified>
</cp:coreProperties>
</file>