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E310D5" w14:textId="77777777" w:rsidR="00C6713F" w:rsidRPr="006217B2" w:rsidRDefault="00C6713F" w:rsidP="00C6713F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217B2">
        <w:rPr>
          <w:rFonts w:ascii="Times New Roman" w:hAnsi="Times New Roman" w:cs="Times New Roman"/>
          <w:b/>
          <w:sz w:val="24"/>
          <w:szCs w:val="24"/>
        </w:rPr>
        <w:t>Supplementary Table S1</w:t>
      </w:r>
    </w:p>
    <w:p w14:paraId="40097D3E" w14:textId="77777777" w:rsidR="00C6713F" w:rsidRPr="00035577" w:rsidRDefault="00C6713F" w:rsidP="00C6713F">
      <w:pPr>
        <w:rPr>
          <w:rFonts w:ascii="Times New Roman" w:hAnsi="Times New Roman" w:cs="Times New Roman"/>
          <w:i/>
          <w:sz w:val="24"/>
          <w:szCs w:val="24"/>
        </w:rPr>
      </w:pPr>
      <w:r w:rsidRPr="00035577">
        <w:rPr>
          <w:rFonts w:ascii="Times New Roman" w:hAnsi="Times New Roman" w:cs="Times New Roman"/>
          <w:i/>
          <w:color w:val="131413"/>
          <w:sz w:val="24"/>
          <w:szCs w:val="24"/>
        </w:rPr>
        <w:t>Major Oppositional Defiant Disorder Models Proposed in the Literature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316"/>
        <w:gridCol w:w="1341"/>
        <w:gridCol w:w="1475"/>
        <w:gridCol w:w="1648"/>
        <w:gridCol w:w="1397"/>
        <w:gridCol w:w="1600"/>
        <w:gridCol w:w="1277"/>
      </w:tblGrid>
      <w:tr w:rsidR="00C6713F" w:rsidRPr="006C6699" w14:paraId="10B4A4D0" w14:textId="77777777" w:rsidTr="00B23A45"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168066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Symptoms</w:t>
            </w:r>
          </w:p>
        </w:tc>
        <w:tc>
          <w:tcPr>
            <w:tcW w:w="766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548B0D5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Proposed Models</w:t>
            </w:r>
          </w:p>
        </w:tc>
      </w:tr>
      <w:tr w:rsidR="00C6713F" w:rsidRPr="006C6699" w14:paraId="28D4E92B" w14:textId="77777777" w:rsidTr="00B23A45">
        <w:tc>
          <w:tcPr>
            <w:tcW w:w="3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237356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#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0C97C9" w14:textId="77777777" w:rsidR="00C6713F" w:rsidRPr="006C6699" w:rsidRDefault="00C6713F" w:rsidP="00B23A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Brief description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227E971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Rowe et al. (2010)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0334B59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Burke et al. (2010)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ADE711F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Aebi et al. (2010)</w:t>
            </w:r>
          </w:p>
        </w:tc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</w:tcPr>
          <w:p w14:paraId="22A6904D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proofErr w:type="spellStart"/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Stringaris</w:t>
            </w:r>
            <w:proofErr w:type="spellEnd"/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 xml:space="preserve"> &amp; Goodman (2009)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</w:tcPr>
          <w:p w14:paraId="6AFA8BDF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Burke et al. (2014)</w:t>
            </w:r>
          </w:p>
        </w:tc>
      </w:tr>
      <w:tr w:rsidR="00C6713F" w:rsidRPr="006C6699" w14:paraId="4DAA94C4" w14:textId="77777777" w:rsidTr="00B23A45">
        <w:tc>
          <w:tcPr>
            <w:tcW w:w="343" w:type="dxa"/>
            <w:tcBorders>
              <w:top w:val="single" w:sz="4" w:space="0" w:color="auto"/>
            </w:tcBorders>
            <w:vAlign w:val="bottom"/>
          </w:tcPr>
          <w:p w14:paraId="0B01D38B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14:paraId="601D2275" w14:textId="77777777" w:rsidR="00C6713F" w:rsidRPr="006C6699" w:rsidRDefault="00C6713F" w:rsidP="00B23A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temper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8BFCDBA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51442FA3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Oppositional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FE45C9A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675" w:type="dxa"/>
            <w:tcBorders>
              <w:top w:val="single" w:sz="4" w:space="0" w:color="auto"/>
            </w:tcBorders>
          </w:tcPr>
          <w:p w14:paraId="36C1585D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309" w:type="dxa"/>
            <w:tcBorders>
              <w:top w:val="single" w:sz="4" w:space="0" w:color="auto"/>
            </w:tcBorders>
          </w:tcPr>
          <w:p w14:paraId="3267A826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</w:tr>
      <w:tr w:rsidR="00C6713F" w:rsidRPr="006C6699" w14:paraId="6FB34E29" w14:textId="77777777" w:rsidTr="00B23A45">
        <w:tc>
          <w:tcPr>
            <w:tcW w:w="343" w:type="dxa"/>
            <w:vAlign w:val="bottom"/>
          </w:tcPr>
          <w:p w14:paraId="241A10AD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16FE7ECA" w14:textId="77777777" w:rsidR="00C6713F" w:rsidRPr="006C6699" w:rsidRDefault="00C6713F" w:rsidP="00B23A45">
            <w:pPr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argue</w:t>
            </w:r>
          </w:p>
        </w:tc>
        <w:tc>
          <w:tcPr>
            <w:tcW w:w="1530" w:type="dxa"/>
          </w:tcPr>
          <w:p w14:paraId="3C52B8DD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710" w:type="dxa"/>
          </w:tcPr>
          <w:p w14:paraId="4C8AD9F0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Oppositional</w:t>
            </w:r>
          </w:p>
        </w:tc>
        <w:tc>
          <w:tcPr>
            <w:tcW w:w="1440" w:type="dxa"/>
          </w:tcPr>
          <w:p w14:paraId="05D7BC5C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675" w:type="dxa"/>
          </w:tcPr>
          <w:p w14:paraId="4061C5AD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309" w:type="dxa"/>
          </w:tcPr>
          <w:p w14:paraId="01E956CB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131413"/>
                <w:sz w:val="24"/>
                <w:szCs w:val="24"/>
              </w:rPr>
              <w:t>Behavioral</w:t>
            </w:r>
          </w:p>
        </w:tc>
      </w:tr>
      <w:tr w:rsidR="00C6713F" w:rsidRPr="006C6699" w14:paraId="4D465F46" w14:textId="77777777" w:rsidTr="00B23A45">
        <w:tc>
          <w:tcPr>
            <w:tcW w:w="343" w:type="dxa"/>
            <w:vAlign w:val="bottom"/>
          </w:tcPr>
          <w:p w14:paraId="4CCA5F60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0AB9C69C" w14:textId="77777777" w:rsidR="00C6713F" w:rsidRPr="006C6699" w:rsidRDefault="00C6713F" w:rsidP="00B23A45">
            <w:pPr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defy</w:t>
            </w:r>
          </w:p>
        </w:tc>
        <w:tc>
          <w:tcPr>
            <w:tcW w:w="1530" w:type="dxa"/>
          </w:tcPr>
          <w:p w14:paraId="14051542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710" w:type="dxa"/>
          </w:tcPr>
          <w:p w14:paraId="220D3C80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Oppositional</w:t>
            </w:r>
          </w:p>
        </w:tc>
        <w:tc>
          <w:tcPr>
            <w:tcW w:w="1440" w:type="dxa"/>
          </w:tcPr>
          <w:p w14:paraId="70D6C4D4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675" w:type="dxa"/>
          </w:tcPr>
          <w:p w14:paraId="7A49DA0B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309" w:type="dxa"/>
          </w:tcPr>
          <w:p w14:paraId="7E3EE0E3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3462">
              <w:rPr>
                <w:rFonts w:ascii="Times New Roman" w:hAnsi="Times New Roman"/>
                <w:color w:val="131413"/>
                <w:sz w:val="24"/>
                <w:szCs w:val="24"/>
              </w:rPr>
              <w:t>Behavioral</w:t>
            </w:r>
          </w:p>
        </w:tc>
      </w:tr>
      <w:tr w:rsidR="00C6713F" w:rsidRPr="006C6699" w14:paraId="11A26773" w14:textId="77777777" w:rsidTr="00B23A45">
        <w:tc>
          <w:tcPr>
            <w:tcW w:w="343" w:type="dxa"/>
            <w:vAlign w:val="bottom"/>
          </w:tcPr>
          <w:p w14:paraId="1FC1CF2E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6935EDE0" w14:textId="77777777" w:rsidR="00C6713F" w:rsidRPr="006C6699" w:rsidRDefault="00C6713F" w:rsidP="00B23A45">
            <w:pPr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annoy</w:t>
            </w:r>
          </w:p>
        </w:tc>
        <w:tc>
          <w:tcPr>
            <w:tcW w:w="1530" w:type="dxa"/>
          </w:tcPr>
          <w:p w14:paraId="54F3A63B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710" w:type="dxa"/>
          </w:tcPr>
          <w:p w14:paraId="223D08F1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Antagonistic</w:t>
            </w:r>
          </w:p>
        </w:tc>
        <w:tc>
          <w:tcPr>
            <w:tcW w:w="1440" w:type="dxa"/>
          </w:tcPr>
          <w:p w14:paraId="1A8CC16C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Hurtful</w:t>
            </w:r>
          </w:p>
        </w:tc>
        <w:tc>
          <w:tcPr>
            <w:tcW w:w="1675" w:type="dxa"/>
          </w:tcPr>
          <w:p w14:paraId="24E504BB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309" w:type="dxa"/>
          </w:tcPr>
          <w:p w14:paraId="00F35221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3462">
              <w:rPr>
                <w:rFonts w:ascii="Times New Roman" w:hAnsi="Times New Roman"/>
                <w:color w:val="131413"/>
                <w:sz w:val="24"/>
                <w:szCs w:val="24"/>
              </w:rPr>
              <w:t>Behavioral</w:t>
            </w:r>
          </w:p>
        </w:tc>
      </w:tr>
      <w:tr w:rsidR="00C6713F" w:rsidRPr="006C6699" w14:paraId="7B40FEC1" w14:textId="77777777" w:rsidTr="00B23A45">
        <w:tc>
          <w:tcPr>
            <w:tcW w:w="343" w:type="dxa"/>
            <w:vAlign w:val="bottom"/>
          </w:tcPr>
          <w:p w14:paraId="1E6767BE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0003B583" w14:textId="7F4D8E4A" w:rsidR="00C6713F" w:rsidRPr="006C6699" w:rsidRDefault="009E000B" w:rsidP="00B23A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b</w:t>
            </w:r>
            <w:r w:rsidR="00C6713F"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lame</w:t>
            </w:r>
          </w:p>
        </w:tc>
        <w:tc>
          <w:tcPr>
            <w:tcW w:w="1530" w:type="dxa"/>
          </w:tcPr>
          <w:p w14:paraId="29571761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710" w:type="dxa"/>
          </w:tcPr>
          <w:p w14:paraId="0D28A997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Antagonistic</w:t>
            </w:r>
          </w:p>
        </w:tc>
        <w:tc>
          <w:tcPr>
            <w:tcW w:w="1440" w:type="dxa"/>
          </w:tcPr>
          <w:p w14:paraId="6BFEB821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675" w:type="dxa"/>
          </w:tcPr>
          <w:p w14:paraId="25EAC59F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309" w:type="dxa"/>
          </w:tcPr>
          <w:p w14:paraId="3AAC3383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131413"/>
                <w:sz w:val="24"/>
                <w:szCs w:val="24"/>
              </w:rPr>
              <w:t>Behavioral</w:t>
            </w:r>
          </w:p>
        </w:tc>
      </w:tr>
      <w:tr w:rsidR="00C6713F" w:rsidRPr="006C6699" w14:paraId="4787BF89" w14:textId="77777777" w:rsidTr="00B23A45">
        <w:tc>
          <w:tcPr>
            <w:tcW w:w="343" w:type="dxa"/>
            <w:vAlign w:val="bottom"/>
          </w:tcPr>
          <w:p w14:paraId="077A2DF9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81" w:type="dxa"/>
          </w:tcPr>
          <w:p w14:paraId="754266AC" w14:textId="77777777" w:rsidR="00C6713F" w:rsidRPr="006C6699" w:rsidRDefault="00C6713F" w:rsidP="00B23A45">
            <w:pPr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touchy</w:t>
            </w:r>
          </w:p>
        </w:tc>
        <w:tc>
          <w:tcPr>
            <w:tcW w:w="1530" w:type="dxa"/>
          </w:tcPr>
          <w:p w14:paraId="0F69BDB0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710" w:type="dxa"/>
          </w:tcPr>
          <w:p w14:paraId="669EBD4F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Negative Affect</w:t>
            </w:r>
          </w:p>
        </w:tc>
        <w:tc>
          <w:tcPr>
            <w:tcW w:w="1440" w:type="dxa"/>
          </w:tcPr>
          <w:p w14:paraId="72D17EA0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675" w:type="dxa"/>
          </w:tcPr>
          <w:p w14:paraId="69F3B4C9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309" w:type="dxa"/>
          </w:tcPr>
          <w:p w14:paraId="456B7C2E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</w:tr>
      <w:tr w:rsidR="00C6713F" w:rsidRPr="006C6699" w14:paraId="7E052AD1" w14:textId="77777777" w:rsidTr="00B23A45">
        <w:tc>
          <w:tcPr>
            <w:tcW w:w="343" w:type="dxa"/>
            <w:vAlign w:val="bottom"/>
          </w:tcPr>
          <w:p w14:paraId="3DCBC7E8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81" w:type="dxa"/>
          </w:tcPr>
          <w:p w14:paraId="4DC0E0A7" w14:textId="77777777" w:rsidR="00C6713F" w:rsidRPr="006C6699" w:rsidRDefault="00C6713F" w:rsidP="00B23A45">
            <w:pPr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angry</w:t>
            </w:r>
          </w:p>
        </w:tc>
        <w:tc>
          <w:tcPr>
            <w:tcW w:w="1530" w:type="dxa"/>
          </w:tcPr>
          <w:p w14:paraId="7B774A8B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710" w:type="dxa"/>
          </w:tcPr>
          <w:p w14:paraId="2A73BB92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Negative Affect</w:t>
            </w:r>
          </w:p>
        </w:tc>
        <w:tc>
          <w:tcPr>
            <w:tcW w:w="1440" w:type="dxa"/>
          </w:tcPr>
          <w:p w14:paraId="34EF9A4B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675" w:type="dxa"/>
          </w:tcPr>
          <w:p w14:paraId="66FF094F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  <w:tc>
          <w:tcPr>
            <w:tcW w:w="1309" w:type="dxa"/>
          </w:tcPr>
          <w:p w14:paraId="61150246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Irritable</w:t>
            </w:r>
          </w:p>
        </w:tc>
      </w:tr>
      <w:tr w:rsidR="00C6713F" w:rsidRPr="006C6699" w14:paraId="409F91E7" w14:textId="77777777" w:rsidTr="00B23A45">
        <w:tc>
          <w:tcPr>
            <w:tcW w:w="343" w:type="dxa"/>
            <w:tcBorders>
              <w:bottom w:val="single" w:sz="4" w:space="0" w:color="auto"/>
            </w:tcBorders>
            <w:vAlign w:val="bottom"/>
          </w:tcPr>
          <w:p w14:paraId="274889A4" w14:textId="77777777" w:rsidR="00C6713F" w:rsidRPr="006C6699" w:rsidRDefault="00C6713F" w:rsidP="00B23A45">
            <w:pPr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81" w:type="dxa"/>
            <w:tcBorders>
              <w:bottom w:val="single" w:sz="4" w:space="0" w:color="auto"/>
            </w:tcBorders>
          </w:tcPr>
          <w:p w14:paraId="24D519D8" w14:textId="77777777" w:rsidR="00C6713F" w:rsidRPr="006C6699" w:rsidRDefault="00C6713F" w:rsidP="00B23A4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spiteful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E4D2EF7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Headstrong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20F75C0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Negative Affect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6250D2E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Hurtful</w:t>
            </w:r>
          </w:p>
        </w:tc>
        <w:tc>
          <w:tcPr>
            <w:tcW w:w="1675" w:type="dxa"/>
            <w:tcBorders>
              <w:bottom w:val="single" w:sz="4" w:space="0" w:color="auto"/>
            </w:tcBorders>
          </w:tcPr>
          <w:p w14:paraId="06779407" w14:textId="77777777" w:rsidR="00C6713F" w:rsidRPr="006C6699" w:rsidRDefault="00C6713F" w:rsidP="00B23A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6C6699">
              <w:rPr>
                <w:rFonts w:ascii="Times New Roman" w:hAnsi="Times New Roman"/>
                <w:color w:val="131413"/>
                <w:sz w:val="24"/>
                <w:szCs w:val="24"/>
              </w:rPr>
              <w:t>Hurtful</w:t>
            </w: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14:paraId="34767CD4" w14:textId="77777777" w:rsidR="00C6713F" w:rsidRPr="006C6699" w:rsidRDefault="00C6713F" w:rsidP="00B23A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131413"/>
                <w:sz w:val="24"/>
                <w:szCs w:val="24"/>
              </w:rPr>
              <w:t>Behavioral</w:t>
            </w:r>
          </w:p>
        </w:tc>
      </w:tr>
    </w:tbl>
    <w:p w14:paraId="44AD304C" w14:textId="77777777" w:rsidR="00C6713F" w:rsidRPr="006C6699" w:rsidRDefault="00C6713F" w:rsidP="00C671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31413"/>
          <w:sz w:val="24"/>
          <w:szCs w:val="24"/>
        </w:rPr>
      </w:pPr>
    </w:p>
    <w:p w14:paraId="4322A43B" w14:textId="77777777" w:rsidR="00C6713F" w:rsidRDefault="00C6713F" w:rsidP="00C6713F">
      <w:pPr>
        <w:autoSpaceDE w:val="0"/>
        <w:autoSpaceDN w:val="0"/>
        <w:adjustRightInd w:val="0"/>
        <w:spacing w:after="0" w:line="480" w:lineRule="auto"/>
        <w:rPr>
          <w:rFonts w:ascii="Times New Roman" w:hAnsi="Times New Roman"/>
          <w:color w:val="131413"/>
          <w:sz w:val="24"/>
          <w:szCs w:val="24"/>
        </w:rPr>
      </w:pPr>
      <w:r w:rsidRPr="005B5DE7">
        <w:rPr>
          <w:rFonts w:ascii="Times New Roman" w:eastAsia="CharisSIL" w:hAnsi="Times New Roman" w:cs="Times New Roman"/>
          <w:i/>
          <w:sz w:val="24"/>
          <w:szCs w:val="24"/>
        </w:rPr>
        <w:t>Note</w:t>
      </w:r>
      <w:r>
        <w:rPr>
          <w:rFonts w:ascii="Times New Roman" w:eastAsia="CharisSIL" w:hAnsi="Times New Roman" w:cs="Times New Roman"/>
          <w:b/>
          <w:sz w:val="24"/>
          <w:szCs w:val="24"/>
        </w:rPr>
        <w:t xml:space="preserve">. </w:t>
      </w:r>
      <w:r w:rsidRPr="005B5DE7">
        <w:rPr>
          <w:rFonts w:ascii="Times New Roman" w:eastAsia="CharisSIL" w:hAnsi="Times New Roman" w:cs="Times New Roman"/>
          <w:sz w:val="24"/>
          <w:szCs w:val="24"/>
        </w:rPr>
        <w:t xml:space="preserve">The factors specified for </w:t>
      </w:r>
      <w:r>
        <w:rPr>
          <w:rFonts w:ascii="Times New Roman" w:eastAsia="CharisSIL" w:hAnsi="Times New Roman" w:cs="Times New Roman"/>
          <w:sz w:val="24"/>
          <w:szCs w:val="24"/>
        </w:rPr>
        <w:t xml:space="preserve">the </w:t>
      </w:r>
      <w:r w:rsidRPr="005B5DE7">
        <w:rPr>
          <w:rFonts w:ascii="Times New Roman" w:hAnsi="Times New Roman"/>
          <w:color w:val="131413"/>
          <w:sz w:val="24"/>
          <w:szCs w:val="24"/>
        </w:rPr>
        <w:t>Burke et al. (2014)</w:t>
      </w:r>
      <w:r>
        <w:rPr>
          <w:rFonts w:ascii="Times New Roman" w:hAnsi="Times New Roman"/>
          <w:color w:val="131413"/>
          <w:sz w:val="24"/>
          <w:szCs w:val="24"/>
        </w:rPr>
        <w:t xml:space="preserve"> model refer</w:t>
      </w:r>
      <w:r w:rsidRPr="005B5DE7">
        <w:rPr>
          <w:rFonts w:ascii="Times New Roman" w:hAnsi="Times New Roman"/>
          <w:color w:val="131413"/>
          <w:sz w:val="24"/>
          <w:szCs w:val="24"/>
        </w:rPr>
        <w:t xml:space="preserve"> to the specific factors in their bi-factor </w:t>
      </w:r>
      <w:r>
        <w:rPr>
          <w:rFonts w:ascii="Times New Roman" w:hAnsi="Times New Roman"/>
          <w:color w:val="131413"/>
          <w:sz w:val="24"/>
          <w:szCs w:val="24"/>
        </w:rPr>
        <w:t xml:space="preserve">ODD </w:t>
      </w:r>
      <w:r w:rsidRPr="005B5DE7">
        <w:rPr>
          <w:rFonts w:ascii="Times New Roman" w:hAnsi="Times New Roman"/>
          <w:color w:val="131413"/>
          <w:sz w:val="24"/>
          <w:szCs w:val="24"/>
        </w:rPr>
        <w:t>mode</w:t>
      </w:r>
      <w:r>
        <w:rPr>
          <w:rFonts w:ascii="Times New Roman" w:hAnsi="Times New Roman"/>
          <w:color w:val="131413"/>
          <w:sz w:val="24"/>
          <w:szCs w:val="24"/>
        </w:rPr>
        <w:t>l</w:t>
      </w:r>
      <w:r w:rsidRPr="005B5DE7">
        <w:rPr>
          <w:rFonts w:ascii="Times New Roman" w:hAnsi="Times New Roman"/>
          <w:color w:val="131413"/>
          <w:sz w:val="24"/>
          <w:szCs w:val="24"/>
        </w:rPr>
        <w:t>.</w:t>
      </w:r>
    </w:p>
    <w:p w14:paraId="2303565C" w14:textId="77777777" w:rsidR="00C6713F" w:rsidRDefault="00C6713F" w:rsidP="00C6713F">
      <w:pPr>
        <w:rPr>
          <w:rFonts w:ascii="Times New Roman" w:hAnsi="Times New Roman"/>
          <w:color w:val="131413"/>
          <w:sz w:val="24"/>
          <w:szCs w:val="24"/>
        </w:rPr>
      </w:pPr>
      <w:r>
        <w:rPr>
          <w:rFonts w:ascii="Times New Roman" w:hAnsi="Times New Roman"/>
          <w:color w:val="131413"/>
          <w:sz w:val="24"/>
          <w:szCs w:val="24"/>
        </w:rPr>
        <w:br w:type="page"/>
      </w:r>
    </w:p>
    <w:p w14:paraId="5214C29D" w14:textId="77777777" w:rsidR="00C6713F" w:rsidRPr="0056005A" w:rsidRDefault="00C6713F" w:rsidP="00C6713F">
      <w:pPr>
        <w:autoSpaceDE w:val="0"/>
        <w:autoSpaceDN w:val="0"/>
        <w:adjustRightInd w:val="0"/>
        <w:spacing w:after="0" w:line="480" w:lineRule="auto"/>
        <w:rPr>
          <w:rFonts w:ascii="Times New Roman" w:eastAsia="CharisSIL" w:hAnsi="Times New Roman" w:cs="Times New Roman"/>
          <w:b/>
          <w:sz w:val="24"/>
          <w:szCs w:val="24"/>
        </w:rPr>
      </w:pPr>
      <w:r>
        <w:rPr>
          <w:rFonts w:ascii="Times New Roman" w:eastAsia="CharisSIL" w:hAnsi="Times New Roman" w:cs="Times New Roman"/>
          <w:b/>
          <w:sz w:val="24"/>
          <w:szCs w:val="24"/>
        </w:rPr>
        <w:lastRenderedPageBreak/>
        <w:t xml:space="preserve">Supplementary </w:t>
      </w:r>
      <w:r w:rsidRPr="0056005A">
        <w:rPr>
          <w:rFonts w:ascii="Times New Roman" w:eastAsia="CharisSIL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CharisSIL" w:hAnsi="Times New Roman" w:cs="Times New Roman"/>
          <w:b/>
          <w:sz w:val="24"/>
          <w:szCs w:val="24"/>
        </w:rPr>
        <w:t>S2</w:t>
      </w:r>
    </w:p>
    <w:p w14:paraId="017AEDE9" w14:textId="77777777" w:rsidR="00C6713F" w:rsidRPr="00432701" w:rsidRDefault="00C6713F" w:rsidP="00C6713F">
      <w:pPr>
        <w:autoSpaceDE w:val="0"/>
        <w:autoSpaceDN w:val="0"/>
        <w:adjustRightInd w:val="0"/>
        <w:spacing w:after="0" w:line="480" w:lineRule="auto"/>
        <w:rPr>
          <w:rFonts w:ascii="Times New Roman" w:eastAsia="CharisSIL" w:hAnsi="Times New Roman" w:cs="Times New Roman"/>
          <w:i/>
          <w:sz w:val="24"/>
          <w:szCs w:val="24"/>
        </w:rPr>
      </w:pPr>
      <w:r w:rsidRPr="0056005A">
        <w:rPr>
          <w:rFonts w:ascii="Times New Roman" w:eastAsia="CharisSIL" w:hAnsi="Times New Roman" w:cs="Times New Roman"/>
          <w:i/>
          <w:sz w:val="24"/>
          <w:szCs w:val="24"/>
        </w:rPr>
        <w:t xml:space="preserve">Mean and Standard Deviation Scores for the </w:t>
      </w:r>
      <w:r>
        <w:rPr>
          <w:rFonts w:ascii="Times New Roman" w:eastAsia="CharisSIL" w:hAnsi="Times New Roman" w:cs="Times New Roman"/>
          <w:i/>
          <w:sz w:val="24"/>
          <w:szCs w:val="24"/>
        </w:rPr>
        <w:t xml:space="preserve">ODD Symptoms </w:t>
      </w:r>
      <w:r w:rsidRPr="0056005A">
        <w:rPr>
          <w:rFonts w:ascii="Times New Roman" w:eastAsia="CharisSIL" w:hAnsi="Times New Roman" w:cs="Times New Roman"/>
          <w:i/>
          <w:sz w:val="24"/>
          <w:szCs w:val="24"/>
        </w:rPr>
        <w:t xml:space="preserve">in </w:t>
      </w:r>
      <w:r>
        <w:rPr>
          <w:rFonts w:ascii="Times New Roman" w:eastAsia="CharisSIL" w:hAnsi="Times New Roman" w:cs="Times New Roman"/>
          <w:i/>
          <w:sz w:val="24"/>
          <w:szCs w:val="24"/>
        </w:rPr>
        <w:t>the Study</w:t>
      </w:r>
    </w:p>
    <w:tbl>
      <w:tblPr>
        <w:tblW w:w="8655" w:type="dxa"/>
        <w:tblInd w:w="93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645"/>
        <w:gridCol w:w="1796"/>
        <w:gridCol w:w="3064"/>
        <w:gridCol w:w="810"/>
        <w:gridCol w:w="720"/>
        <w:gridCol w:w="900"/>
        <w:gridCol w:w="720"/>
      </w:tblGrid>
      <w:tr w:rsidR="00C6713F" w:rsidRPr="00432701" w14:paraId="56A0C1E3" w14:textId="77777777" w:rsidTr="00B23A45">
        <w:trPr>
          <w:trHeight w:val="300"/>
        </w:trPr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05B432" w14:textId="77777777" w:rsidR="00C6713F" w:rsidRPr="00432701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</w:t>
            </w: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mptom</w:t>
            </w:r>
          </w:p>
        </w:tc>
        <w:tc>
          <w:tcPr>
            <w:tcW w:w="3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9DED6FA" w14:textId="77777777" w:rsidR="00C6713F" w:rsidRPr="00432701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EA20F2" w14:textId="77777777" w:rsidR="00C6713F" w:rsidRPr="00432701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Parent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FE9B83" w14:textId="77777777" w:rsidR="00C6713F" w:rsidRPr="00432701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Teacher</w:t>
            </w:r>
          </w:p>
        </w:tc>
      </w:tr>
      <w:tr w:rsidR="00C6713F" w:rsidRPr="00432701" w14:paraId="23833B73" w14:textId="77777777" w:rsidTr="00B23A45">
        <w:trPr>
          <w:trHeight w:val="300"/>
        </w:trPr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AFE60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D8BB5" w14:textId="77777777" w:rsidR="00C6713F" w:rsidRPr="00432701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Brief description</w:t>
            </w:r>
          </w:p>
        </w:tc>
        <w:tc>
          <w:tcPr>
            <w:tcW w:w="3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2568B6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DSM-5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grouping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ECC4E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0C365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4EBA8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17070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</w:tr>
      <w:tr w:rsidR="00C6713F" w:rsidRPr="00B45AA9" w14:paraId="5396F2E7" w14:textId="77777777" w:rsidTr="00B23A45">
        <w:trPr>
          <w:trHeight w:val="300"/>
        </w:trPr>
        <w:tc>
          <w:tcPr>
            <w:tcW w:w="645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8C7E8C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4DFB48D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</w:t>
            </w:r>
          </w:p>
        </w:tc>
        <w:tc>
          <w:tcPr>
            <w:tcW w:w="3064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51E4A16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Angry/irritable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60CDEB1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6C82F0C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8C1DE37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076AB50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</w:tr>
      <w:tr w:rsidR="00C6713F" w:rsidRPr="00B45AA9" w14:paraId="07416ACB" w14:textId="77777777" w:rsidTr="00B23A45">
        <w:trPr>
          <w:trHeight w:val="290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F175C3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A3F9E9F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argue</w:t>
            </w:r>
          </w:p>
        </w:tc>
        <w:tc>
          <w:tcPr>
            <w:tcW w:w="306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5B4F900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rgumentative/defiant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C15A87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BACB9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21B5A1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419D6F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</w:tr>
      <w:tr w:rsidR="00C6713F" w:rsidRPr="00B45AA9" w14:paraId="0F3FD67F" w14:textId="77777777" w:rsidTr="00B23A45">
        <w:trPr>
          <w:trHeight w:val="290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AA9B74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31A9A54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defy</w:t>
            </w:r>
          </w:p>
        </w:tc>
        <w:tc>
          <w:tcPr>
            <w:tcW w:w="306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E9F7A7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Argumentative/defiant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2AA52A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0F05FD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658A90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816D02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C6713F" w:rsidRPr="00B45AA9" w14:paraId="0006C747" w14:textId="77777777" w:rsidTr="00B23A45">
        <w:trPr>
          <w:trHeight w:val="290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1487C7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1A99543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annoy</w:t>
            </w:r>
          </w:p>
        </w:tc>
        <w:tc>
          <w:tcPr>
            <w:tcW w:w="306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1D01F7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Argumentative/defiant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547A23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DE835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62109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23B5EC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C6713F" w:rsidRPr="00B45AA9" w14:paraId="19A83D05" w14:textId="77777777" w:rsidTr="00B23A45">
        <w:trPr>
          <w:trHeight w:val="290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179D2B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F52F8C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blame</w:t>
            </w:r>
          </w:p>
        </w:tc>
        <w:tc>
          <w:tcPr>
            <w:tcW w:w="306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42E05E5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Argumentative/defiant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A4FB95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54515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C1DBD0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1A868A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</w:tr>
      <w:tr w:rsidR="00C6713F" w:rsidRPr="00B45AA9" w14:paraId="5B0C2F05" w14:textId="77777777" w:rsidTr="00B23A45">
        <w:trPr>
          <w:trHeight w:val="290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3996F8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96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61A41A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touchy</w:t>
            </w:r>
          </w:p>
        </w:tc>
        <w:tc>
          <w:tcPr>
            <w:tcW w:w="3064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EE14487" w14:textId="48A8FC4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Angry/irritable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0EA2A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8359BB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162C16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A5F09A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</w:tr>
      <w:tr w:rsidR="00C6713F" w:rsidRPr="00B45AA9" w14:paraId="656E0E24" w14:textId="77777777" w:rsidTr="00B23A45">
        <w:trPr>
          <w:trHeight w:val="290"/>
        </w:trPr>
        <w:tc>
          <w:tcPr>
            <w:tcW w:w="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D74A768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96" w:type="dxa"/>
            <w:tcBorders>
              <w:top w:val="nil"/>
            </w:tcBorders>
            <w:shd w:val="clear" w:color="auto" w:fill="auto"/>
            <w:hideMark/>
          </w:tcPr>
          <w:p w14:paraId="7F4743C1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angry</w:t>
            </w:r>
          </w:p>
        </w:tc>
        <w:tc>
          <w:tcPr>
            <w:tcW w:w="3064" w:type="dxa"/>
            <w:tcBorders>
              <w:top w:val="nil"/>
            </w:tcBorders>
            <w:shd w:val="clear" w:color="auto" w:fill="auto"/>
            <w:hideMark/>
          </w:tcPr>
          <w:p w14:paraId="6BFF306E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Angry/irritable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noWrap/>
            <w:hideMark/>
          </w:tcPr>
          <w:p w14:paraId="37F1ECC3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hideMark/>
          </w:tcPr>
          <w:p w14:paraId="5714D7F8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noWrap/>
            <w:hideMark/>
          </w:tcPr>
          <w:p w14:paraId="55AE2AD8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hideMark/>
          </w:tcPr>
          <w:p w14:paraId="15AE93F0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C6713F" w:rsidRPr="00B45AA9" w14:paraId="5EDAD727" w14:textId="77777777" w:rsidTr="00B23A45">
        <w:trPr>
          <w:trHeight w:val="290"/>
        </w:trPr>
        <w:tc>
          <w:tcPr>
            <w:tcW w:w="64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5E82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96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D337C7C" w14:textId="77777777" w:rsidR="00C6713F" w:rsidRPr="00B45AA9" w:rsidRDefault="00C6713F" w:rsidP="00B23A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spiteful</w:t>
            </w:r>
          </w:p>
        </w:tc>
        <w:tc>
          <w:tcPr>
            <w:tcW w:w="3064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B3BAA64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C92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piteful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049637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A03BEA7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CB6047A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DD6A73E" w14:textId="77777777" w:rsidR="00C6713F" w:rsidRPr="00B45AA9" w:rsidRDefault="00C6713F" w:rsidP="00B23A4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</w:tbl>
    <w:p w14:paraId="2EB9EA65" w14:textId="1047AFD3" w:rsidR="00C6713F" w:rsidRDefault="00C6713F" w:rsidP="00C6713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671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13F"/>
    <w:rsid w:val="000854D0"/>
    <w:rsid w:val="00597B6D"/>
    <w:rsid w:val="00832E83"/>
    <w:rsid w:val="00891BEA"/>
    <w:rsid w:val="009E000B"/>
    <w:rsid w:val="00C6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506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13F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C6713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2E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E83"/>
    <w:rPr>
      <w:rFonts w:ascii="Segoe UI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13F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C6713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2E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E83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Shaun Watson</dc:creator>
  <cp:lastModifiedBy>Rapson</cp:lastModifiedBy>
  <cp:revision>2</cp:revision>
  <dcterms:created xsi:type="dcterms:W3CDTF">2021-06-27T21:39:00Z</dcterms:created>
  <dcterms:modified xsi:type="dcterms:W3CDTF">2021-06-27T21:39:00Z</dcterms:modified>
</cp:coreProperties>
</file>