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9C0A6" w14:textId="77777777" w:rsidR="002252C3" w:rsidRPr="00585BC0" w:rsidRDefault="002252C3" w:rsidP="002252C3">
      <w:pPr>
        <w:pStyle w:val="Heading1"/>
        <w:ind w:left="360" w:hanging="360"/>
      </w:pPr>
      <w:r w:rsidRPr="00585BC0">
        <w:t xml:space="preserve">Appendices </w:t>
      </w:r>
    </w:p>
    <w:p w14:paraId="2B807221" w14:textId="77777777" w:rsidR="002252C3" w:rsidRPr="00585BC0" w:rsidRDefault="002252C3" w:rsidP="002252C3">
      <w:pPr>
        <w:pStyle w:val="Heading2"/>
        <w:ind w:left="792" w:hanging="432"/>
      </w:pPr>
      <w:bookmarkStart w:id="0" w:name="_Toc150168368"/>
      <w:bookmarkStart w:id="1" w:name="_Toc152156270"/>
      <w:r w:rsidRPr="00585BC0">
        <w:t>13.1.</w:t>
      </w:r>
      <w:r w:rsidRPr="00585BC0">
        <w:tab/>
        <w:t>FARM input data</w:t>
      </w:r>
      <w:bookmarkEnd w:id="0"/>
      <w:bookmarkEnd w:id="1"/>
    </w:p>
    <w:p w14:paraId="79A71CF3" w14:textId="77777777" w:rsidR="002252C3" w:rsidRPr="00585BC0" w:rsidRDefault="002252C3" w:rsidP="002252C3">
      <w:pPr>
        <w:jc w:val="both"/>
        <w:rPr>
          <w:rFonts w:ascii="Times New Roman" w:hAnsi="Times New Roman" w:cs="Times New Roman"/>
          <w:lang w:val="en-GB"/>
        </w:rPr>
      </w:pPr>
      <w:r w:rsidRPr="00585BC0">
        <w:rPr>
          <w:rFonts w:ascii="Times New Roman" w:hAnsi="Times New Roman" w:cs="Times New Roman"/>
          <w:b/>
          <w:bCs/>
          <w:lang w:val="en-GB"/>
        </w:rPr>
        <w:t>Appendix 2 Table 1:</w:t>
      </w:r>
      <w:r w:rsidRPr="00585BC0">
        <w:rPr>
          <w:rFonts w:ascii="Times New Roman" w:hAnsi="Times New Roman" w:cs="Times New Roman"/>
          <w:lang w:val="en-GB"/>
        </w:rPr>
        <w:t xml:space="preserve"> General information on culture practice for the typical UK shellfish farms across </w:t>
      </w:r>
      <w:r>
        <w:rPr>
          <w:rFonts w:ascii="Times New Roman" w:hAnsi="Times New Roman" w:cs="Times New Roman"/>
          <w:lang w:val="en-GB"/>
        </w:rPr>
        <w:t>four</w:t>
      </w:r>
      <w:r w:rsidRPr="00585BC0">
        <w:rPr>
          <w:rFonts w:ascii="Times New Roman" w:hAnsi="Times New Roman" w:cs="Times New Roman"/>
          <w:lang w:val="en-GB"/>
        </w:rPr>
        <w:t xml:space="preserve"> species. The data were used as a basis to parameterise FARM models for all the species-country combinations in addition to environmental drivers that were specific to each country within the UK. </w:t>
      </w:r>
    </w:p>
    <w:tbl>
      <w:tblPr>
        <w:tblStyle w:val="ListTable3-Accent3"/>
        <w:tblW w:w="9044" w:type="dxa"/>
        <w:tblLook w:val="04A0" w:firstRow="1" w:lastRow="0" w:firstColumn="1" w:lastColumn="0" w:noHBand="0" w:noVBand="1"/>
      </w:tblPr>
      <w:tblGrid>
        <w:gridCol w:w="983"/>
        <w:gridCol w:w="1835"/>
        <w:gridCol w:w="1698"/>
        <w:gridCol w:w="1570"/>
        <w:gridCol w:w="1562"/>
        <w:gridCol w:w="1396"/>
      </w:tblGrid>
      <w:tr w:rsidR="002252C3" w:rsidRPr="00585BC0" w14:paraId="04BC529B" w14:textId="77777777" w:rsidTr="00650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3" w:type="dxa"/>
            <w:noWrap/>
            <w:hideMark/>
          </w:tcPr>
          <w:p w14:paraId="1B0E82A0" w14:textId="77777777" w:rsidR="002252C3" w:rsidRPr="004E3969" w:rsidRDefault="002252C3" w:rsidP="00650CF0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E396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835" w:type="dxa"/>
            <w:noWrap/>
            <w:hideMark/>
          </w:tcPr>
          <w:p w14:paraId="16B600C8" w14:textId="77777777" w:rsidR="002252C3" w:rsidRPr="00585BC0" w:rsidRDefault="002252C3" w:rsidP="00650CF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Species</w:t>
            </w:r>
          </w:p>
        </w:tc>
        <w:tc>
          <w:tcPr>
            <w:tcW w:w="1698" w:type="dxa"/>
            <w:noWrap/>
            <w:hideMark/>
          </w:tcPr>
          <w:p w14:paraId="5F48A529" w14:textId="77777777" w:rsidR="002252C3" w:rsidRPr="00585BC0" w:rsidRDefault="002252C3" w:rsidP="00650CF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Blue mussel</w:t>
            </w:r>
          </w:p>
        </w:tc>
        <w:tc>
          <w:tcPr>
            <w:tcW w:w="1570" w:type="dxa"/>
            <w:noWrap/>
            <w:hideMark/>
          </w:tcPr>
          <w:p w14:paraId="00F5120E" w14:textId="77777777" w:rsidR="002252C3" w:rsidRPr="00585BC0" w:rsidRDefault="002252C3" w:rsidP="00650CF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Pacific oyster</w:t>
            </w:r>
          </w:p>
        </w:tc>
        <w:tc>
          <w:tcPr>
            <w:tcW w:w="1562" w:type="dxa"/>
            <w:noWrap/>
            <w:hideMark/>
          </w:tcPr>
          <w:p w14:paraId="54C255BD" w14:textId="77777777" w:rsidR="002252C3" w:rsidRPr="00585BC0" w:rsidRDefault="002252C3" w:rsidP="00650CF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Native</w:t>
            </w: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 xml:space="preserve"> oyster</w:t>
            </w:r>
          </w:p>
        </w:tc>
        <w:tc>
          <w:tcPr>
            <w:tcW w:w="1396" w:type="dxa"/>
            <w:noWrap/>
            <w:hideMark/>
          </w:tcPr>
          <w:p w14:paraId="3E600569" w14:textId="77777777" w:rsidR="002252C3" w:rsidRPr="00585BC0" w:rsidRDefault="002252C3" w:rsidP="00650CF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Manila clam</w:t>
            </w:r>
          </w:p>
        </w:tc>
      </w:tr>
      <w:tr w:rsidR="002252C3" w:rsidRPr="00585BC0" w14:paraId="7A84A8FE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textDirection w:val="btLr"/>
            <w:hideMark/>
          </w:tcPr>
          <w:p w14:paraId="47B9C665" w14:textId="77777777" w:rsidR="002252C3" w:rsidRPr="00585BC0" w:rsidRDefault="002252C3" w:rsidP="00650CF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Shellfish culture practice</w:t>
            </w:r>
          </w:p>
        </w:tc>
        <w:tc>
          <w:tcPr>
            <w:tcW w:w="1835" w:type="dxa"/>
            <w:noWrap/>
            <w:hideMark/>
          </w:tcPr>
          <w:p w14:paraId="3CFCF279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Stocking density (indiv./m</w:t>
            </w:r>
            <w:r w:rsidRPr="00585BC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GB"/>
              </w:rPr>
              <w:t>2</w:t>
            </w: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)</w:t>
            </w:r>
          </w:p>
        </w:tc>
        <w:tc>
          <w:tcPr>
            <w:tcW w:w="1698" w:type="dxa"/>
            <w:noWrap/>
            <w:hideMark/>
          </w:tcPr>
          <w:p w14:paraId="4EEEE75E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350</w:t>
            </w:r>
          </w:p>
        </w:tc>
        <w:tc>
          <w:tcPr>
            <w:tcW w:w="1570" w:type="dxa"/>
            <w:noWrap/>
            <w:hideMark/>
          </w:tcPr>
          <w:p w14:paraId="3E2EF211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75</w:t>
            </w:r>
          </w:p>
        </w:tc>
        <w:tc>
          <w:tcPr>
            <w:tcW w:w="1562" w:type="dxa"/>
            <w:noWrap/>
            <w:hideMark/>
          </w:tcPr>
          <w:p w14:paraId="2A0945C0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100</w:t>
            </w:r>
          </w:p>
        </w:tc>
        <w:tc>
          <w:tcPr>
            <w:tcW w:w="1396" w:type="dxa"/>
            <w:noWrap/>
            <w:hideMark/>
          </w:tcPr>
          <w:p w14:paraId="40C5ACD8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600</w:t>
            </w:r>
          </w:p>
        </w:tc>
      </w:tr>
      <w:tr w:rsidR="002252C3" w:rsidRPr="00585BC0" w14:paraId="2B1E9C68" w14:textId="77777777" w:rsidTr="00650CF0">
        <w:trPr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textDirection w:val="btLr"/>
            <w:hideMark/>
          </w:tcPr>
          <w:p w14:paraId="4E53FFE6" w14:textId="77777777" w:rsidR="002252C3" w:rsidRPr="00585BC0" w:rsidRDefault="002252C3" w:rsidP="00650CF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Farm layout</w:t>
            </w:r>
          </w:p>
        </w:tc>
        <w:tc>
          <w:tcPr>
            <w:tcW w:w="1835" w:type="dxa"/>
            <w:noWrap/>
            <w:hideMark/>
          </w:tcPr>
          <w:p w14:paraId="078CFC7D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Cultivation method</w:t>
            </w:r>
          </w:p>
        </w:tc>
        <w:tc>
          <w:tcPr>
            <w:tcW w:w="1698" w:type="dxa"/>
            <w:noWrap/>
            <w:hideMark/>
          </w:tcPr>
          <w:p w14:paraId="46BF0A65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Longlines, bottom</w:t>
            </w:r>
          </w:p>
        </w:tc>
        <w:tc>
          <w:tcPr>
            <w:tcW w:w="1570" w:type="dxa"/>
            <w:noWrap/>
            <w:hideMark/>
          </w:tcPr>
          <w:p w14:paraId="29FEAD5E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Bottom</w:t>
            </w:r>
          </w:p>
        </w:tc>
        <w:tc>
          <w:tcPr>
            <w:tcW w:w="1562" w:type="dxa"/>
            <w:noWrap/>
            <w:hideMark/>
          </w:tcPr>
          <w:p w14:paraId="2A4DBF79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Bottom</w:t>
            </w:r>
          </w:p>
        </w:tc>
        <w:tc>
          <w:tcPr>
            <w:tcW w:w="1396" w:type="dxa"/>
            <w:noWrap/>
            <w:hideMark/>
          </w:tcPr>
          <w:p w14:paraId="03B75403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Bottom</w:t>
            </w:r>
          </w:p>
        </w:tc>
      </w:tr>
      <w:tr w:rsidR="002252C3" w:rsidRPr="00585BC0" w14:paraId="2F753C45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vMerge w:val="restart"/>
            <w:textDirection w:val="btLr"/>
            <w:hideMark/>
          </w:tcPr>
          <w:p w14:paraId="506306CA" w14:textId="77777777" w:rsidR="002252C3" w:rsidRPr="00585BC0" w:rsidRDefault="002252C3" w:rsidP="00650CF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Shellfish cultivation</w:t>
            </w:r>
          </w:p>
        </w:tc>
        <w:tc>
          <w:tcPr>
            <w:tcW w:w="1835" w:type="dxa"/>
            <w:noWrap/>
            <w:hideMark/>
          </w:tcPr>
          <w:p w14:paraId="02085864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Mortality (%)</w:t>
            </w:r>
          </w:p>
        </w:tc>
        <w:tc>
          <w:tcPr>
            <w:tcW w:w="1698" w:type="dxa"/>
            <w:noWrap/>
            <w:hideMark/>
          </w:tcPr>
          <w:p w14:paraId="1533A21D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10</w:t>
            </w:r>
          </w:p>
        </w:tc>
        <w:tc>
          <w:tcPr>
            <w:tcW w:w="1570" w:type="dxa"/>
            <w:noWrap/>
            <w:hideMark/>
          </w:tcPr>
          <w:p w14:paraId="78DEE556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20</w:t>
            </w:r>
          </w:p>
        </w:tc>
        <w:tc>
          <w:tcPr>
            <w:tcW w:w="1562" w:type="dxa"/>
            <w:noWrap/>
            <w:hideMark/>
          </w:tcPr>
          <w:p w14:paraId="1A110AEE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30</w:t>
            </w:r>
          </w:p>
        </w:tc>
        <w:tc>
          <w:tcPr>
            <w:tcW w:w="1396" w:type="dxa"/>
            <w:noWrap/>
            <w:hideMark/>
          </w:tcPr>
          <w:p w14:paraId="1ADD1B83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20</w:t>
            </w:r>
          </w:p>
        </w:tc>
      </w:tr>
      <w:tr w:rsidR="002252C3" w:rsidRPr="00585BC0" w14:paraId="4C8757B6" w14:textId="77777777" w:rsidTr="00650CF0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vMerge/>
            <w:hideMark/>
          </w:tcPr>
          <w:p w14:paraId="3F95E813" w14:textId="77777777" w:rsidR="002252C3" w:rsidRPr="00585BC0" w:rsidRDefault="002252C3" w:rsidP="00650CF0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35" w:type="dxa"/>
            <w:noWrap/>
            <w:hideMark/>
          </w:tcPr>
          <w:p w14:paraId="74F505E7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Culture period (days)</w:t>
            </w:r>
          </w:p>
        </w:tc>
        <w:tc>
          <w:tcPr>
            <w:tcW w:w="1698" w:type="dxa"/>
            <w:noWrap/>
            <w:hideMark/>
          </w:tcPr>
          <w:p w14:paraId="76F0696C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1120</w:t>
            </w:r>
          </w:p>
        </w:tc>
        <w:tc>
          <w:tcPr>
            <w:tcW w:w="1570" w:type="dxa"/>
            <w:noWrap/>
            <w:hideMark/>
          </w:tcPr>
          <w:p w14:paraId="000953D7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700</w:t>
            </w:r>
          </w:p>
        </w:tc>
        <w:tc>
          <w:tcPr>
            <w:tcW w:w="1562" w:type="dxa"/>
            <w:noWrap/>
            <w:hideMark/>
          </w:tcPr>
          <w:p w14:paraId="00E21F79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1500</w:t>
            </w:r>
          </w:p>
        </w:tc>
        <w:tc>
          <w:tcPr>
            <w:tcW w:w="1396" w:type="dxa"/>
            <w:noWrap/>
            <w:hideMark/>
          </w:tcPr>
          <w:p w14:paraId="7DDE198E" w14:textId="77777777" w:rsidR="002252C3" w:rsidRPr="00585BC0" w:rsidRDefault="002252C3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1220</w:t>
            </w:r>
          </w:p>
        </w:tc>
      </w:tr>
      <w:tr w:rsidR="002252C3" w:rsidRPr="00585BC0" w14:paraId="752FD4EB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vMerge/>
            <w:hideMark/>
          </w:tcPr>
          <w:p w14:paraId="7F3CB868" w14:textId="77777777" w:rsidR="002252C3" w:rsidRPr="00585BC0" w:rsidRDefault="002252C3" w:rsidP="00650CF0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35" w:type="dxa"/>
            <w:noWrap/>
            <w:hideMark/>
          </w:tcPr>
          <w:p w14:paraId="577B5F12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Harvest weight (g)</w:t>
            </w:r>
          </w:p>
        </w:tc>
        <w:tc>
          <w:tcPr>
            <w:tcW w:w="1698" w:type="dxa"/>
            <w:noWrap/>
            <w:hideMark/>
          </w:tcPr>
          <w:p w14:paraId="32FB27F5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1570" w:type="dxa"/>
            <w:noWrap/>
            <w:hideMark/>
          </w:tcPr>
          <w:p w14:paraId="6838A37D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80</w:t>
            </w:r>
          </w:p>
        </w:tc>
        <w:tc>
          <w:tcPr>
            <w:tcW w:w="1562" w:type="dxa"/>
            <w:noWrap/>
            <w:hideMark/>
          </w:tcPr>
          <w:p w14:paraId="5FE4E92B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lang w:eastAsia="en-GB"/>
              </w:rPr>
              <w:t>90</w:t>
            </w:r>
          </w:p>
        </w:tc>
        <w:tc>
          <w:tcPr>
            <w:tcW w:w="1396" w:type="dxa"/>
            <w:noWrap/>
            <w:hideMark/>
          </w:tcPr>
          <w:p w14:paraId="6BD21300" w14:textId="77777777" w:rsidR="002252C3" w:rsidRPr="00585BC0" w:rsidRDefault="002252C3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85B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</w:tbl>
    <w:p w14:paraId="47082731" w14:textId="77777777" w:rsidR="002252C3" w:rsidRPr="00585BC0" w:rsidRDefault="002252C3" w:rsidP="002252C3">
      <w:pPr>
        <w:jc w:val="both"/>
        <w:rPr>
          <w:rFonts w:ascii="Times New Roman" w:hAnsi="Times New Roman" w:cs="Times New Roman"/>
          <w:lang w:val="en-GB"/>
        </w:rPr>
      </w:pPr>
    </w:p>
    <w:p w14:paraId="13CD0DF0" w14:textId="77777777" w:rsidR="00865217" w:rsidRDefault="00865217"/>
    <w:sectPr w:rsidR="00865217" w:rsidSect="002252C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2C3"/>
    <w:rsid w:val="002252C3"/>
    <w:rsid w:val="002E281E"/>
    <w:rsid w:val="003201BB"/>
    <w:rsid w:val="004A27E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CBBF"/>
  <w15:chartTrackingRefBased/>
  <w15:docId w15:val="{5EF742D9-6DE7-4158-BAFD-F6A52F09F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2C3"/>
    <w:pPr>
      <w:spacing w:line="259" w:lineRule="auto"/>
    </w:pPr>
    <w:rPr>
      <w:sz w:val="22"/>
      <w:szCs w:val="22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2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52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2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2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2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2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2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2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2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2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252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2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2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2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2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2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2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2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2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52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2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52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2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52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2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52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2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2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2C3"/>
    <w:rPr>
      <w:b/>
      <w:bCs/>
      <w:smallCaps/>
      <w:color w:val="0F4761" w:themeColor="accent1" w:themeShade="BF"/>
      <w:spacing w:val="5"/>
    </w:rPr>
  </w:style>
  <w:style w:type="table" w:styleId="ListTable3-Accent3">
    <w:name w:val="List Table 3 Accent 3"/>
    <w:basedOn w:val="TableNormal"/>
    <w:uiPriority w:val="48"/>
    <w:rsid w:val="002252C3"/>
    <w:pPr>
      <w:spacing w:after="0" w:line="240" w:lineRule="auto"/>
    </w:pPr>
    <w:rPr>
      <w:sz w:val="22"/>
      <w:szCs w:val="22"/>
      <w:lang w:val="pl-PL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Springer Nature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2025-07-18T15:15:00Z</dcterms:created>
  <dcterms:modified xsi:type="dcterms:W3CDTF">2025-07-18T15:15:00Z</dcterms:modified>
</cp:coreProperties>
</file>