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9C15" w14:textId="215D3A85" w:rsidR="00AB1AA5" w:rsidRPr="00E0014D" w:rsidRDefault="00E0014D" w:rsidP="00AB1AA5">
      <w:pPr>
        <w:spacing w:line="360" w:lineRule="auto"/>
        <w:rPr>
          <w:rFonts w:cstheme="minorHAnsi"/>
          <w:b/>
          <w:sz w:val="24"/>
          <w:szCs w:val="24"/>
          <w:lang w:val="en-GB"/>
        </w:rPr>
      </w:pPr>
      <w:r w:rsidRPr="00E0014D">
        <w:rPr>
          <w:rFonts w:cstheme="minorHAnsi"/>
          <w:b/>
          <w:sz w:val="24"/>
          <w:szCs w:val="24"/>
          <w:lang w:val="en-GB"/>
        </w:rPr>
        <w:t>EXTENDED CONTENT</w:t>
      </w:r>
    </w:p>
    <w:p w14:paraId="23D8B19D" w14:textId="26DD3E19" w:rsidR="00AB1AA5" w:rsidRPr="00E0014D" w:rsidRDefault="00AB1AA5" w:rsidP="00AB1AA5">
      <w:pPr>
        <w:spacing w:line="276" w:lineRule="auto"/>
        <w:rPr>
          <w:rFonts w:cstheme="minorHAnsi"/>
          <w:b/>
          <w:sz w:val="24"/>
          <w:szCs w:val="24"/>
          <w:lang w:val="en-GB"/>
        </w:rPr>
      </w:pPr>
      <w:r w:rsidRPr="00E0014D">
        <w:rPr>
          <w:rFonts w:cstheme="minorHAnsi"/>
          <w:b/>
          <w:sz w:val="24"/>
          <w:szCs w:val="24"/>
          <w:lang w:val="en-GB"/>
        </w:rPr>
        <w:t>TABLE OF CONTENT</w:t>
      </w:r>
    </w:p>
    <w:p w14:paraId="17A4987C" w14:textId="478D9EBA" w:rsidR="00E0014D" w:rsidRPr="00E0014D" w:rsidRDefault="00E0014D" w:rsidP="00E0014D">
      <w:pPr>
        <w:pStyle w:val="Paragraphedeliste"/>
        <w:widowControl w:val="0"/>
        <w:numPr>
          <w:ilvl w:val="0"/>
          <w:numId w:val="2"/>
        </w:numPr>
        <w:overflowPunct w:val="0"/>
        <w:autoSpaceDE w:val="0"/>
        <w:autoSpaceDN w:val="0"/>
        <w:adjustRightInd w:val="0"/>
        <w:spacing w:after="0" w:line="360" w:lineRule="auto"/>
        <w:ind w:left="357" w:hanging="357"/>
        <w:textAlignment w:val="baseline"/>
        <w:rPr>
          <w:rFonts w:cs="Times New Roman"/>
          <w:b/>
          <w:bCs/>
          <w:sz w:val="24"/>
          <w:szCs w:val="24"/>
          <w:lang w:val="en-GB"/>
        </w:rPr>
      </w:pPr>
      <w:r w:rsidRPr="00E0014D">
        <w:rPr>
          <w:rFonts w:cs="Times New Roman"/>
          <w:b/>
          <w:bCs/>
          <w:sz w:val="24"/>
          <w:szCs w:val="24"/>
          <w:lang w:val="en-GB"/>
        </w:rPr>
        <w:t>METHODS</w:t>
      </w:r>
    </w:p>
    <w:p w14:paraId="7FBC7E03" w14:textId="3FB4D6E3" w:rsidR="00E0014D" w:rsidRPr="00E0014D" w:rsidRDefault="00E0014D" w:rsidP="00E0014D">
      <w:pPr>
        <w:pStyle w:val="Paragraphedeliste"/>
        <w:widowControl w:val="0"/>
        <w:numPr>
          <w:ilvl w:val="0"/>
          <w:numId w:val="2"/>
        </w:numPr>
        <w:overflowPunct w:val="0"/>
        <w:autoSpaceDE w:val="0"/>
        <w:autoSpaceDN w:val="0"/>
        <w:adjustRightInd w:val="0"/>
        <w:spacing w:after="0" w:line="360" w:lineRule="auto"/>
        <w:ind w:left="357" w:hanging="357"/>
        <w:textAlignment w:val="baseline"/>
        <w:rPr>
          <w:rFonts w:cs="Times New Roman"/>
          <w:sz w:val="24"/>
          <w:szCs w:val="24"/>
          <w:lang w:val="en-GB"/>
        </w:rPr>
      </w:pPr>
      <w:r w:rsidRPr="00E0014D">
        <w:rPr>
          <w:rFonts w:cstheme="minorHAnsi"/>
          <w:b/>
          <w:sz w:val="24"/>
          <w:szCs w:val="24"/>
          <w:lang w:val="en-GB"/>
        </w:rPr>
        <w:t>Extended Table 1</w:t>
      </w:r>
      <w:r w:rsidRPr="00E0014D">
        <w:rPr>
          <w:rFonts w:cs="Times New Roman"/>
          <w:sz w:val="24"/>
          <w:szCs w:val="24"/>
          <w:lang w:val="en-GB"/>
        </w:rPr>
        <w:t>: Inclusion/Exclusion criteria</w:t>
      </w:r>
    </w:p>
    <w:p w14:paraId="18C20D79" w14:textId="3A0F1C83" w:rsidR="00E0014D" w:rsidRPr="00E0014D" w:rsidRDefault="00E0014D" w:rsidP="00E0014D">
      <w:pPr>
        <w:pStyle w:val="Paragraphedeliste"/>
        <w:widowControl w:val="0"/>
        <w:numPr>
          <w:ilvl w:val="0"/>
          <w:numId w:val="2"/>
        </w:numPr>
        <w:overflowPunct w:val="0"/>
        <w:autoSpaceDE w:val="0"/>
        <w:autoSpaceDN w:val="0"/>
        <w:adjustRightInd w:val="0"/>
        <w:spacing w:after="0" w:line="360" w:lineRule="auto"/>
        <w:ind w:left="357" w:hanging="357"/>
        <w:textAlignment w:val="baseline"/>
        <w:rPr>
          <w:rFonts w:cs="Times New Roman"/>
          <w:sz w:val="24"/>
          <w:szCs w:val="24"/>
          <w:lang w:val="en-GB"/>
        </w:rPr>
      </w:pPr>
      <w:r w:rsidRPr="00E0014D">
        <w:rPr>
          <w:rFonts w:cstheme="minorHAnsi"/>
          <w:b/>
          <w:sz w:val="24"/>
          <w:szCs w:val="24"/>
          <w:lang w:val="en-GB"/>
        </w:rPr>
        <w:t xml:space="preserve">Extended Table 2: </w:t>
      </w:r>
      <w:r w:rsidRPr="00E0014D">
        <w:rPr>
          <w:rFonts w:cstheme="minorHAnsi"/>
          <w:iCs/>
          <w:sz w:val="24"/>
          <w:szCs w:val="24"/>
          <w:lang w:val="en-US"/>
        </w:rPr>
        <w:t xml:space="preserve">clinical and biological outcomes in patients with </w:t>
      </w:r>
      <w:r w:rsidR="007A4635" w:rsidRPr="00E0014D">
        <w:rPr>
          <w:rFonts w:cstheme="minorHAnsi"/>
          <w:iCs/>
          <w:sz w:val="24"/>
          <w:szCs w:val="24"/>
          <w:lang w:val="en-US"/>
        </w:rPr>
        <w:t>successful</w:t>
      </w:r>
      <w:r w:rsidRPr="00E0014D">
        <w:rPr>
          <w:rFonts w:cstheme="minorHAnsi"/>
          <w:iCs/>
          <w:sz w:val="24"/>
          <w:szCs w:val="24"/>
          <w:lang w:val="en-US"/>
        </w:rPr>
        <w:t xml:space="preserve"> pregnancy and pregnancy loss.</w:t>
      </w:r>
    </w:p>
    <w:p w14:paraId="169CC0D1" w14:textId="1BFE36D6" w:rsidR="00E0014D" w:rsidRPr="00E0014D" w:rsidRDefault="00E0014D" w:rsidP="00E0014D">
      <w:pPr>
        <w:pStyle w:val="Paragraphedeliste"/>
        <w:numPr>
          <w:ilvl w:val="0"/>
          <w:numId w:val="2"/>
        </w:numPr>
        <w:spacing w:after="0" w:line="360" w:lineRule="auto"/>
        <w:ind w:left="357" w:hanging="357"/>
        <w:jc w:val="both"/>
        <w:rPr>
          <w:rFonts w:cstheme="minorHAnsi"/>
          <w:b/>
          <w:i/>
          <w:sz w:val="24"/>
          <w:szCs w:val="24"/>
          <w:lang w:val="en-US"/>
        </w:rPr>
      </w:pPr>
      <w:r w:rsidRPr="00E0014D">
        <w:rPr>
          <w:rFonts w:cstheme="minorHAnsi"/>
          <w:b/>
          <w:sz w:val="24"/>
          <w:szCs w:val="24"/>
          <w:lang w:val="en-GB"/>
        </w:rPr>
        <w:t xml:space="preserve">Extended Table 3: </w:t>
      </w:r>
      <w:r w:rsidR="007A4635">
        <w:rPr>
          <w:rFonts w:cstheme="minorHAnsi"/>
          <w:bCs/>
          <w:sz w:val="24"/>
          <w:szCs w:val="24"/>
          <w:lang w:val="en-GB"/>
        </w:rPr>
        <w:t>Safety</w:t>
      </w:r>
    </w:p>
    <w:p w14:paraId="5D451EA0" w14:textId="16E41547" w:rsidR="00E0014D" w:rsidRPr="00E0014D" w:rsidRDefault="00E0014D" w:rsidP="00E0014D">
      <w:pPr>
        <w:pStyle w:val="Paragraphedeliste"/>
        <w:numPr>
          <w:ilvl w:val="0"/>
          <w:numId w:val="2"/>
        </w:numPr>
        <w:spacing w:after="0" w:line="360" w:lineRule="auto"/>
        <w:ind w:left="357" w:hanging="357"/>
        <w:jc w:val="both"/>
        <w:rPr>
          <w:rFonts w:cs="Times New Roman"/>
          <w:iCs/>
          <w:sz w:val="24"/>
          <w:szCs w:val="24"/>
          <w:lang w:val="en-GB"/>
        </w:rPr>
      </w:pPr>
      <w:r w:rsidRPr="00E0014D">
        <w:rPr>
          <w:rFonts w:cstheme="minorHAnsi"/>
          <w:b/>
          <w:sz w:val="24"/>
          <w:szCs w:val="24"/>
          <w:lang w:val="en-GB"/>
        </w:rPr>
        <w:t>Extended</w:t>
      </w:r>
      <w:r w:rsidRPr="00E0014D">
        <w:rPr>
          <w:rFonts w:cs="Times New Roman"/>
          <w:b/>
          <w:bCs/>
          <w:sz w:val="24"/>
          <w:szCs w:val="24"/>
          <w:lang w:val="en-GB" w:eastAsia="ja-JP"/>
        </w:rPr>
        <w:t xml:space="preserve"> Figure </w:t>
      </w:r>
      <w:r w:rsidR="007A4635">
        <w:rPr>
          <w:rFonts w:cs="Times New Roman"/>
          <w:b/>
          <w:bCs/>
          <w:sz w:val="24"/>
          <w:szCs w:val="24"/>
          <w:lang w:val="en-GB" w:eastAsia="ja-JP"/>
        </w:rPr>
        <w:t>1</w:t>
      </w:r>
      <w:r w:rsidRPr="00E0014D">
        <w:rPr>
          <w:rFonts w:cs="Times New Roman"/>
          <w:b/>
          <w:bCs/>
          <w:iCs/>
          <w:sz w:val="24"/>
          <w:szCs w:val="24"/>
          <w:lang w:val="en-GB"/>
        </w:rPr>
        <w:t>:</w:t>
      </w:r>
      <w:r w:rsidRPr="00E0014D">
        <w:rPr>
          <w:rFonts w:cs="Times New Roman"/>
          <w:iCs/>
          <w:sz w:val="24"/>
          <w:szCs w:val="24"/>
          <w:lang w:val="en-GB"/>
        </w:rPr>
        <w:t xml:space="preserve"> Biological response (Individual Treg response)</w:t>
      </w:r>
    </w:p>
    <w:p w14:paraId="10A40766" w14:textId="77777777" w:rsidR="00E0014D" w:rsidRPr="00E010B4" w:rsidRDefault="00E0014D" w:rsidP="00AB1AA5">
      <w:pPr>
        <w:spacing w:line="276" w:lineRule="auto"/>
        <w:rPr>
          <w:rFonts w:cstheme="minorHAnsi"/>
          <w:b/>
          <w:sz w:val="24"/>
          <w:szCs w:val="24"/>
          <w:lang w:val="en-GB"/>
        </w:rPr>
      </w:pPr>
    </w:p>
    <w:p w14:paraId="7DB6D157" w14:textId="60AFE7CC" w:rsidR="00555DC6" w:rsidRPr="00555DC6" w:rsidRDefault="00555DC6" w:rsidP="00555DC6">
      <w:pPr>
        <w:widowControl w:val="0"/>
        <w:overflowPunct w:val="0"/>
        <w:autoSpaceDE w:val="0"/>
        <w:autoSpaceDN w:val="0"/>
        <w:adjustRightInd w:val="0"/>
        <w:spacing w:after="0" w:line="276" w:lineRule="auto"/>
        <w:textAlignment w:val="baseline"/>
        <w:rPr>
          <w:rFonts w:cstheme="minorHAnsi"/>
          <w:b/>
          <w:sz w:val="24"/>
          <w:szCs w:val="24"/>
          <w:lang w:val="en-GB"/>
        </w:rPr>
      </w:pPr>
      <w:r>
        <w:rPr>
          <w:rFonts w:cstheme="minorHAnsi"/>
          <w:b/>
          <w:sz w:val="24"/>
          <w:szCs w:val="24"/>
          <w:lang w:val="en-GB"/>
        </w:rPr>
        <w:t>METHODS</w:t>
      </w:r>
    </w:p>
    <w:p w14:paraId="2B49FE7C" w14:textId="77777777" w:rsidR="00555DC6" w:rsidRPr="00555DC6" w:rsidRDefault="00555DC6" w:rsidP="00E0014D">
      <w:pPr>
        <w:spacing w:before="120" w:after="120" w:line="360" w:lineRule="auto"/>
        <w:jc w:val="both"/>
        <w:rPr>
          <w:rFonts w:cstheme="minorHAnsi"/>
          <w:b/>
          <w:sz w:val="24"/>
          <w:szCs w:val="24"/>
          <w:lang w:val="en-US"/>
        </w:rPr>
      </w:pPr>
      <w:r w:rsidRPr="00555DC6">
        <w:rPr>
          <w:rFonts w:cstheme="minorHAnsi"/>
          <w:b/>
          <w:sz w:val="24"/>
          <w:szCs w:val="24"/>
          <w:lang w:val="en-US"/>
        </w:rPr>
        <w:t>FACIL-2 study design, participants and treatment</w:t>
      </w:r>
    </w:p>
    <w:p w14:paraId="50B4B51C" w14:textId="77777777" w:rsidR="00555DC6" w:rsidRPr="00555DC6" w:rsidRDefault="00555DC6" w:rsidP="00555DC6">
      <w:pPr>
        <w:spacing w:after="0" w:line="360" w:lineRule="auto"/>
        <w:jc w:val="both"/>
        <w:rPr>
          <w:rFonts w:eastAsia="Calibri" w:cstheme="minorHAnsi"/>
          <w:sz w:val="24"/>
          <w:szCs w:val="24"/>
          <w:lang w:val="en-US"/>
        </w:rPr>
      </w:pPr>
      <w:r w:rsidRPr="00555DC6">
        <w:rPr>
          <w:rFonts w:cstheme="minorHAnsi"/>
          <w:sz w:val="24"/>
          <w:szCs w:val="24"/>
          <w:lang w:val="en-US"/>
        </w:rPr>
        <w:t xml:space="preserve">FACIL-2 was an open monocentric proof-of-concept trial </w:t>
      </w:r>
      <w:r w:rsidRPr="00555DC6">
        <w:rPr>
          <w:rFonts w:eastAsia="Calibri" w:cstheme="minorHAnsi"/>
          <w:sz w:val="24"/>
          <w:szCs w:val="24"/>
          <w:lang w:val="en-US"/>
        </w:rPr>
        <w:t>evaluating the tolerance and the efficacy of IL-2</w:t>
      </w:r>
      <w:r w:rsidRPr="00555DC6">
        <w:rPr>
          <w:rFonts w:eastAsia="Calibri" w:cstheme="minorHAnsi"/>
          <w:sz w:val="24"/>
          <w:szCs w:val="24"/>
          <w:vertAlign w:val="subscript"/>
          <w:lang w:val="en-US"/>
        </w:rPr>
        <w:t>LD</w:t>
      </w:r>
      <w:r w:rsidRPr="00555DC6">
        <w:rPr>
          <w:rFonts w:eastAsia="Calibri" w:cstheme="minorHAnsi"/>
          <w:sz w:val="24"/>
          <w:szCs w:val="24"/>
          <w:lang w:val="en-US"/>
        </w:rPr>
        <w:t xml:space="preserve"> in women with REPL. </w:t>
      </w:r>
      <w:r w:rsidRPr="00555DC6">
        <w:rPr>
          <w:rFonts w:cstheme="minorHAnsi"/>
          <w:sz w:val="24"/>
          <w:szCs w:val="24"/>
          <w:lang w:val="en-US"/>
        </w:rPr>
        <w:t>The study was approved by the institutional review board CPP Ile de France III and performed in accordance with the Declaration of Helsinki and good clinical practices. FACIL-2 is registered as “</w:t>
      </w:r>
      <w:r w:rsidRPr="00555DC6">
        <w:rPr>
          <w:rFonts w:cstheme="minorHAnsi"/>
          <w:i/>
          <w:iCs/>
          <w:sz w:val="24"/>
          <w:szCs w:val="24"/>
          <w:lang w:val="en-US"/>
        </w:rPr>
        <w:t>Low-dose Interleukin-2 in Women With Unexplained Miscarriages</w:t>
      </w:r>
      <w:r w:rsidRPr="00555DC6">
        <w:rPr>
          <w:rFonts w:cstheme="minorHAnsi"/>
          <w:sz w:val="24"/>
          <w:szCs w:val="24"/>
          <w:lang w:val="en-US"/>
        </w:rPr>
        <w:t>” with ClinicalTrials number NCT03970954.</w:t>
      </w:r>
    </w:p>
    <w:p w14:paraId="3F94D9C0" w14:textId="198E26BB" w:rsidR="00555DC6" w:rsidRPr="00555DC6" w:rsidRDefault="00555DC6" w:rsidP="00555DC6">
      <w:pPr>
        <w:spacing w:line="360" w:lineRule="auto"/>
        <w:jc w:val="both"/>
        <w:rPr>
          <w:rFonts w:cstheme="minorHAnsi"/>
          <w:sz w:val="24"/>
          <w:szCs w:val="24"/>
          <w:lang w:val="en-US"/>
        </w:rPr>
      </w:pPr>
      <w:r w:rsidRPr="00555DC6">
        <w:rPr>
          <w:rFonts w:cstheme="minorHAnsi"/>
          <w:sz w:val="24"/>
          <w:szCs w:val="24"/>
          <w:lang w:val="en-US"/>
        </w:rPr>
        <w:t xml:space="preserve">Patients were recruited from January 2021 to July 2023 and were treated and followed up at the Saint Antoine hospital in Paris. The main inclusion criteria were: </w:t>
      </w:r>
      <w:r w:rsidRPr="00555DC6">
        <w:rPr>
          <w:rFonts w:eastAsia="Calibri" w:cstheme="minorHAnsi"/>
          <w:sz w:val="24"/>
          <w:szCs w:val="24"/>
          <w:lang w:val="en-US"/>
        </w:rPr>
        <w:t xml:space="preserve">women from 18 to 40 years old with at least 5 consecutive recurrent early pregnancy loss before 14 weeks of amenorrhea and unexplained after the usual check-up; volunteer to participate in the trial and having given written consent after appropriate information. </w:t>
      </w:r>
      <w:r w:rsidRPr="00555DC6">
        <w:rPr>
          <w:rFonts w:cstheme="minorHAnsi"/>
          <w:sz w:val="24"/>
          <w:szCs w:val="24"/>
          <w:lang w:val="en-US"/>
        </w:rPr>
        <w:t>The main exclusion criteria were: uterine or pelvic abnormality: uterine malformation, intracavitary fibroid, synechiae, polyp, hydrosalpinx; balanced translocations in both spouses; type I or II diabetes; Sickle cell disease; constitutional or acquired thrombophilia or autoimmunity (protein deficit C, S, ATIII, homozygous factor V or II deficiency, antiphospholipid syndrome, antithyroid antibodies positive, celiac disease, hyperhomocysteinemia); decreased ovarian reserve (anti-mullerian hormone (AMH) &lt;1 ng/ml); antral follicular counts (AFC) &lt; 4 (</w:t>
      </w:r>
      <w:r>
        <w:rPr>
          <w:rFonts w:cstheme="minorHAnsi"/>
          <w:b/>
          <w:sz w:val="24"/>
          <w:szCs w:val="24"/>
          <w:lang w:val="en-US"/>
        </w:rPr>
        <w:t>Extended Table 1</w:t>
      </w:r>
      <w:r w:rsidRPr="00555DC6">
        <w:rPr>
          <w:rFonts w:cstheme="minorHAnsi"/>
          <w:sz w:val="24"/>
          <w:szCs w:val="24"/>
          <w:lang w:val="en-US"/>
        </w:rPr>
        <w:t>)</w:t>
      </w:r>
    </w:p>
    <w:p w14:paraId="4C7267C7" w14:textId="79786237" w:rsidR="00555DC6" w:rsidRPr="00555DC6" w:rsidRDefault="00555DC6" w:rsidP="00555DC6">
      <w:pPr>
        <w:spacing w:line="360" w:lineRule="auto"/>
        <w:jc w:val="both"/>
        <w:rPr>
          <w:rFonts w:cstheme="minorHAnsi"/>
          <w:i/>
          <w:sz w:val="24"/>
          <w:szCs w:val="24"/>
          <w:lang w:val="en-US"/>
        </w:rPr>
      </w:pPr>
      <w:r w:rsidRPr="00555DC6">
        <w:rPr>
          <w:rFonts w:cstheme="minorHAnsi"/>
          <w:sz w:val="24"/>
          <w:szCs w:val="24"/>
          <w:lang w:val="en-US"/>
        </w:rPr>
        <w:t>Among 18 included patients for the study, 15 were treated with IL-2</w:t>
      </w:r>
      <w:r w:rsidRPr="00555DC6">
        <w:rPr>
          <w:rFonts w:cstheme="minorHAnsi"/>
          <w:sz w:val="24"/>
          <w:szCs w:val="24"/>
          <w:vertAlign w:val="subscript"/>
          <w:lang w:val="en-US"/>
        </w:rPr>
        <w:t>LD</w:t>
      </w:r>
      <w:r w:rsidRPr="00555DC6">
        <w:rPr>
          <w:rFonts w:cstheme="minorHAnsi"/>
          <w:sz w:val="24"/>
          <w:szCs w:val="24"/>
          <w:lang w:val="en-US"/>
        </w:rPr>
        <w:t xml:space="preserve"> (</w:t>
      </w:r>
      <w:r w:rsidRPr="00555DC6">
        <w:rPr>
          <w:rFonts w:cstheme="minorHAnsi"/>
          <w:b/>
          <w:sz w:val="24"/>
          <w:szCs w:val="24"/>
          <w:lang w:val="en-US"/>
        </w:rPr>
        <w:t>Fig</w:t>
      </w:r>
      <w:r>
        <w:rPr>
          <w:rFonts w:cstheme="minorHAnsi"/>
          <w:b/>
          <w:sz w:val="24"/>
          <w:szCs w:val="24"/>
          <w:lang w:val="en-US"/>
        </w:rPr>
        <w:t>.</w:t>
      </w:r>
      <w:hyperlink r:id="rId7" w:anchor="cea13511-fig-0001" w:history="1">
        <w:r w:rsidRPr="00555DC6">
          <w:rPr>
            <w:rFonts w:cstheme="minorHAnsi"/>
            <w:b/>
            <w:sz w:val="24"/>
            <w:szCs w:val="24"/>
            <w:lang w:val="en-US"/>
          </w:rPr>
          <w:t>1</w:t>
        </w:r>
      </w:hyperlink>
      <w:r w:rsidRPr="00555DC6">
        <w:rPr>
          <w:rFonts w:cstheme="minorHAnsi"/>
          <w:sz w:val="24"/>
          <w:szCs w:val="24"/>
          <w:lang w:val="en-US"/>
        </w:rPr>
        <w:t>). Written informed consent was obtained from all participants before enrolment in the study. Patients received IL-2</w:t>
      </w:r>
      <w:r w:rsidRPr="00555DC6">
        <w:rPr>
          <w:rFonts w:cstheme="minorHAnsi"/>
          <w:sz w:val="24"/>
          <w:szCs w:val="24"/>
          <w:vertAlign w:val="subscript"/>
          <w:lang w:val="en-US"/>
        </w:rPr>
        <w:t>LD</w:t>
      </w:r>
      <w:r w:rsidRPr="00555DC6">
        <w:rPr>
          <w:rFonts w:cstheme="minorHAnsi"/>
          <w:sz w:val="24"/>
          <w:szCs w:val="24"/>
          <w:lang w:val="en-US"/>
        </w:rPr>
        <w:t xml:space="preserve"> in the form of </w:t>
      </w:r>
      <w:r w:rsidRPr="00555DC6">
        <w:rPr>
          <w:rFonts w:eastAsia="ScalaLancetPro" w:cstheme="minorHAnsi"/>
          <w:sz w:val="24"/>
          <w:szCs w:val="24"/>
          <w:lang w:val="en-US"/>
        </w:rPr>
        <w:t>Aldesleukin</w:t>
      </w:r>
      <w:r w:rsidRPr="00555DC6">
        <w:rPr>
          <w:rFonts w:cstheme="minorHAnsi"/>
          <w:sz w:val="24"/>
          <w:szCs w:val="24"/>
          <w:lang w:val="en-US"/>
        </w:rPr>
        <w:t xml:space="preserve"> </w:t>
      </w:r>
      <w:r w:rsidRPr="00555DC6">
        <w:rPr>
          <w:rFonts w:eastAsia="ScalaLancetPro" w:cstheme="minorHAnsi"/>
          <w:sz w:val="24"/>
          <w:szCs w:val="24"/>
          <w:lang w:val="en-US"/>
        </w:rPr>
        <w:t>(Proleukin® 18 MIU, Novartis Pharma SAS, Rueil-</w:t>
      </w:r>
      <w:r w:rsidRPr="00555DC6">
        <w:rPr>
          <w:rFonts w:eastAsia="ScalaLancetPro" w:cstheme="minorHAnsi"/>
          <w:sz w:val="24"/>
          <w:szCs w:val="24"/>
          <w:lang w:val="en-US"/>
        </w:rPr>
        <w:lastRenderedPageBreak/>
        <w:t xml:space="preserve">Malmaison, France) provided by the central pharmacy of the </w:t>
      </w:r>
      <w:r w:rsidRPr="00555DC6">
        <w:rPr>
          <w:rFonts w:cstheme="minorHAnsi"/>
          <w:sz w:val="24"/>
          <w:szCs w:val="24"/>
          <w:lang w:val="en-US"/>
        </w:rPr>
        <w:t xml:space="preserve">Assistance Publique-Hôpitaux de Paris and </w:t>
      </w:r>
      <w:r w:rsidRPr="00555DC6">
        <w:rPr>
          <w:rFonts w:eastAsia="Calibri" w:cstheme="minorHAnsi"/>
          <w:color w:val="000000"/>
          <w:sz w:val="24"/>
          <w:szCs w:val="24"/>
          <w:lang w:val="en-US"/>
        </w:rPr>
        <w:t>diluted to the dose of 3MIU/injection (or lower in case of dose reduction) by a pharmacist.</w:t>
      </w:r>
    </w:p>
    <w:p w14:paraId="5C040CA4" w14:textId="5E1D3BBF" w:rsidR="00555DC6" w:rsidRPr="00555DC6" w:rsidRDefault="00555DC6" w:rsidP="00555DC6">
      <w:pPr>
        <w:spacing w:after="0" w:line="360" w:lineRule="auto"/>
        <w:jc w:val="both"/>
        <w:rPr>
          <w:rFonts w:cstheme="minorHAnsi"/>
          <w:b/>
          <w:sz w:val="24"/>
          <w:szCs w:val="24"/>
          <w:lang w:val="en-US"/>
        </w:rPr>
      </w:pPr>
      <w:r w:rsidRPr="00555DC6">
        <w:rPr>
          <w:rFonts w:cstheme="minorHAnsi"/>
          <w:bCs/>
          <w:sz w:val="24"/>
          <w:szCs w:val="24"/>
          <w:lang w:val="en-US"/>
        </w:rPr>
        <w:t>Participants were first monitored and immunophenotyped during an untreated cycle. For the next cycle, they were administered 3 million international units (MIU) of IL-2 daily for 5 consecutive days, starting 10 days after the onset of menses (day 1)</w:t>
      </w:r>
      <w:bookmarkStart w:id="0" w:name="OLE_LINK2"/>
      <w:r w:rsidRPr="00555DC6">
        <w:rPr>
          <w:rFonts w:cstheme="minorHAnsi"/>
          <w:bCs/>
          <w:sz w:val="24"/>
          <w:szCs w:val="24"/>
          <w:lang w:val="en-US"/>
        </w:rPr>
        <w:t xml:space="preserve"> (</w:t>
      </w:r>
      <w:r w:rsidRPr="00555DC6">
        <w:rPr>
          <w:rFonts w:cstheme="minorHAnsi"/>
          <w:b/>
          <w:sz w:val="24"/>
          <w:szCs w:val="24"/>
          <w:lang w:val="en-US"/>
        </w:rPr>
        <w:t>Extended</w:t>
      </w:r>
      <w:r>
        <w:rPr>
          <w:rFonts w:cstheme="minorHAnsi"/>
          <w:bCs/>
          <w:sz w:val="24"/>
          <w:szCs w:val="24"/>
          <w:lang w:val="en-US"/>
        </w:rPr>
        <w:t xml:space="preserve"> </w:t>
      </w:r>
      <w:r w:rsidRPr="00555DC6">
        <w:rPr>
          <w:rFonts w:cstheme="minorHAnsi"/>
          <w:b/>
          <w:sz w:val="24"/>
          <w:szCs w:val="24"/>
          <w:lang w:val="en-US"/>
        </w:rPr>
        <w:t>Fig</w:t>
      </w:r>
      <w:r>
        <w:rPr>
          <w:rFonts w:cstheme="minorHAnsi"/>
          <w:b/>
          <w:sz w:val="24"/>
          <w:szCs w:val="24"/>
          <w:lang w:val="en-US"/>
        </w:rPr>
        <w:t xml:space="preserve">. </w:t>
      </w:r>
      <w:r w:rsidRPr="00555DC6">
        <w:rPr>
          <w:rFonts w:cstheme="minorHAnsi"/>
          <w:b/>
          <w:sz w:val="24"/>
          <w:szCs w:val="24"/>
          <w:lang w:val="en-US"/>
        </w:rPr>
        <w:t>1</w:t>
      </w:r>
      <w:r w:rsidRPr="00555DC6">
        <w:rPr>
          <w:rFonts w:cstheme="minorHAnsi"/>
          <w:bCs/>
          <w:sz w:val="24"/>
          <w:szCs w:val="24"/>
          <w:lang w:val="en-US"/>
        </w:rPr>
        <w:t xml:space="preserve">). </w:t>
      </w:r>
      <w:bookmarkEnd w:id="0"/>
      <w:r w:rsidRPr="00555DC6">
        <w:rPr>
          <w:rFonts w:cstheme="minorHAnsi"/>
          <w:bCs/>
          <w:sz w:val="24"/>
          <w:szCs w:val="24"/>
          <w:lang w:val="en-US"/>
        </w:rPr>
        <w:t xml:space="preserve">At this dose, a 5-day injection course maintains a Treg expansion for about a month </w:t>
      </w:r>
      <w:r w:rsidRPr="00555DC6">
        <w:rPr>
          <w:rFonts w:cstheme="minorHAnsi"/>
          <w:bCs/>
          <w:sz w:val="24"/>
          <w:szCs w:val="24"/>
          <w:lang w:val="en-US"/>
        </w:rPr>
        <w:fldChar w:fldCharType="begin"/>
      </w:r>
      <w:r w:rsidR="00F565AA">
        <w:rPr>
          <w:rFonts w:cstheme="minorHAnsi"/>
          <w:bCs/>
          <w:sz w:val="24"/>
          <w:szCs w:val="24"/>
          <w:lang w:val="en-US"/>
        </w:rPr>
        <w:instrText xml:space="preserve"> ADDIN ZOTERO_ITEM CSL_CITATION {"citationID":"QilTCFo8","properties":{"formattedCitation":"\\super 1\\nosupersub{}","plainCitation":"1","noteIndex":0},"citationItems":[{"id":1314,"uris":["http://zotero.org/users/1727894/items/WKHW7IVJ"],"itemData":{"id":1314,"type":"article-journal","abstract":"BACKGROUND: Patients with vasculitis induced by the hepatitis C virus (HCV) have reduced levels of regulatory T cells (Tregs). Resolution of HCV infection correlates with cure of vasculitis and the recovery of Treg levels. We reasoned that interleukin-2, a cytokine that promotes Treg survival and function, could be beneficial for patients with vasculitis that is resistant to HCV therapy. METHODS: We investigated the safety and immunologic effects of the administration of low-dose interleukin-2 in a prospective open-label, phase 1-phase 2a study. Ten patients with HCV-induced vasculitis that was refractory to conventional antiviral therapy, rituximab therapy, or both and who were not receiving glucocorticoid or immunosuppressant therapy, received one course of interleukin-2 (1.5 million IU per day) for 5 days, followed by three 5-day courses of 3 million IU per day at weeks 3, 6, and 9. Both the safety of the treatment and its effectiveness were evaluated, the latter by monitoring the Treg response and the clinical signs of HCV vasculitis. RESULTS: No adverse events reached a level higher than grade 1. The treatment did not induce effector T-cell activation, vasculitis flare, or increased HCV viremia. We observed a reduction in cryoglobulinemia in 9 of 10 patients and improvement of vasculitis in 8 of 10. Administration of low-dose interleukin-2 was followed by an increase in the percentage of CD4+, CD25(high), forkhead box P3 (FOXP3+) Tregs [E(max) (maximum value)/baseline valuex100=420%] with potent suppressive activity in all subjects and by a concomitantly decreased proportion of marginal-zone B cells. Transcriptome studies of peripheral-blood mononuclear cells revealed that interleukin-2 induced a global attenuation of the signatures for inflammation and oxidative stress mediators. CONCLUSIONS: The trial showed that low-dose interleukin-2 was not associated with adverse effects and led to Treg recovery and concomitant clinical improvement in patients with HCV-induced vasculitis, an autoimmune condition. (Funded by the French Agency for Research on AIDS and Viral Hepatitis [ANRS] and others; ClinicalTrials.gov number, NCT00574652.).","archive_location":"22129253","container-title":"N Engl J Med","DOI":"10.1056/NEJMoa1105143","ISSN":"1533-4406 (Electronic) 0028-4793 (Linking)","issue":"22","language":"eng","license":"All rights reserved","page":"2067-77","title":"Regulatory T-cell responses to low-dose interleukin-2 in HCV-induced vasculitis","title-short":"Regulatory T-cell responses to low-dose interleukin-2 in HCV-induced vasculitis","volume":"365","author":[{"family":"Saadoun","given":"D."},{"family":"Rosenzwajg","given":"M."},{"family":"Joly","given":"F."},{"family":"Six","given":"A."},{"family":"Carrat","given":"F."},{"family":"Thibault","given":"V."},{"family":"Sene","given":"D."},{"family":"Cacoub","given":"P."},{"family":"Klatzmann","given":"D."}],"issued":{"date-parts":[["2011",12,1]]}}}],"schema":"https://github.com/citation-style-language/schema/raw/master/csl-citation.json"} </w:instrText>
      </w:r>
      <w:r w:rsidRPr="00555DC6">
        <w:rPr>
          <w:rFonts w:cstheme="minorHAnsi"/>
          <w:bCs/>
          <w:sz w:val="24"/>
          <w:szCs w:val="24"/>
          <w:lang w:val="en-US"/>
        </w:rPr>
        <w:fldChar w:fldCharType="separate"/>
      </w:r>
      <w:r w:rsidR="00F565AA" w:rsidRPr="007A4635">
        <w:rPr>
          <w:rFonts w:ascii="Calibri" w:hAnsi="Calibri" w:cs="Calibri"/>
          <w:sz w:val="24"/>
          <w:szCs w:val="24"/>
          <w:vertAlign w:val="superscript"/>
          <w:lang w:val="en-US"/>
        </w:rPr>
        <w:t>1</w:t>
      </w:r>
      <w:r w:rsidRPr="00555DC6">
        <w:rPr>
          <w:rFonts w:cstheme="minorHAnsi"/>
          <w:bCs/>
          <w:sz w:val="24"/>
          <w:szCs w:val="24"/>
          <w:lang w:val="en-US"/>
        </w:rPr>
        <w:fldChar w:fldCharType="end"/>
      </w:r>
      <w:r w:rsidRPr="00555DC6">
        <w:rPr>
          <w:rFonts w:cstheme="minorHAnsi"/>
          <w:bCs/>
          <w:sz w:val="24"/>
          <w:szCs w:val="24"/>
          <w:lang w:val="en-US"/>
        </w:rPr>
        <w:t>. This regimen was timed so that IL-2 would be cleared by the potential time of embryo implantation, given a half-life of subcutaneaous IL-2 of about 4 hours and an embryo implantation at 6 to 10 days after ovulation, corresponding to days 20 to 24 of the standard menstrual cycle. If pregnancy was not achieved (β-HCG negative on day 29), a new treatment cycle was started, with a maximum of 5 cycles (</w:t>
      </w:r>
      <w:r w:rsidR="00E0014D" w:rsidRPr="00555DC6">
        <w:rPr>
          <w:rFonts w:cstheme="minorHAnsi"/>
          <w:b/>
          <w:sz w:val="24"/>
          <w:szCs w:val="24"/>
          <w:lang w:val="en-US"/>
        </w:rPr>
        <w:t>Extended</w:t>
      </w:r>
      <w:r w:rsidR="00E0014D">
        <w:rPr>
          <w:rFonts w:cstheme="minorHAnsi"/>
          <w:bCs/>
          <w:sz w:val="24"/>
          <w:szCs w:val="24"/>
          <w:lang w:val="en-US"/>
        </w:rPr>
        <w:t xml:space="preserve"> </w:t>
      </w:r>
      <w:r w:rsidR="00E0014D" w:rsidRPr="00555DC6">
        <w:rPr>
          <w:rFonts w:cstheme="minorHAnsi"/>
          <w:b/>
          <w:sz w:val="24"/>
          <w:szCs w:val="24"/>
          <w:lang w:val="en-US"/>
        </w:rPr>
        <w:t>Fig</w:t>
      </w:r>
      <w:r w:rsidR="00E0014D">
        <w:rPr>
          <w:rFonts w:cstheme="minorHAnsi"/>
          <w:b/>
          <w:sz w:val="24"/>
          <w:szCs w:val="24"/>
          <w:lang w:val="en-US"/>
        </w:rPr>
        <w:t xml:space="preserve">. </w:t>
      </w:r>
      <w:r w:rsidR="00E0014D" w:rsidRPr="00555DC6">
        <w:rPr>
          <w:rFonts w:cstheme="minorHAnsi"/>
          <w:b/>
          <w:sz w:val="24"/>
          <w:szCs w:val="24"/>
          <w:lang w:val="en-US"/>
        </w:rPr>
        <w:t>1</w:t>
      </w:r>
      <w:r w:rsidRPr="00555DC6">
        <w:rPr>
          <w:rFonts w:cstheme="minorHAnsi"/>
          <w:bCs/>
          <w:sz w:val="24"/>
          <w:szCs w:val="24"/>
          <w:lang w:val="en-US"/>
        </w:rPr>
        <w:t xml:space="preserve">). Treatment cycles were planned as consecutive, but an interruption of up to two cycles was allowed. The dose of IL-2 could be decreased in case of side effects, but to no less than 1MIU/day. </w:t>
      </w:r>
    </w:p>
    <w:p w14:paraId="2F9E62E1" w14:textId="77777777" w:rsidR="00555DC6" w:rsidRPr="00E0014D" w:rsidRDefault="00555DC6" w:rsidP="00E0014D">
      <w:pPr>
        <w:spacing w:before="120" w:after="120" w:line="360" w:lineRule="auto"/>
        <w:jc w:val="both"/>
        <w:rPr>
          <w:rFonts w:cstheme="minorHAnsi"/>
          <w:b/>
          <w:sz w:val="24"/>
          <w:szCs w:val="24"/>
          <w:lang w:val="en-US"/>
        </w:rPr>
      </w:pPr>
      <w:r w:rsidRPr="00E0014D">
        <w:rPr>
          <w:rFonts w:cstheme="minorHAnsi"/>
          <w:b/>
          <w:sz w:val="24"/>
          <w:szCs w:val="24"/>
          <w:lang w:val="en-US"/>
        </w:rPr>
        <w:t>Outcomes</w:t>
      </w:r>
    </w:p>
    <w:p w14:paraId="6A4417CB" w14:textId="2DBAB4A0" w:rsidR="00555DC6" w:rsidRDefault="00555DC6" w:rsidP="00555DC6">
      <w:pPr>
        <w:spacing w:line="360" w:lineRule="auto"/>
        <w:jc w:val="both"/>
        <w:rPr>
          <w:rFonts w:cstheme="minorHAnsi"/>
          <w:bCs/>
          <w:sz w:val="24"/>
          <w:szCs w:val="24"/>
          <w:lang w:val="en-US"/>
        </w:rPr>
      </w:pPr>
      <w:r w:rsidRPr="00555DC6">
        <w:rPr>
          <w:rFonts w:cstheme="minorHAnsi"/>
          <w:bCs/>
          <w:sz w:val="24"/>
          <w:szCs w:val="24"/>
          <w:lang w:val="en-US"/>
        </w:rPr>
        <w:t>The primary endpoint of the study was the increase in Treg count on day 14 of the first treatment cycle compared to baseline (day 10 of the untreated cycle). The secondary endpoints were the number of full-term pregnancies and safety assessed by the biological and clinical adverse events of the mother, fetus and newborn up to 6 weeks of age.</w:t>
      </w:r>
    </w:p>
    <w:p w14:paraId="7820BEC1" w14:textId="77777777" w:rsidR="00E0014D" w:rsidRPr="00E0014D" w:rsidRDefault="00E0014D" w:rsidP="00E0014D">
      <w:pPr>
        <w:spacing w:before="120" w:after="120" w:line="360" w:lineRule="auto"/>
        <w:jc w:val="both"/>
        <w:rPr>
          <w:rFonts w:cstheme="minorHAnsi"/>
          <w:b/>
          <w:sz w:val="24"/>
          <w:szCs w:val="24"/>
          <w:lang w:val="en-US"/>
        </w:rPr>
      </w:pPr>
      <w:r w:rsidRPr="00E0014D">
        <w:rPr>
          <w:rFonts w:cstheme="minorHAnsi"/>
          <w:b/>
          <w:sz w:val="24"/>
          <w:szCs w:val="24"/>
          <w:lang w:val="en-US"/>
        </w:rPr>
        <w:t>Immunomonitoring</w:t>
      </w:r>
    </w:p>
    <w:p w14:paraId="609B6EFF" w14:textId="512F8E16" w:rsidR="00E0014D" w:rsidRPr="00E0014D" w:rsidRDefault="00E0014D" w:rsidP="00E0014D">
      <w:pPr>
        <w:spacing w:line="360" w:lineRule="auto"/>
        <w:jc w:val="both"/>
        <w:rPr>
          <w:rFonts w:eastAsia="Calibri" w:cstheme="minorHAnsi"/>
          <w:sz w:val="24"/>
          <w:szCs w:val="24"/>
          <w:lang w:val="en-US"/>
        </w:rPr>
      </w:pPr>
      <w:r w:rsidRPr="00555DC6">
        <w:rPr>
          <w:rFonts w:cstheme="minorHAnsi"/>
          <w:bCs/>
          <w:sz w:val="24"/>
          <w:szCs w:val="24"/>
          <w:lang w:val="en-US"/>
        </w:rPr>
        <w:t>The immune status of the FACIL-2 patients was assessed during the first untreated cycle and the subsequent IL-2</w:t>
      </w:r>
      <w:r w:rsidRPr="00555DC6">
        <w:rPr>
          <w:rFonts w:cstheme="minorHAnsi"/>
          <w:bCs/>
          <w:sz w:val="24"/>
          <w:szCs w:val="24"/>
          <w:vertAlign w:val="subscript"/>
          <w:lang w:val="en-US"/>
        </w:rPr>
        <w:t>LD</w:t>
      </w:r>
      <w:r w:rsidRPr="00555DC6">
        <w:rPr>
          <w:rFonts w:cstheme="minorHAnsi"/>
          <w:bCs/>
          <w:sz w:val="24"/>
          <w:szCs w:val="24"/>
          <w:lang w:val="en-US"/>
        </w:rPr>
        <w:t xml:space="preserve"> cycles. Blood samples were obtained for immunological tests immediately before the administration of IL-2</w:t>
      </w:r>
      <w:r w:rsidRPr="00555DC6">
        <w:rPr>
          <w:rFonts w:cstheme="minorHAnsi"/>
          <w:bCs/>
          <w:sz w:val="24"/>
          <w:szCs w:val="24"/>
          <w:vertAlign w:val="subscript"/>
          <w:lang w:val="en-US"/>
        </w:rPr>
        <w:t>LD</w:t>
      </w:r>
      <w:r w:rsidRPr="00555DC6">
        <w:rPr>
          <w:rFonts w:cstheme="minorHAnsi"/>
          <w:bCs/>
          <w:sz w:val="24"/>
          <w:szCs w:val="24"/>
          <w:lang w:val="en-US"/>
        </w:rPr>
        <w:t xml:space="preserve">. Sample were obtained daily from day 10 to day 14, and at day 17 and day 29 of each cycle. </w:t>
      </w:r>
      <w:r w:rsidRPr="00555DC6">
        <w:rPr>
          <w:rFonts w:eastAsia="Calibri" w:cstheme="minorHAnsi"/>
          <w:sz w:val="24"/>
          <w:szCs w:val="24"/>
          <w:lang w:val="en-US"/>
        </w:rPr>
        <w:t xml:space="preserve">All the immunomonitoring procedures were performed as previously described </w:t>
      </w:r>
      <w:r w:rsidRPr="00555DC6">
        <w:rPr>
          <w:rFonts w:eastAsia="Calibri" w:cstheme="minorHAnsi"/>
          <w:sz w:val="24"/>
          <w:szCs w:val="24"/>
          <w:lang w:val="en-US"/>
        </w:rPr>
        <w:fldChar w:fldCharType="begin"/>
      </w:r>
      <w:r w:rsidR="00F565AA">
        <w:rPr>
          <w:rFonts w:eastAsia="Calibri" w:cstheme="minorHAnsi"/>
          <w:sz w:val="24"/>
          <w:szCs w:val="24"/>
          <w:lang w:val="en-US"/>
        </w:rPr>
        <w:instrText xml:space="preserve"> ADDIN ZOTERO_ITEM CSL_CITATION {"citationID":"iYPctTZl","properties":{"formattedCitation":"\\super 2\\uc0\\u8211{}5\\nosupersub{}","plainCitation":"2–5","noteIndex":0},"citationItems":[{"id":57,"uris":["http://zotero.org/users/1727894/items/82ULRFWX",["http://zotero.org/users/1727894/items/82ULRFWX"]],"itemData":{"id":57,"type":"article-journal","abstract":"BACKGROUND: Quantification of regulatory T cells (Tregs) is crucial in immunomonitoring in clinical trials as this cell population has been shown to be involved in a wide range of diseases, including cancers, autoimmune diseases, infections, and allergies. Human Tregs are defined as CD4+ CD25+ CD127low FoxP3+ cells, and the standardization of their staining by flow cytometry is a challenge, especially in multicenter clinical trials, notably because of the intracellular location of FoxP3.\nMETHOD: A flow cytometry staining procedure was settled and standardized to measure human Tregs in peripheral whole blood using precoated dried antibodies in ready-to-use tubes. It was compared with reference methods and implemented and validated to be suitable with different cytometer platforms.\nRESULTS: The standardized protocol developed with dried antibodies and reduced volumes of whole blood allows an optimal identification of Tregs. Compared with classical staining procedure, it reduces the number of steps required, in a very fast and simple technique. The accuracy of the method was confirmed by a multicenter comparison with different cytometer brands.\nCONCLUSIONS: Our results highlight the reliability of this high-standard protocol that could become a reference method for the monitoring of Tregs in clinical trials. © 2018 International Clinical Cytometry Society.","container-title":"Cytometry. Part B, Clinical Cytometry","DOI":"10.1002/cyto.b.21622","ISSN":"1552-4957","journalAbbreviation":"Cytometry B Clin Cytom","language":"eng","license":"All rights reserved","note":"PMID: 29316248","source":"PubMed","title":"A standardized flow cytometry procedure for the monitoring of regulatory T cells in clinical trials","author":[{"family":"Pitoiset","given":"Fabien"},{"family":"Barbié","given":"Michèle"},{"family":"Monneret","given":"Guillaume"},{"family":"Braudeau","given":"Cécile"},{"family":"Pochard","given":"Pierre"},{"family":"Pellegrin","given":"Isabelle"},{"family":"Trauet","given":"Jacques"},{"family":"Labalette","given":"Myriam"},{"family":"Klatzmann","given":"David"},{"family":"Rosenzwajg","given":"Michelle"}],"issued":{"date-parts":[["2018",1,6]]}}},{"id":58,"uris":["http://zotero.org/users/1727894/items/EYMIFNWE"],"itemData":{"id":58,"type":"article-journal","abstract":"Multicolor flow cytometry is a technology of choice for phenotyping of immune cells, and it can be used routinely for the follow up of patients in clinical trials. But it is challenging to define combinations of conjugated antibodies that efficiently allow the detailed analysis of major immune cell subsets and the identification of rare cell populations. In a collaborative work among the Immunology, Immunopathology, Immunotherapy (I3 ) laboratory, and the laboratory of immunomonitoring in oncology (L.I.O), we developed and validated 12 different 10-color flow cytometry panels that allow the deep immunophenotyping of cells from whole blood for the follow up of autoimmune and cancer patients. Here, we describe these optimized flow cytometry panels, showing that they provide the advanced analysis of T cells (including regulatory T cells), B cells, NK cells, MAIT cells, myeloid cells, monocytes, and dendritic cells. Most of the panels have been dried to improve standardization of the labeling and the entire procedure can be performed on less than 2 ml of whole blood. These deep immunophenotyping flow cytometry panels constitute a powerful tool for the monitoring of immune blood cells and will hopefully lead to the discovery of new biomarkers and potential therapeutic targets in autoimmune and cancer clinical trials. © 2018 International Society for Advancement of Cytometry.","container-title":"Cytometry. Part A: The Journal of the International Society for Analytical Cytology","DOI":"10.1002/cyto.a.23570","ISSN":"1552-4930","issue":"8","journalAbbreviation":"Cytometry A","language":"eng","license":"All rights reserved","note":"PMID: 30168890","page":"793-802","source":"PubMed","title":"Deep phenotyping of immune cell populations by optimized and standardized flow cytometry analyses","volume":"93","author":[{"family":"Pitoiset","given":"Fabien"},{"family":"Cassard","given":"Lydie"},{"family":"El Soufi","given":"Karim"},{"family":"Boselli","given":"Lisa"},{"family":"Grivel","given":"Jonathan"},{"family":"Roux","given":"Alexandra"},{"family":"Klatzmann","given":"David"},{"family":"Chaput","given":"Nathalie"},{"family":"Rosenzwajg","given":"Michelle"}],"issued":{"date-parts":[["2018",8]]}}},{"id":1161,"uris":["http://zotero.org/users/1727894/items/ZW7784JW"],"itemData":{"id":1161,"type":"article-journal","abstract":"OBJECTIVE: Regulatory T cells (Tregs) prevent autoimmunity and control inflammation. Consequently, any autoimmune or inflammatory disease reveals a Treg insufficiency. As low-dose interleukin-2 (ld-IL2) expands and activates Tregs, it has a broad therapeutic potential.\nAIM: We aimed to assess this potential and select diseases for further clinical development by cross-investigating the effects of ld-IL2 in a single clinical trial treating patients with 1 of 11 autoimmune diseases.\nMETHODS: We performed a prospective, open-label, phase I-IIa study in 46 patients with a mild to moderate form of either rheumatoid arthritis, ankylosing spondylitis, systemic lupus erythematosus, psoriasis, Behcet's disease, granulomatosis with polyangiitis, Takayasu's disease, Crohn's disease, ulcerative colitis, autoimmune hepatitis and sclerosing cholangitis. They all received ld-IL2 (1 million IU/day) for 5 days, followed by fortnightly injections for 6 months. Patients were evaluated by deep immunomonitoring and clinical evaluation.\nRESULTS: ld-IL2 was well tolerated whatever the disease and the concomitant treatments. Thorough supervised and unsupervised immunomonitoring demonstrated specific Treg expansion and activation in all patients, without effector T cell activation. Indication of potential clinical efficacy was observed.\nCONCLUSION: The dose of IL-2 and treatment scheme used selectively activate and expand Tregs and are safe across different diseases and concomitant treatments. This and preliminary indications of clinical efficacy should licence the launch of phase II efficacy trial of ld-IL2 in various autoimmune and inflammatory diseases.\nTRIAL REGISTRATION NUMBER: NCT01988506.","container-title":"Annals of the Rheumatic Diseases","DOI":"10.1136/annrheumdis-2018-214229","ISSN":"1468-2060","issue":"2","journalAbbreviation":"Ann. Rheum. Dis.","language":"eng","license":"All rights reserved","note":"PMID: 30472651","page":"209-217","source":"PubMed","title":"Immunological and clinical effects of low-dose interleukin-2 across 11 autoimmune diseases in a single, open clinical trial","volume":"78","author":[{"family":"Rosenzwajg","given":"Michelle"},{"family":"Lorenzon","given":"Roberta"},{"family":"Cacoub","given":"Patrice"},{"family":"Pham","given":"Hang Phuong"},{"family":"Pitoiset","given":"Fabien"},{"family":"El Soufi","given":"Karim"},{"family":"RIbet","given":"Claire"},{"family":"Bernard","given":"Claude"},{"family":"Aractingi","given":"Selim"},{"family":"Banneville","given":"Beatrice"},{"family":"Beaugerie","given":"Laurent"},{"family":"Berenbaum","given":"Francis"},{"family":"Champey","given":"Julien"},{"family":"Chazouilleres","given":"Olivier"},{"family":"Corpechot","given":"Christophe"},{"family":"Fautrel","given":"Bruno"},{"family":"Mekinian","given":"Arsène"},{"family":"Regnier","given":"Elodie"},{"family":"Saadoun","given":"David"},{"family":"Salem","given":"Joe-Elie"},{"family":"Sellam","given":"Jérémie"},{"family":"Seksik","given":"Philippe"},{"family":"Daguenel-Nguyen","given":"Anne"},{"family":"Doppler","given":"Valérie"},{"family":"Mariau","given":"Jéremie"},{"family":"Vicaut","given":"Eric"},{"family":"Klatzmann","given":"David"}],"issued":{"date-parts":[["2019",2]]}}},{"id":40,"uris":["http://zotero.org/users/1727894/items/NK46Y9EY","http://zotero.org/users/1727894/items/MGWCDRGF","http://zotero.org/users/1727894/items/IE687QIJ"],"itemData":{"id":40,"type":"article-journal","abstract":"Background and purpose An enhanced severe acute respiratory syndrome coronavirus 2 (SARS-CoV-2) vaccine regimen could improve humoral vaccine response in patients with multiple sclerosis (MS) treated by anti-CD20. The aim was to evaluate the serological response and the neutralizing activity after BNT162b2 primary and booster vaccination in MS patients, including patients on anti-CD20 receiving a primary vaccine regimen enhanced with three injections. Methods In this prospective longitudinal cohort study of 90 patients (47 on anti-CD20, 10 on fingolimod, 33 on natalizumab, dimethylfumarate or teriflunomide), anti-SARS-CoV-2 receptor binding domain (RBD) immunoglobulin G antibodies were quantified and their neutralization capacity was evaluated by enzyme-linked immunosorbent assay (GenScript) and a virus neutralization test against B.1 historical strain, Delta and Omicron variants, before and after three to four BNT162b2 injections. Results After the primary vaccination scheme, the anti-RBD positivity rate was strongly decreased in patients on anti-CD20 (28% [15%; 44%] after two shots, 45% [29%; 62%] after three shots) and fingolimod (50% [16%; 84%]) compared to other treatments (100% [90%; 100%]). Neutralization activity was also decreased in patients on anti-CD20 and fingolimod, and notably low for the Omicron variant in all patients (0%–22%). Delayed booster vaccination was performed in 54 patients, leading to a mild increase of anti-RBD seropositivity in patients on anti-CD20 although it was still lower compared to other treatments (65% [43%; 84%] vs. 100% [87%; 100%] respectively). After a booster, Omicron neutralization activity remained low on anti-CD20 and fingolimod treated patients but was strongly increased in patients on other treatments (91% [72%; 99%]). Discussion In MS patients on anti-CD20, an enhanced primary vaccination scheme moderately increased anti-RBD seropositivity and anti-RBD antibody titre, but neutralization activity remained modest even after a fourth booster injection. Trial registration information COVIVAC-ID, NCT04844489, first patient included on 20 April 2021.","container-title":"European Journal of Neurology","DOI":"10.1111/ene.15925","ISSN":"1468-1331","issue":"n/a","language":"en","license":"© 2023 The Authors. European Journal of Neurology published by John Wiley &amp; Sons Ltd on behalf of European Academy of Neurology.","note":"_eprint: https://onlinelibrary.wiley.com/doi/pdf/10.1111/ene.15925","source":"Wiley Online Library","title":"Three to four mRNA COVID-19 vaccines in multiple sclerosis patients on immunosuppressive drugs: Seroconversion and variant neutralization","title-short":"Three to four mRNA COVID-19 vaccines in multiple sclerosis patients on immunosuppressive drugs","URL":"https://onlinelibrary.wiley.com/doi/abs/10.1111/ene.15925","volume":"n/a","author":[{"family":"Louapre","given":"Céline"},{"family":"Belin","given":"Lisa"},{"family":"Marot","given":"Stéphane"},{"family":"Hippolyte","given":"Amandine"},{"family":"Januel","given":"Edouard"},{"family":"Ibrahim","given":"Michella"},{"family":"Jeantin","given":"Lina"},{"family":"Zafilaza","given":"Karen"},{"family":"Malet","given":"Isabelle"},{"family":"Charbonnier-Beaupel","given":"Fanny"},{"family":"Rosenzwajg","given":"Michelle"},{"family":"Soulié","given":"Cathia"},{"family":"Marcelin","given":"Anne-Geneviève"},{"family":"Pourcher","given":"Valérie"}],"accessed":{"date-parts":[["2023",6,26]]}}}],"schema":"https://github.com/citation-style-language/schema/raw/master/csl-citation.json"} </w:instrText>
      </w:r>
      <w:r w:rsidRPr="00555DC6">
        <w:rPr>
          <w:rFonts w:eastAsia="Calibri" w:cstheme="minorHAnsi"/>
          <w:sz w:val="24"/>
          <w:szCs w:val="24"/>
          <w:lang w:val="en-US"/>
        </w:rPr>
        <w:fldChar w:fldCharType="separate"/>
      </w:r>
      <w:r w:rsidR="00F565AA" w:rsidRPr="007A4635">
        <w:rPr>
          <w:rFonts w:ascii="Calibri" w:hAnsi="Calibri" w:cs="Calibri"/>
          <w:sz w:val="24"/>
          <w:szCs w:val="24"/>
          <w:vertAlign w:val="superscript"/>
          <w:lang w:val="en-US"/>
        </w:rPr>
        <w:t>2–5</w:t>
      </w:r>
      <w:r w:rsidRPr="00555DC6">
        <w:rPr>
          <w:rFonts w:eastAsia="Calibri" w:cstheme="minorHAnsi"/>
          <w:sz w:val="24"/>
          <w:szCs w:val="24"/>
          <w:lang w:val="en-US"/>
        </w:rPr>
        <w:fldChar w:fldCharType="end"/>
      </w:r>
      <w:r w:rsidRPr="00555DC6">
        <w:rPr>
          <w:rFonts w:eastAsia="Calibri" w:cstheme="minorHAnsi"/>
          <w:sz w:val="24"/>
          <w:szCs w:val="24"/>
          <w:lang w:val="en-US"/>
        </w:rPr>
        <w:t>.</w:t>
      </w:r>
      <w:r>
        <w:rPr>
          <w:rFonts w:eastAsia="Calibri" w:cstheme="minorHAnsi"/>
          <w:sz w:val="24"/>
          <w:szCs w:val="24"/>
          <w:lang w:val="en-US"/>
        </w:rPr>
        <w:t xml:space="preserve"> </w:t>
      </w:r>
      <w:r w:rsidRPr="00E010B4">
        <w:rPr>
          <w:rFonts w:cstheme="minorHAnsi"/>
          <w:lang w:val="en-GB" w:eastAsia="ja-JP"/>
        </w:rPr>
        <w:t xml:space="preserve">Blood samples were collected </w:t>
      </w:r>
      <w:r w:rsidRPr="00E010B4">
        <w:rPr>
          <w:rFonts w:eastAsia="TimesNewRoman,Bold" w:cstheme="minorHAnsi"/>
          <w:lang w:val="en-GB"/>
        </w:rPr>
        <w:t>in EDTA tubes</w:t>
      </w:r>
      <w:r w:rsidRPr="00E010B4">
        <w:rPr>
          <w:rFonts w:cstheme="minorHAnsi"/>
          <w:lang w:val="en-GB" w:eastAsia="ja-JP"/>
        </w:rPr>
        <w:t xml:space="preserve"> according to the planned protocol: absolute numbers of lymphocyte subsets and Tregs were monitored at each patient visit:</w:t>
      </w:r>
      <w:r w:rsidRPr="00E010B4">
        <w:rPr>
          <w:rFonts w:cstheme="minorHAnsi"/>
          <w:lang w:val="en-GB"/>
        </w:rPr>
        <w:t xml:space="preserve"> day-1</w:t>
      </w:r>
      <w:r>
        <w:rPr>
          <w:rFonts w:cstheme="minorHAnsi"/>
          <w:lang w:val="en-GB"/>
        </w:rPr>
        <w:t xml:space="preserve">0, day 17 and day 29 of the first of the cycle without treatment, for the other cycles at day 10 </w:t>
      </w:r>
      <w:r w:rsidRPr="00E010B4">
        <w:rPr>
          <w:rFonts w:cstheme="minorHAnsi"/>
          <w:lang w:val="en-GB"/>
        </w:rPr>
        <w:t xml:space="preserve">before treatment </w:t>
      </w:r>
      <w:r>
        <w:rPr>
          <w:rFonts w:cstheme="minorHAnsi"/>
          <w:lang w:val="en-GB"/>
        </w:rPr>
        <w:t>(baseline) at day 14 just before the fifth infusion of IL-2LD, day 17 and day 29 (at the end of the cycle).</w:t>
      </w:r>
    </w:p>
    <w:p w14:paraId="6EB02FA5" w14:textId="325179C9" w:rsidR="00E0014D" w:rsidRPr="00E0014D" w:rsidRDefault="00E0014D" w:rsidP="00555DC6">
      <w:pPr>
        <w:spacing w:line="360" w:lineRule="auto"/>
        <w:jc w:val="both"/>
        <w:rPr>
          <w:rFonts w:cstheme="minorHAnsi"/>
          <w:lang w:val="en-GB" w:eastAsia="ja-JP"/>
        </w:rPr>
      </w:pPr>
      <w:r w:rsidRPr="00E010B4">
        <w:rPr>
          <w:rFonts w:cstheme="minorHAnsi"/>
          <w:lang w:val="en-GB" w:eastAsia="ja-JP"/>
        </w:rPr>
        <w:lastRenderedPageBreak/>
        <w:t>Blood subsets (CD3</w:t>
      </w:r>
      <w:r w:rsidRPr="00E010B4">
        <w:rPr>
          <w:rFonts w:cstheme="minorHAnsi"/>
          <w:vertAlign w:val="superscript"/>
          <w:lang w:val="en-GB" w:eastAsia="ja-JP"/>
        </w:rPr>
        <w:t>+</w:t>
      </w:r>
      <w:r w:rsidRPr="00E010B4">
        <w:rPr>
          <w:rFonts w:cstheme="minorHAnsi"/>
          <w:lang w:val="en-GB" w:eastAsia="ja-JP"/>
        </w:rPr>
        <w:t>, CD4</w:t>
      </w:r>
      <w:r w:rsidRPr="00E010B4">
        <w:rPr>
          <w:rFonts w:cstheme="minorHAnsi"/>
          <w:vertAlign w:val="superscript"/>
          <w:lang w:val="en-GB" w:eastAsia="ja-JP"/>
        </w:rPr>
        <w:t>+</w:t>
      </w:r>
      <w:r w:rsidRPr="00E010B4">
        <w:rPr>
          <w:rFonts w:cstheme="minorHAnsi"/>
          <w:lang w:val="en-GB" w:eastAsia="ja-JP"/>
        </w:rPr>
        <w:t>, CD8</w:t>
      </w:r>
      <w:r w:rsidRPr="00E010B4">
        <w:rPr>
          <w:rFonts w:cstheme="minorHAnsi"/>
          <w:vertAlign w:val="superscript"/>
          <w:lang w:val="en-GB" w:eastAsia="ja-JP"/>
        </w:rPr>
        <w:t>+</w:t>
      </w:r>
      <w:r w:rsidRPr="00E010B4">
        <w:rPr>
          <w:rFonts w:cstheme="minorHAnsi"/>
          <w:lang w:val="en-GB" w:eastAsia="ja-JP"/>
        </w:rPr>
        <w:t xml:space="preserve"> T lymphocytes, CD19</w:t>
      </w:r>
      <w:r w:rsidRPr="00E010B4">
        <w:rPr>
          <w:rFonts w:cstheme="minorHAnsi"/>
          <w:vertAlign w:val="superscript"/>
          <w:lang w:val="en-GB" w:eastAsia="ja-JP"/>
        </w:rPr>
        <w:t>+</w:t>
      </w:r>
      <w:r w:rsidRPr="00E010B4">
        <w:rPr>
          <w:rFonts w:cstheme="minorHAnsi"/>
          <w:lang w:val="en-GB" w:eastAsia="ja-JP"/>
        </w:rPr>
        <w:t xml:space="preserve"> B lymphocytes and CD3</w:t>
      </w:r>
      <w:r w:rsidRPr="00E010B4">
        <w:rPr>
          <w:rFonts w:cstheme="minorHAnsi"/>
          <w:vertAlign w:val="superscript"/>
          <w:lang w:val="en-GB" w:eastAsia="ja-JP"/>
        </w:rPr>
        <w:t>-</w:t>
      </w:r>
      <w:r w:rsidRPr="00E010B4">
        <w:rPr>
          <w:rFonts w:cstheme="minorHAnsi"/>
          <w:lang w:val="en-GB" w:eastAsia="ja-JP"/>
        </w:rPr>
        <w:t>CD56</w:t>
      </w:r>
      <w:r w:rsidRPr="00E010B4">
        <w:rPr>
          <w:rFonts w:cstheme="minorHAnsi"/>
          <w:vertAlign w:val="superscript"/>
          <w:lang w:val="en-GB" w:eastAsia="ja-JP"/>
        </w:rPr>
        <w:t>+</w:t>
      </w:r>
      <w:r w:rsidRPr="00E010B4">
        <w:rPr>
          <w:rFonts w:cstheme="minorHAnsi"/>
          <w:lang w:val="en-GB" w:eastAsia="ja-JP"/>
        </w:rPr>
        <w:t xml:space="preserve"> NK cells) counts (cells/μl) were established from fresh blood samples using CYTO-STAT tetraCHROME kits with Flowcount fluorescents beads and tetra CXP software with a FC500 cytometer (Beckman Coulter) according to manufacturer’s instructions. Foxp3 labeling was performed with custom designed dry tubes (duraclone from Beckman Coulter) containing CD3-FITC, CD25-PE, CD127-PE-Cy7, Foxp3-AF647, CD8-KRO, CD8-PB antibodies as described already described</w:t>
      </w:r>
      <w:r w:rsidRPr="00884FB5">
        <w:rPr>
          <w:rFonts w:cstheme="minorHAnsi"/>
          <w:lang w:val="en-GB" w:eastAsia="ja-JP"/>
        </w:rPr>
        <w:fldChar w:fldCharType="begin"/>
      </w:r>
      <w:r w:rsidR="00F565AA">
        <w:rPr>
          <w:rFonts w:cstheme="minorHAnsi"/>
          <w:lang w:val="en-GB" w:eastAsia="ja-JP"/>
        </w:rPr>
        <w:instrText xml:space="preserve"> ADDIN ZOTERO_ITEM CSL_CITATION {"citationID":"Y9MrGtii","properties":{"formattedCitation":"\\super 2\\nosupersub{}","plainCitation":"2","noteIndex":0},"citationItems":[{"id":57,"uris":["http://zotero.org/users/1727894/items/82ULRFWX",["http://zotero.org/users/1727894/items/82ULRFWX"]],"itemData":{"id":57,"type":"article-journal","abstract":"BACKGROUND: Quantification of regulatory T cells (Tregs) is crucial in immunomonitoring in clinical trials as this cell population has been shown to be involved in a wide range of diseases, including cancers, autoimmune diseases, infections, and allergies. Human Tregs are defined as CD4+ CD25+ CD127low FoxP3+ cells, and the standardization of their staining by flow cytometry is a challenge, especially in multicenter clinical trials, notably because of the intracellular location of FoxP3.\nMETHOD: A flow cytometry staining procedure was settled and standardized to measure human Tregs in peripheral whole blood using precoated dried antibodies in ready-to-use tubes. It was compared with reference methods and implemented and validated to be suitable with different cytometer platforms.\nRESULTS: The standardized protocol developed with dried antibodies and reduced volumes of whole blood allows an optimal identification of Tregs. Compared with classical staining procedure, it reduces the number of steps required, in a very fast and simple technique. The accuracy of the method was confirmed by a multicenter comparison with different cytometer brands.\nCONCLUSIONS: Our results highlight the reliability of this high-standard protocol that could become a reference method for the monitoring of Tregs in clinical trials. © 2018 International Clinical Cytometry Society.","container-title":"Cytometry. Part B, Clinical Cytometry","DOI":"10.1002/cyto.b.21622","ISSN":"1552-4957","journalAbbreviation":"Cytometry B Clin Cytom","language":"eng","license":"All rights reserved","note":"PMID: 29316248","source":"PubMed","title":"A standardized flow cytometry procedure for the monitoring of regulatory T cells in clinical trials","author":[{"family":"Pitoiset","given":"Fabien"},{"family":"Barbié","given":"Michèle"},{"family":"Monneret","given":"Guillaume"},{"family":"Braudeau","given":"Cécile"},{"family":"Pochard","given":"Pierre"},{"family":"Pellegrin","given":"Isabelle"},{"family":"Trauet","given":"Jacques"},{"family":"Labalette","given":"Myriam"},{"family":"Klatzmann","given":"David"},{"family":"Rosenzwajg","given":"Michelle"}],"issued":{"date-parts":[["2018",1,6]]}}}],"schema":"https://github.com/citation-style-language/schema/raw/master/csl-citation.json"} </w:instrText>
      </w:r>
      <w:r w:rsidRPr="00884FB5">
        <w:rPr>
          <w:rFonts w:cstheme="minorHAnsi"/>
          <w:lang w:val="en-GB" w:eastAsia="ja-JP"/>
        </w:rPr>
        <w:fldChar w:fldCharType="separate"/>
      </w:r>
      <w:r w:rsidR="00F565AA" w:rsidRPr="007A4635">
        <w:rPr>
          <w:rFonts w:ascii="Calibri" w:hAnsi="Calibri" w:cs="Calibri"/>
          <w:szCs w:val="24"/>
          <w:vertAlign w:val="superscript"/>
          <w:lang w:val="en-US"/>
        </w:rPr>
        <w:t>2</w:t>
      </w:r>
      <w:r w:rsidRPr="00884FB5">
        <w:rPr>
          <w:rFonts w:cstheme="minorHAnsi"/>
          <w:lang w:val="en-GB" w:eastAsia="ja-JP"/>
        </w:rPr>
        <w:fldChar w:fldCharType="end"/>
      </w:r>
      <w:r w:rsidRPr="00E010B4">
        <w:rPr>
          <w:rFonts w:cstheme="minorHAnsi"/>
          <w:lang w:val="en-GB" w:eastAsia="ja-JP"/>
        </w:rPr>
        <w:t>.</w:t>
      </w:r>
      <w:r w:rsidRPr="00E010B4">
        <w:rPr>
          <w:rFonts w:cstheme="minorHAnsi"/>
          <w:color w:val="231F20"/>
          <w:lang w:val="en-GB" w:bidi="yi-Hebr"/>
        </w:rPr>
        <w:t xml:space="preserve"> </w:t>
      </w:r>
      <w:r w:rsidRPr="00E010B4">
        <w:rPr>
          <w:rFonts w:cstheme="minorHAnsi"/>
          <w:lang w:val="en-GB" w:eastAsia="ja-JP"/>
        </w:rPr>
        <w:t>Total blood (60 µL) sampled with anticoagulant was mixed with 6 µL of Perfix-NC R1 buffer, vortexed immediately for 2-3 seconds and incubated for 15 min at room temperature in the dark. Perfix-NC R2 buffer (360 µL) was added and, after homogenization, a 360 µL aliquot was transferred to a Duraclone tube. After vortexing for 10 seconds, tubes were incubated for 60 min at room temperature in the dark. PBS 1X (3 mL) was added to the tubes, incubated for 5 min at room temperature in the dark before centrifugation for 6 min at 250g. The supernatant was removed to leave the pellet dried and the cells were resuspended in 3 mL of 1X Perfix-NC R3 buffer prior to another 6-min centrifugation at 250g. The pellet was dried and resuspended in 300 µL of 1X R3 buffer. Tubes were protected from light and stored at 4°C until the acquisition on a cytometer within the next 24 h. Acquisition was performed on a Navios cytometer (Beckman Coulter) maintained daily according to the manufacturer’s recommendations with Flow Check Pro and Flow Set Pro fluorospheres. Acquisitions were performed, respectively, using Navios software, and all analyses were done with Kaluza 1.3 software (Beckman Coulter)</w:t>
      </w:r>
      <w:r w:rsidRPr="00884FB5">
        <w:rPr>
          <w:rFonts w:cstheme="minorHAnsi"/>
          <w:lang w:val="en-GB" w:eastAsia="ja-JP"/>
        </w:rPr>
        <w:fldChar w:fldCharType="begin"/>
      </w:r>
      <w:r w:rsidR="00F565AA">
        <w:rPr>
          <w:rFonts w:cstheme="minorHAnsi"/>
          <w:lang w:val="en-GB" w:eastAsia="ja-JP"/>
        </w:rPr>
        <w:instrText xml:space="preserve"> ADDIN ZOTERO_ITEM CSL_CITATION {"citationID":"zL8hB73f","properties":{"formattedCitation":"\\super 2\\nosupersub{}","plainCitation":"2","noteIndex":0},"citationItems":[{"id":57,"uris":["http://zotero.org/users/1727894/items/82ULRFWX",["http://zotero.org/users/1727894/items/82ULRFWX"]],"itemData":{"id":57,"type":"article-journal","abstract":"BACKGROUND: Quantification of regulatory T cells (Tregs) is crucial in immunomonitoring in clinical trials as this cell population has been shown to be involved in a wide range of diseases, including cancers, autoimmune diseases, infections, and allergies. Human Tregs are defined as CD4+ CD25+ CD127low FoxP3+ cells, and the standardization of their staining by flow cytometry is a challenge, especially in multicenter clinical trials, notably because of the intracellular location of FoxP3.\nMETHOD: A flow cytometry staining procedure was settled and standardized to measure human Tregs in peripheral whole blood using precoated dried antibodies in ready-to-use tubes. It was compared with reference methods and implemented and validated to be suitable with different cytometer platforms.\nRESULTS: The standardized protocol developed with dried antibodies and reduced volumes of whole blood allows an optimal identification of Tregs. Compared with classical staining procedure, it reduces the number of steps required, in a very fast and simple technique. The accuracy of the method was confirmed by a multicenter comparison with different cytometer brands.\nCONCLUSIONS: Our results highlight the reliability of this high-standard protocol that could become a reference method for the monitoring of Tregs in clinical trials. © 2018 International Clinical Cytometry Society.","container-title":"Cytometry. Part B, Clinical Cytometry","DOI":"10.1002/cyto.b.21622","ISSN":"1552-4957","journalAbbreviation":"Cytometry B Clin Cytom","language":"eng","license":"All rights reserved","note":"PMID: 29316248","source":"PubMed","title":"A standardized flow cytometry procedure for the monitoring of regulatory T cells in clinical trials","author":[{"family":"Pitoiset","given":"Fabien"},{"family":"Barbié","given":"Michèle"},{"family":"Monneret","given":"Guillaume"},{"family":"Braudeau","given":"Cécile"},{"family":"Pochard","given":"Pierre"},{"family":"Pellegrin","given":"Isabelle"},{"family":"Trauet","given":"Jacques"},{"family":"Labalette","given":"Myriam"},{"family":"Klatzmann","given":"David"},{"family":"Rosenzwajg","given":"Michelle"}],"issued":{"date-parts":[["2018",1,6]]}}}],"schema":"https://github.com/citation-style-language/schema/raw/master/csl-citation.json"} </w:instrText>
      </w:r>
      <w:r w:rsidRPr="00884FB5">
        <w:rPr>
          <w:rFonts w:cstheme="minorHAnsi"/>
          <w:lang w:val="en-GB" w:eastAsia="ja-JP"/>
        </w:rPr>
        <w:fldChar w:fldCharType="separate"/>
      </w:r>
      <w:r w:rsidR="00F565AA" w:rsidRPr="00F565AA">
        <w:rPr>
          <w:rFonts w:ascii="Calibri" w:hAnsi="Calibri" w:cs="Calibri"/>
          <w:szCs w:val="24"/>
          <w:vertAlign w:val="superscript"/>
        </w:rPr>
        <w:t>2</w:t>
      </w:r>
      <w:r w:rsidRPr="00884FB5">
        <w:rPr>
          <w:rFonts w:cstheme="minorHAnsi"/>
          <w:lang w:val="en-GB" w:eastAsia="ja-JP"/>
        </w:rPr>
        <w:fldChar w:fldCharType="end"/>
      </w:r>
      <w:r w:rsidRPr="00E010B4">
        <w:rPr>
          <w:rFonts w:cstheme="minorHAnsi"/>
          <w:lang w:val="en-GB" w:eastAsia="ja-JP"/>
        </w:rPr>
        <w:t>.</w:t>
      </w:r>
    </w:p>
    <w:p w14:paraId="5151C094" w14:textId="77777777" w:rsidR="00555DC6" w:rsidRPr="00E0014D" w:rsidRDefault="00555DC6" w:rsidP="00E0014D">
      <w:pPr>
        <w:spacing w:before="120" w:after="120" w:line="360" w:lineRule="auto"/>
        <w:jc w:val="both"/>
        <w:rPr>
          <w:b/>
          <w:bCs/>
          <w:sz w:val="24"/>
          <w:szCs w:val="24"/>
          <w:lang w:val="en-US"/>
        </w:rPr>
      </w:pPr>
      <w:r w:rsidRPr="00E0014D">
        <w:rPr>
          <w:b/>
          <w:bCs/>
          <w:sz w:val="24"/>
          <w:szCs w:val="24"/>
          <w:lang w:val="en-US"/>
        </w:rPr>
        <w:t>Statistical analysis</w:t>
      </w:r>
    </w:p>
    <w:p w14:paraId="4855D4F1" w14:textId="77777777" w:rsidR="00555DC6" w:rsidRPr="00555DC6" w:rsidRDefault="00555DC6" w:rsidP="00555DC6">
      <w:pPr>
        <w:spacing w:line="360" w:lineRule="auto"/>
        <w:jc w:val="both"/>
        <w:rPr>
          <w:rFonts w:cstheme="minorHAnsi"/>
          <w:bCs/>
          <w:sz w:val="24"/>
          <w:szCs w:val="24"/>
          <w:lang w:val="en-US"/>
        </w:rPr>
      </w:pPr>
      <w:r w:rsidRPr="00555DC6">
        <w:rPr>
          <w:rFonts w:cstheme="minorHAnsi"/>
          <w:bCs/>
          <w:sz w:val="24"/>
          <w:szCs w:val="24"/>
          <w:lang w:val="en-US"/>
        </w:rPr>
        <w:t>Changes in Tregs between baseline and the other follow up timepoint were analyzed throughout the treatment period by non-parametric ANCOVA for repeated measurements, using baseline values as covariable (Conover method). Data are presented as mean ± SEM. Normal distribution of each set of variables was analysed by D'Agostino &amp; Pearson omnibus normality test. Student’s t-test for normally distributed data and non-parametric Mann–Whitney were used to compare variables as appropriate. Paired data comparing follow-up time points to baseline value were analysed using Student’s t-test for normally distributed data and paired Wilcoxon signed-rank test for nonparametric. A p value &lt; 0.05 was considered significant. Statistical analyses were performed using GraphPad Prism version 10.0 (GraphPad Software, San Diego, CA, USA).</w:t>
      </w:r>
    </w:p>
    <w:p w14:paraId="1626551D" w14:textId="77777777" w:rsidR="00555DC6" w:rsidRPr="00E0014D" w:rsidRDefault="00555DC6" w:rsidP="00555DC6">
      <w:pPr>
        <w:spacing w:line="360" w:lineRule="auto"/>
        <w:jc w:val="both"/>
        <w:outlineLvl w:val="0"/>
        <w:rPr>
          <w:rStyle w:val="head31"/>
          <w:rFonts w:cstheme="minorHAnsi"/>
          <w:b/>
          <w:i w:val="0"/>
          <w:iCs w:val="0"/>
          <w:sz w:val="24"/>
          <w:szCs w:val="24"/>
          <w:lang w:val="en-US"/>
        </w:rPr>
      </w:pPr>
      <w:r w:rsidRPr="00E0014D">
        <w:rPr>
          <w:rStyle w:val="head31"/>
          <w:rFonts w:cstheme="minorHAnsi"/>
          <w:b/>
          <w:i w:val="0"/>
          <w:iCs w:val="0"/>
          <w:sz w:val="24"/>
          <w:szCs w:val="24"/>
          <w:lang w:val="en-US"/>
        </w:rPr>
        <w:t>Compassionate use of IL-2</w:t>
      </w:r>
      <w:r w:rsidRPr="00E0014D">
        <w:rPr>
          <w:rStyle w:val="head31"/>
          <w:rFonts w:cstheme="minorHAnsi"/>
          <w:b/>
          <w:i w:val="0"/>
          <w:iCs w:val="0"/>
          <w:sz w:val="24"/>
          <w:szCs w:val="24"/>
          <w:vertAlign w:val="subscript"/>
          <w:lang w:val="en-US"/>
        </w:rPr>
        <w:t>LD</w:t>
      </w:r>
      <w:r w:rsidRPr="00E0014D">
        <w:rPr>
          <w:rStyle w:val="head31"/>
          <w:rFonts w:cstheme="minorHAnsi"/>
          <w:b/>
          <w:i w:val="0"/>
          <w:iCs w:val="0"/>
          <w:sz w:val="24"/>
          <w:szCs w:val="24"/>
          <w:lang w:val="en-US"/>
        </w:rPr>
        <w:t xml:space="preserve"> in REPL</w:t>
      </w:r>
    </w:p>
    <w:p w14:paraId="579BFDB8" w14:textId="77777777" w:rsidR="00555DC6" w:rsidRPr="00555DC6" w:rsidRDefault="00555DC6" w:rsidP="00555DC6">
      <w:pPr>
        <w:spacing w:line="360" w:lineRule="auto"/>
        <w:jc w:val="both"/>
        <w:rPr>
          <w:rFonts w:cstheme="minorHAnsi"/>
          <w:bCs/>
          <w:sz w:val="24"/>
          <w:szCs w:val="24"/>
          <w:lang w:val="en-US"/>
        </w:rPr>
      </w:pPr>
      <w:r w:rsidRPr="00555DC6">
        <w:rPr>
          <w:rFonts w:cstheme="minorHAnsi"/>
          <w:bCs/>
          <w:sz w:val="24"/>
          <w:szCs w:val="24"/>
          <w:lang w:val="en-US"/>
        </w:rPr>
        <w:t xml:space="preserve">During the same period, </w:t>
      </w:r>
      <w:r w:rsidRPr="00555DC6">
        <w:rPr>
          <w:rFonts w:cstheme="minorHAnsi"/>
          <w:sz w:val="24"/>
          <w:szCs w:val="24"/>
          <w:lang w:val="en-US"/>
        </w:rPr>
        <w:t xml:space="preserve">nine additional women </w:t>
      </w:r>
      <w:r w:rsidRPr="00555DC6">
        <w:rPr>
          <w:rFonts w:cstheme="minorHAnsi"/>
          <w:bCs/>
          <w:sz w:val="24"/>
          <w:szCs w:val="24"/>
          <w:lang w:val="en-US"/>
        </w:rPr>
        <w:t>who were unable or unwilling to participate in the FACIL-2 trial received the same IL-2</w:t>
      </w:r>
      <w:r w:rsidRPr="00555DC6">
        <w:rPr>
          <w:rFonts w:cstheme="minorHAnsi"/>
          <w:bCs/>
          <w:sz w:val="24"/>
          <w:szCs w:val="24"/>
          <w:vertAlign w:val="subscript"/>
          <w:lang w:val="en-US"/>
        </w:rPr>
        <w:t>LD</w:t>
      </w:r>
      <w:r w:rsidRPr="00555DC6">
        <w:rPr>
          <w:rFonts w:cstheme="minorHAnsi"/>
          <w:bCs/>
          <w:sz w:val="24"/>
          <w:szCs w:val="24"/>
          <w:lang w:val="en-US"/>
        </w:rPr>
        <w:t xml:space="preserve"> treatment on a compassionate use</w:t>
      </w:r>
      <w:r w:rsidRPr="00555DC6">
        <w:rPr>
          <w:rFonts w:cstheme="minorHAnsi"/>
          <w:sz w:val="24"/>
          <w:szCs w:val="24"/>
          <w:lang w:val="en-US"/>
        </w:rPr>
        <w:t xml:space="preserve">. They also had </w:t>
      </w:r>
      <w:r w:rsidRPr="00555DC6">
        <w:rPr>
          <w:rFonts w:cstheme="minorHAnsi"/>
          <w:bCs/>
          <w:sz w:val="24"/>
          <w:szCs w:val="24"/>
          <w:lang w:val="en-US"/>
        </w:rPr>
        <w:lastRenderedPageBreak/>
        <w:t>a history of at least 5 uREPLs before 14 weeks of gestation</w:t>
      </w:r>
      <w:r w:rsidRPr="00555DC6">
        <w:rPr>
          <w:rFonts w:cstheme="minorHAnsi"/>
          <w:sz w:val="24"/>
          <w:szCs w:val="24"/>
          <w:lang w:val="en-US"/>
        </w:rPr>
        <w:t xml:space="preserve">. </w:t>
      </w:r>
      <w:r w:rsidRPr="00555DC6">
        <w:rPr>
          <w:rFonts w:cstheme="minorHAnsi"/>
          <w:bCs/>
          <w:sz w:val="24"/>
          <w:szCs w:val="24"/>
          <w:lang w:val="en-US"/>
        </w:rPr>
        <w:t xml:space="preserve">These patients did not have the planned visits of the FACIL-2 study and had no biological follow up nor enforced safety follow up. </w:t>
      </w:r>
    </w:p>
    <w:p w14:paraId="166160ED" w14:textId="77777777" w:rsidR="00555DC6" w:rsidRPr="00555DC6" w:rsidRDefault="00555DC6" w:rsidP="00555DC6">
      <w:pPr>
        <w:spacing w:line="360" w:lineRule="auto"/>
        <w:jc w:val="both"/>
        <w:rPr>
          <w:rFonts w:cstheme="minorHAnsi"/>
          <w:bCs/>
          <w:sz w:val="24"/>
          <w:szCs w:val="24"/>
          <w:lang w:val="en-US"/>
        </w:rPr>
      </w:pPr>
      <w:r w:rsidRPr="00555DC6">
        <w:rPr>
          <w:rFonts w:cstheme="minorHAnsi"/>
          <w:bCs/>
          <w:sz w:val="24"/>
          <w:szCs w:val="24"/>
          <w:lang w:val="en-US"/>
        </w:rPr>
        <w:t>All patients treated at any AP-HP hospital (the body that oversees all public hospitals in the Paris region) are informed that data obtained during their care may be used for research purposes. Patients have the right to opt out if they wish. The nine additional patients mentioned did not opt out and are not included in a research protocol. The pregnancy outcome results that we report are from their care.</w:t>
      </w:r>
    </w:p>
    <w:p w14:paraId="6D3F0CDC" w14:textId="77777777" w:rsidR="00E0014D" w:rsidRPr="00E0014D" w:rsidRDefault="00E0014D" w:rsidP="00E0014D">
      <w:pPr>
        <w:widowControl w:val="0"/>
        <w:overflowPunct w:val="0"/>
        <w:autoSpaceDE w:val="0"/>
        <w:autoSpaceDN w:val="0"/>
        <w:adjustRightInd w:val="0"/>
        <w:spacing w:after="0" w:line="276" w:lineRule="auto"/>
        <w:textAlignment w:val="baseline"/>
        <w:rPr>
          <w:rFonts w:cs="Times New Roman"/>
          <w:lang w:val="en-GB" w:eastAsia="ja-JP"/>
        </w:rPr>
      </w:pPr>
    </w:p>
    <w:p w14:paraId="26A5A9F2" w14:textId="77777777" w:rsidR="00AB1AA5" w:rsidRPr="00E010B4" w:rsidRDefault="00AB1AA5" w:rsidP="00AB1AA5">
      <w:pPr>
        <w:pStyle w:val="Paragraphedeliste"/>
        <w:widowControl w:val="0"/>
        <w:overflowPunct w:val="0"/>
        <w:autoSpaceDE w:val="0"/>
        <w:autoSpaceDN w:val="0"/>
        <w:adjustRightInd w:val="0"/>
        <w:spacing w:after="0" w:line="276" w:lineRule="auto"/>
        <w:ind w:left="360"/>
        <w:textAlignment w:val="baseline"/>
        <w:rPr>
          <w:rFonts w:cs="Times New Roman"/>
          <w:lang w:val="en-GB" w:eastAsia="ja-JP"/>
        </w:rPr>
      </w:pPr>
    </w:p>
    <w:p w14:paraId="3C757651" w14:textId="18AE25C3" w:rsidR="00AB1AA5" w:rsidRPr="00E010B4" w:rsidRDefault="007D4B6E" w:rsidP="00AB1AA5">
      <w:pPr>
        <w:spacing w:line="360" w:lineRule="auto"/>
        <w:rPr>
          <w:rFonts w:cstheme="minorHAnsi"/>
          <w:sz w:val="24"/>
          <w:szCs w:val="24"/>
          <w:lang w:val="en-GB"/>
        </w:rPr>
      </w:pPr>
      <w:r>
        <w:rPr>
          <w:rFonts w:cstheme="minorHAnsi"/>
          <w:b/>
          <w:sz w:val="24"/>
          <w:szCs w:val="24"/>
          <w:lang w:val="en-GB"/>
        </w:rPr>
        <w:t xml:space="preserve">Extended </w:t>
      </w:r>
      <w:r w:rsidR="00AB1AA5" w:rsidRPr="00E010B4">
        <w:rPr>
          <w:rFonts w:cstheme="minorHAnsi"/>
          <w:b/>
          <w:sz w:val="24"/>
          <w:szCs w:val="24"/>
          <w:lang w:val="en-GB"/>
        </w:rPr>
        <w:t>Table 1:</w:t>
      </w:r>
      <w:r w:rsidR="00AB1AA5" w:rsidRPr="00E010B4">
        <w:rPr>
          <w:rFonts w:cstheme="minorHAnsi"/>
          <w:sz w:val="24"/>
          <w:szCs w:val="24"/>
          <w:lang w:val="en-GB"/>
        </w:rPr>
        <w:t xml:space="preserve"> Inclusion/Ex</w:t>
      </w:r>
      <w:r w:rsidR="007B6B42">
        <w:rPr>
          <w:rFonts w:cstheme="minorHAnsi"/>
          <w:sz w:val="24"/>
          <w:szCs w:val="24"/>
          <w:lang w:val="en-GB"/>
        </w:rPr>
        <w:t>c</w:t>
      </w:r>
      <w:r w:rsidR="00AB1AA5" w:rsidRPr="00E010B4">
        <w:rPr>
          <w:rFonts w:cstheme="minorHAnsi"/>
          <w:sz w:val="24"/>
          <w:szCs w:val="24"/>
          <w:lang w:val="en-GB"/>
        </w:rPr>
        <w:t>lusion criteria</w:t>
      </w: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7937"/>
      </w:tblGrid>
      <w:tr w:rsidR="00AB1AA5" w:rsidRPr="00D33F74" w14:paraId="5E9548D9" w14:textId="77777777" w:rsidTr="00D50F45">
        <w:trPr>
          <w:trHeight w:val="66"/>
          <w:jc w:val="center"/>
        </w:trPr>
        <w:tc>
          <w:tcPr>
            <w:tcW w:w="2438" w:type="dxa"/>
            <w:tcBorders>
              <w:top w:val="single" w:sz="4" w:space="0" w:color="auto"/>
              <w:left w:val="single" w:sz="4" w:space="0" w:color="auto"/>
              <w:bottom w:val="single" w:sz="4" w:space="0" w:color="auto"/>
              <w:right w:val="single" w:sz="4" w:space="0" w:color="auto"/>
            </w:tcBorders>
            <w:noWrap/>
          </w:tcPr>
          <w:p w14:paraId="0148CD42" w14:textId="77777777" w:rsidR="00AB1AA5" w:rsidRPr="00E010B4" w:rsidRDefault="00AB1AA5" w:rsidP="00D50F45">
            <w:pPr>
              <w:snapToGrid w:val="0"/>
              <w:spacing w:after="0" w:line="240" w:lineRule="auto"/>
              <w:ind w:right="-108"/>
              <w:jc w:val="both"/>
              <w:rPr>
                <w:rFonts w:eastAsia="Times New Roman" w:cstheme="minorHAnsi"/>
                <w:b/>
                <w:bCs/>
                <w:sz w:val="20"/>
                <w:szCs w:val="20"/>
                <w:lang w:val="en-GB" w:eastAsia="fr-BE"/>
              </w:rPr>
            </w:pPr>
            <w:r w:rsidRPr="00E010B4">
              <w:rPr>
                <w:rFonts w:eastAsia="Times New Roman" w:cstheme="minorHAnsi"/>
                <w:b/>
                <w:bCs/>
                <w:sz w:val="20"/>
                <w:szCs w:val="20"/>
                <w:lang w:val="en-GB" w:eastAsia="fr-BE"/>
              </w:rPr>
              <w:t>PATIENTS</w:t>
            </w:r>
          </w:p>
          <w:p w14:paraId="60F7098F" w14:textId="77777777" w:rsidR="00AB1AA5" w:rsidRPr="00E010B4" w:rsidRDefault="00AB1AA5" w:rsidP="00D50F45">
            <w:pPr>
              <w:snapToGrid w:val="0"/>
              <w:spacing w:before="60" w:after="60" w:line="240" w:lineRule="auto"/>
              <w:jc w:val="both"/>
              <w:rPr>
                <w:rFonts w:eastAsia="Times New Roman" w:cstheme="minorHAnsi"/>
                <w:b/>
                <w:sz w:val="20"/>
                <w:szCs w:val="20"/>
                <w:lang w:val="en-GB" w:eastAsia="fr-BE"/>
              </w:rPr>
            </w:pPr>
            <w:r w:rsidRPr="00E010B4">
              <w:rPr>
                <w:rFonts w:eastAsia="Times New Roman" w:cstheme="minorHAnsi"/>
                <w:b/>
                <w:bCs/>
                <w:sz w:val="20"/>
                <w:szCs w:val="20"/>
                <w:lang w:val="en-GB" w:eastAsia="fr-BE"/>
              </w:rPr>
              <w:t>Main inclusion criteria</w:t>
            </w:r>
          </w:p>
        </w:tc>
        <w:tc>
          <w:tcPr>
            <w:tcW w:w="7937" w:type="dxa"/>
            <w:tcBorders>
              <w:top w:val="single" w:sz="4" w:space="0" w:color="auto"/>
              <w:left w:val="single" w:sz="4" w:space="0" w:color="auto"/>
              <w:bottom w:val="single" w:sz="4" w:space="0" w:color="auto"/>
              <w:right w:val="single" w:sz="4" w:space="0" w:color="auto"/>
            </w:tcBorders>
            <w:noWrap/>
            <w:vAlign w:val="center"/>
          </w:tcPr>
          <w:p w14:paraId="00368FB7" w14:textId="752F2AB3" w:rsidR="00AB1AA5"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Pr>
                <w:rFonts w:eastAsia="Calibri" w:cstheme="minorHAnsi"/>
                <w:sz w:val="20"/>
                <w:szCs w:val="20"/>
                <w:lang w:val="en-GB" w:eastAsia="fr-BE"/>
              </w:rPr>
              <w:t>F</w:t>
            </w:r>
            <w:r w:rsidR="00AB1AA5" w:rsidRPr="00104AEF">
              <w:rPr>
                <w:rFonts w:eastAsia="Calibri" w:cstheme="minorHAnsi"/>
                <w:sz w:val="20"/>
                <w:szCs w:val="20"/>
                <w:lang w:val="en-GB" w:eastAsia="fr-BE"/>
              </w:rPr>
              <w:t>emale aged [18-</w:t>
            </w:r>
            <w:r>
              <w:rPr>
                <w:rFonts w:eastAsia="Calibri" w:cstheme="minorHAnsi"/>
                <w:sz w:val="20"/>
                <w:szCs w:val="20"/>
                <w:lang w:val="en-GB" w:eastAsia="fr-BE"/>
              </w:rPr>
              <w:t>40</w:t>
            </w:r>
            <w:r w:rsidR="00AB1AA5" w:rsidRPr="00104AEF">
              <w:rPr>
                <w:rFonts w:eastAsia="Calibri" w:cstheme="minorHAnsi"/>
                <w:sz w:val="20"/>
                <w:szCs w:val="20"/>
                <w:lang w:val="en-GB" w:eastAsia="fr-BE"/>
              </w:rPr>
              <w:t>] years</w:t>
            </w:r>
          </w:p>
          <w:p w14:paraId="7B69F078"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Woman with at least 5 consecutive early miscarriages less than 14 weeks of amenorrhea and unexplained after the usual check-up;</w:t>
            </w:r>
          </w:p>
          <w:p w14:paraId="6A47C674" w14:textId="12EACD94" w:rsidR="00AB1AA5"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Volunteer to participate in the trial and having given written consent after appropriate information.</w:t>
            </w:r>
          </w:p>
        </w:tc>
      </w:tr>
      <w:tr w:rsidR="00AB1AA5" w:rsidRPr="00D33F74" w14:paraId="734D5A20" w14:textId="77777777" w:rsidTr="00D50F45">
        <w:trPr>
          <w:trHeight w:val="66"/>
          <w:jc w:val="center"/>
        </w:trPr>
        <w:tc>
          <w:tcPr>
            <w:tcW w:w="2438" w:type="dxa"/>
            <w:tcBorders>
              <w:top w:val="single" w:sz="4" w:space="0" w:color="auto"/>
              <w:left w:val="single" w:sz="4" w:space="0" w:color="auto"/>
              <w:bottom w:val="single" w:sz="4" w:space="0" w:color="auto"/>
              <w:right w:val="single" w:sz="4" w:space="0" w:color="auto"/>
            </w:tcBorders>
            <w:noWrap/>
          </w:tcPr>
          <w:p w14:paraId="20189E93" w14:textId="77777777" w:rsidR="00AB1AA5" w:rsidRPr="00E010B4" w:rsidRDefault="00AB1AA5" w:rsidP="00D50F45">
            <w:pPr>
              <w:snapToGrid w:val="0"/>
              <w:spacing w:before="60" w:after="60" w:line="240" w:lineRule="auto"/>
              <w:jc w:val="both"/>
              <w:rPr>
                <w:rFonts w:eastAsia="Times New Roman" w:cstheme="minorHAnsi"/>
                <w:b/>
                <w:bCs/>
                <w:sz w:val="20"/>
                <w:szCs w:val="20"/>
                <w:lang w:val="en-GB" w:eastAsia="fr-BE"/>
              </w:rPr>
            </w:pPr>
            <w:r w:rsidRPr="00E010B4">
              <w:rPr>
                <w:rFonts w:eastAsia="Times New Roman" w:cstheme="minorHAnsi"/>
                <w:b/>
                <w:sz w:val="20"/>
                <w:szCs w:val="20"/>
                <w:lang w:val="en-GB" w:eastAsia="fr-BE"/>
              </w:rPr>
              <w:t xml:space="preserve">Main </w:t>
            </w:r>
            <w:r w:rsidRPr="00E010B4">
              <w:rPr>
                <w:rFonts w:eastAsia="Times New Roman" w:cstheme="minorHAnsi"/>
                <w:b/>
                <w:bCs/>
                <w:sz w:val="20"/>
                <w:szCs w:val="20"/>
                <w:lang w:val="en-GB" w:eastAsia="fr-BE"/>
              </w:rPr>
              <w:t>non-inclusion</w:t>
            </w:r>
            <w:r w:rsidRPr="00E010B4">
              <w:rPr>
                <w:rFonts w:eastAsia="Times New Roman" w:cstheme="minorHAnsi"/>
                <w:b/>
                <w:sz w:val="20"/>
                <w:szCs w:val="20"/>
                <w:lang w:val="en-GB" w:eastAsia="fr-BE"/>
              </w:rPr>
              <w:t xml:space="preserve"> criteria</w:t>
            </w:r>
          </w:p>
        </w:tc>
        <w:tc>
          <w:tcPr>
            <w:tcW w:w="7937" w:type="dxa"/>
            <w:tcBorders>
              <w:top w:val="single" w:sz="4" w:space="0" w:color="auto"/>
              <w:left w:val="single" w:sz="4" w:space="0" w:color="auto"/>
              <w:bottom w:val="single" w:sz="4" w:space="0" w:color="auto"/>
              <w:right w:val="single" w:sz="4" w:space="0" w:color="auto"/>
            </w:tcBorders>
            <w:noWrap/>
            <w:vAlign w:val="center"/>
          </w:tcPr>
          <w:p w14:paraId="4EB6621D"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Uterine or pelvic abnormality: uterine malformation, intracavitary fibroid, synechiae, polyp, hydrosalpinx;</w:t>
            </w:r>
          </w:p>
          <w:p w14:paraId="45DEC123"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Balanced translocations in both spouses;</w:t>
            </w:r>
          </w:p>
          <w:p w14:paraId="0DA423F3"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Diabetes type I or II;</w:t>
            </w:r>
          </w:p>
          <w:p w14:paraId="6D03D8A6"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Sickle cell disease;</w:t>
            </w:r>
          </w:p>
          <w:p w14:paraId="479B3B0F"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Contraindication to pregnancy;</w:t>
            </w:r>
          </w:p>
          <w:p w14:paraId="293597E0"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Constitutional or acquired thrombophilia (protein deficit C, S, ATIII, homozygous factor V or II deficiency, antiphospholipid syndrome, antithyroid antibodies positive, celiac disease, hyperhomocysteinemia);</w:t>
            </w:r>
          </w:p>
          <w:p w14:paraId="081035A9" w14:textId="101CA8B4" w:rsidR="00104AEF" w:rsidRPr="00104AEF" w:rsidRDefault="007E0B31"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Pr>
                <w:rFonts w:eastAsia="Calibri" w:cstheme="minorHAnsi"/>
                <w:sz w:val="20"/>
                <w:szCs w:val="20"/>
                <w:lang w:val="en-GB" w:eastAsia="fr-BE"/>
              </w:rPr>
              <w:t>Decreased ovarian reserve</w:t>
            </w:r>
            <w:r w:rsidR="00104AEF" w:rsidRPr="00104AEF">
              <w:rPr>
                <w:rFonts w:eastAsia="Calibri" w:cstheme="minorHAnsi"/>
                <w:sz w:val="20"/>
                <w:szCs w:val="20"/>
                <w:lang w:val="en-GB" w:eastAsia="fr-BE"/>
              </w:rPr>
              <w:t xml:space="preserve"> (AMH &lt;1 ng/ml); AFC &lt; 4</w:t>
            </w:r>
          </w:p>
          <w:p w14:paraId="70E73A3B"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Significant spermogram abnormalities and DNA fragmented more than 30%</w:t>
            </w:r>
          </w:p>
          <w:p w14:paraId="71B1DF38"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Active HIV or HCV infection;</w:t>
            </w:r>
          </w:p>
          <w:p w14:paraId="4FCD55DD"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Main known contraindications to treatment with IL-2:</w:t>
            </w:r>
          </w:p>
          <w:p w14:paraId="1363D621"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Hypersensitivity to the active substance or to any of the excipients;</w:t>
            </w:r>
          </w:p>
          <w:p w14:paraId="781A7777"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Signs of progressive infection requiring antibiotic therapy;</w:t>
            </w:r>
          </w:p>
          <w:p w14:paraId="2A661B60"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History of organ allograft;</w:t>
            </w:r>
          </w:p>
          <w:p w14:paraId="2A34F131"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Pre-existing autoimmune disease;</w:t>
            </w:r>
          </w:p>
          <w:p w14:paraId="4C15AAEF"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Leukocytes &lt;4000 / mm3; platelets &lt;100,000 / mm3; hematocrit &lt;30%;</w:t>
            </w:r>
          </w:p>
          <w:p w14:paraId="764B6D42"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hepatic or renal insufficiency;</w:t>
            </w:r>
          </w:p>
          <w:p w14:paraId="46AB8665"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depression;</w:t>
            </w:r>
          </w:p>
          <w:p w14:paraId="3D4FAFA0"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significant history or existence of a serious heart disease (in doubtful cases, perform a stress test);</w:t>
            </w:r>
          </w:p>
          <w:p w14:paraId="35116C49"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patients with autoimmune disease;</w:t>
            </w:r>
          </w:p>
          <w:p w14:paraId="7873FA38"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patients with an infection (septicemia, bacterial endocarditis, septic thrombophlebitis, peritonitis and pneumonia);</w:t>
            </w:r>
          </w:p>
          <w:p w14:paraId="14531E0C"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pregnancy;</w:t>
            </w:r>
          </w:p>
          <w:p w14:paraId="53B474D2"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Treatment with immunomodulators, immunosuppressants (class L04A of the ATC classification), in particular systemic corticosteroids, as well as aspirin and low molecular weight heparin;</w:t>
            </w:r>
          </w:p>
          <w:p w14:paraId="4CF27A8C"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lastRenderedPageBreak/>
              <w:t>No affiliation to a social security;</w:t>
            </w:r>
          </w:p>
          <w:p w14:paraId="0D543A09"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Person who has already been included in this study or in another at the same time;</w:t>
            </w:r>
          </w:p>
          <w:p w14:paraId="73431155"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Major incapacitated patient (tutorship / curatorship);</w:t>
            </w:r>
          </w:p>
          <w:p w14:paraId="6EFCCE35" w14:textId="77777777" w:rsidR="00104AEF"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Patient with an allergy to taking IL2-fd;</w:t>
            </w:r>
          </w:p>
          <w:p w14:paraId="0D8CF2DA" w14:textId="347576D3" w:rsidR="00AB1AA5" w:rsidRPr="00104AEF" w:rsidRDefault="00104AEF" w:rsidP="00104AEF">
            <w:pPr>
              <w:numPr>
                <w:ilvl w:val="0"/>
                <w:numId w:val="1"/>
              </w:numPr>
              <w:autoSpaceDE w:val="0"/>
              <w:autoSpaceDN w:val="0"/>
              <w:adjustRightInd w:val="0"/>
              <w:spacing w:after="0" w:line="240" w:lineRule="auto"/>
              <w:contextualSpacing/>
              <w:jc w:val="both"/>
              <w:rPr>
                <w:rFonts w:eastAsia="Calibri" w:cstheme="minorHAnsi"/>
                <w:sz w:val="20"/>
                <w:szCs w:val="20"/>
                <w:lang w:val="en-GB" w:eastAsia="fr-BE"/>
              </w:rPr>
            </w:pPr>
            <w:r w:rsidRPr="00104AEF">
              <w:rPr>
                <w:rFonts w:eastAsia="Calibri" w:cstheme="minorHAnsi"/>
                <w:sz w:val="20"/>
                <w:szCs w:val="20"/>
                <w:lang w:val="en-GB" w:eastAsia="fr-BE"/>
              </w:rPr>
              <w:t>Participants who would present professional risk factors (eg ionizing exposure);</w:t>
            </w:r>
          </w:p>
        </w:tc>
      </w:tr>
    </w:tbl>
    <w:p w14:paraId="35A8EFA8" w14:textId="77777777" w:rsidR="007D4B6E" w:rsidRDefault="007D4B6E" w:rsidP="00AB1AA5">
      <w:pPr>
        <w:spacing w:line="360" w:lineRule="auto"/>
        <w:rPr>
          <w:rFonts w:cstheme="minorHAnsi"/>
          <w:b/>
          <w:i/>
          <w:sz w:val="24"/>
          <w:szCs w:val="24"/>
          <w:lang w:val="en-GB"/>
        </w:rPr>
      </w:pPr>
    </w:p>
    <w:p w14:paraId="2A175924" w14:textId="7AB3834B" w:rsidR="007D4B6E" w:rsidRDefault="007D4B6E" w:rsidP="007D4B6E">
      <w:pPr>
        <w:spacing w:line="480" w:lineRule="auto"/>
        <w:jc w:val="both"/>
        <w:rPr>
          <w:rFonts w:cstheme="minorHAnsi"/>
          <w:iCs/>
          <w:sz w:val="24"/>
          <w:szCs w:val="24"/>
          <w:lang w:val="en-US"/>
        </w:rPr>
      </w:pPr>
      <w:r>
        <w:rPr>
          <w:rFonts w:cstheme="minorHAnsi"/>
          <w:b/>
          <w:sz w:val="24"/>
          <w:szCs w:val="24"/>
          <w:lang w:val="en-GB"/>
        </w:rPr>
        <w:t xml:space="preserve">Extended </w:t>
      </w:r>
      <w:r w:rsidRPr="00E010B4">
        <w:rPr>
          <w:rFonts w:cstheme="minorHAnsi"/>
          <w:b/>
          <w:sz w:val="24"/>
          <w:szCs w:val="24"/>
          <w:lang w:val="en-GB"/>
        </w:rPr>
        <w:t xml:space="preserve">Table </w:t>
      </w:r>
      <w:r>
        <w:rPr>
          <w:rFonts w:cstheme="minorHAnsi"/>
          <w:b/>
          <w:sz w:val="24"/>
          <w:szCs w:val="24"/>
          <w:lang w:val="en-GB"/>
        </w:rPr>
        <w:t>2</w:t>
      </w:r>
      <w:r w:rsidRPr="00E34A65">
        <w:rPr>
          <w:rFonts w:cstheme="minorHAnsi"/>
          <w:b/>
          <w:i/>
          <w:iCs/>
          <w:sz w:val="24"/>
          <w:szCs w:val="24"/>
          <w:lang w:val="en-US"/>
        </w:rPr>
        <w:t>:</w:t>
      </w:r>
      <w:r w:rsidRPr="00E34A65">
        <w:rPr>
          <w:rFonts w:cstheme="minorHAnsi"/>
          <w:i/>
          <w:iCs/>
          <w:sz w:val="24"/>
          <w:szCs w:val="24"/>
          <w:lang w:val="en-US"/>
        </w:rPr>
        <w:t xml:space="preserve"> </w:t>
      </w:r>
      <w:r w:rsidRPr="00E34A65">
        <w:rPr>
          <w:rFonts w:cstheme="minorHAnsi"/>
          <w:iCs/>
          <w:sz w:val="24"/>
          <w:szCs w:val="24"/>
          <w:lang w:val="en-US"/>
        </w:rPr>
        <w:t xml:space="preserve">clinical </w:t>
      </w:r>
      <w:r>
        <w:rPr>
          <w:rFonts w:cstheme="minorHAnsi"/>
          <w:iCs/>
          <w:sz w:val="24"/>
          <w:szCs w:val="24"/>
          <w:lang w:val="en-US"/>
        </w:rPr>
        <w:t xml:space="preserve">and biological </w:t>
      </w:r>
      <w:r w:rsidRPr="00E34A65">
        <w:rPr>
          <w:rFonts w:cstheme="minorHAnsi"/>
          <w:iCs/>
          <w:sz w:val="24"/>
          <w:szCs w:val="24"/>
          <w:lang w:val="en-US"/>
        </w:rPr>
        <w:t>outcome</w:t>
      </w:r>
      <w:r>
        <w:rPr>
          <w:rFonts w:cstheme="minorHAnsi"/>
          <w:iCs/>
          <w:sz w:val="24"/>
          <w:szCs w:val="24"/>
          <w:lang w:val="en-US"/>
        </w:rPr>
        <w:t>s</w:t>
      </w:r>
      <w:r w:rsidRPr="00E34A65">
        <w:rPr>
          <w:rFonts w:cstheme="minorHAnsi"/>
          <w:iCs/>
          <w:sz w:val="24"/>
          <w:szCs w:val="24"/>
          <w:lang w:val="en-US"/>
        </w:rPr>
        <w:t xml:space="preserve"> </w:t>
      </w:r>
      <w:r>
        <w:rPr>
          <w:rFonts w:cstheme="minorHAnsi"/>
          <w:iCs/>
          <w:sz w:val="24"/>
          <w:szCs w:val="24"/>
          <w:lang w:val="en-US"/>
        </w:rPr>
        <w:t xml:space="preserve">in patients with </w:t>
      </w:r>
      <w:r w:rsidR="007A4635">
        <w:rPr>
          <w:rFonts w:cstheme="minorHAnsi"/>
          <w:iCs/>
          <w:sz w:val="24"/>
          <w:szCs w:val="24"/>
          <w:lang w:val="en-US"/>
        </w:rPr>
        <w:t>successful</w:t>
      </w:r>
      <w:r>
        <w:rPr>
          <w:rFonts w:cstheme="minorHAnsi"/>
          <w:iCs/>
          <w:sz w:val="24"/>
          <w:szCs w:val="24"/>
          <w:lang w:val="en-US"/>
        </w:rPr>
        <w:t xml:space="preserve"> pregnancy and pregnancy loss.</w:t>
      </w:r>
    </w:p>
    <w:tbl>
      <w:tblPr>
        <w:tblW w:w="9807" w:type="dxa"/>
        <w:tblInd w:w="-5" w:type="dxa"/>
        <w:tblCellMar>
          <w:left w:w="70" w:type="dxa"/>
          <w:right w:w="70" w:type="dxa"/>
        </w:tblCellMar>
        <w:tblLook w:val="04A0" w:firstRow="1" w:lastRow="0" w:firstColumn="1" w:lastColumn="0" w:noHBand="0" w:noVBand="1"/>
      </w:tblPr>
      <w:tblGrid>
        <w:gridCol w:w="4535"/>
        <w:gridCol w:w="1984"/>
        <w:gridCol w:w="1984"/>
        <w:gridCol w:w="1304"/>
      </w:tblGrid>
      <w:tr w:rsidR="007D4B6E" w:rsidRPr="007F726C" w14:paraId="3A36607F" w14:textId="77777777" w:rsidTr="00F565AA">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hideMark/>
          </w:tcPr>
          <w:p w14:paraId="5CC37EC9"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eastAsia="fr-FR"/>
              </w:rPr>
              <w:t>P</w:t>
            </w:r>
            <w:r w:rsidRPr="007F726C">
              <w:rPr>
                <w:rFonts w:ascii="Calibri" w:eastAsia="Times New Roman" w:hAnsi="Calibri" w:cs="Calibri"/>
                <w:color w:val="000000"/>
                <w:sz w:val="24"/>
                <w:szCs w:val="24"/>
                <w:lang w:eastAsia="fr-FR"/>
              </w:rPr>
              <w:t>regnancy</w:t>
            </w:r>
          </w:p>
        </w:tc>
        <w:tc>
          <w:tcPr>
            <w:tcW w:w="1984"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52E3D483" w14:textId="77777777" w:rsidR="007D4B6E" w:rsidRPr="007F726C"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&lt; 14 Week</w:t>
            </w:r>
            <w:r w:rsidRPr="007F726C" w:rsidDel="00D93B32">
              <w:rPr>
                <w:rFonts w:ascii="Calibri" w:eastAsia="Times New Roman" w:hAnsi="Calibri" w:cs="Calibri"/>
                <w:color w:val="000000"/>
                <w:sz w:val="24"/>
                <w:szCs w:val="24"/>
                <w:lang w:eastAsia="fr-FR"/>
              </w:rPr>
              <w:t xml:space="preserve"> </w:t>
            </w:r>
            <w:r w:rsidRPr="007F726C">
              <w:rPr>
                <w:rFonts w:ascii="Calibri" w:eastAsia="Times New Roman" w:hAnsi="Calibri" w:cs="Calibri"/>
                <w:color w:val="000000"/>
                <w:sz w:val="24"/>
                <w:szCs w:val="24"/>
                <w:lang w:eastAsia="fr-FR"/>
              </w:rPr>
              <w:t xml:space="preserve">(N = </w:t>
            </w:r>
            <w:r w:rsidRPr="000942FA">
              <w:rPr>
                <w:rFonts w:ascii="Calibri" w:eastAsia="Times New Roman" w:hAnsi="Calibri" w:cs="Calibri"/>
                <w:color w:val="000000"/>
                <w:sz w:val="24"/>
                <w:szCs w:val="24"/>
                <w:lang w:eastAsia="fr-FR"/>
              </w:rPr>
              <w:t>4</w:t>
            </w:r>
            <w:r w:rsidRPr="007F726C">
              <w:rPr>
                <w:rFonts w:ascii="Calibri" w:eastAsia="Times New Roman" w:hAnsi="Calibri" w:cs="Calibri"/>
                <w:color w:val="000000"/>
                <w:sz w:val="24"/>
                <w:szCs w:val="24"/>
                <w:lang w:eastAsia="fr-FR"/>
              </w:rPr>
              <w:t>)</w:t>
            </w:r>
          </w:p>
        </w:tc>
        <w:tc>
          <w:tcPr>
            <w:tcW w:w="1984"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095C8A39"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 14 Week </w:t>
            </w:r>
            <w:r w:rsidRPr="007F726C">
              <w:rPr>
                <w:rFonts w:ascii="Calibri" w:eastAsia="Times New Roman" w:hAnsi="Calibri" w:cs="Calibri"/>
                <w:color w:val="000000"/>
                <w:sz w:val="24"/>
                <w:szCs w:val="24"/>
                <w:lang w:eastAsia="fr-FR"/>
              </w:rPr>
              <w:t xml:space="preserve">(N = </w:t>
            </w:r>
            <w:r w:rsidRPr="000942FA">
              <w:rPr>
                <w:rFonts w:ascii="Calibri" w:eastAsia="Times New Roman" w:hAnsi="Calibri" w:cs="Calibri"/>
                <w:color w:val="000000"/>
                <w:sz w:val="24"/>
                <w:szCs w:val="24"/>
                <w:lang w:eastAsia="fr-FR"/>
              </w:rPr>
              <w:t>4</w:t>
            </w:r>
            <w:r w:rsidRPr="007F726C">
              <w:rPr>
                <w:rFonts w:ascii="Calibri" w:eastAsia="Times New Roman" w:hAnsi="Calibri" w:cs="Calibri"/>
                <w:color w:val="000000"/>
                <w:sz w:val="24"/>
                <w:szCs w:val="24"/>
                <w:lang w:eastAsia="fr-FR"/>
              </w:rPr>
              <w:t>)</w:t>
            </w:r>
          </w:p>
        </w:tc>
        <w:tc>
          <w:tcPr>
            <w:tcW w:w="130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2F5E03" w14:textId="05D5E77F" w:rsidR="007D4B6E" w:rsidRDefault="007D4B6E" w:rsidP="000120C2">
            <w:pPr>
              <w:spacing w:after="0" w:line="276" w:lineRule="auto"/>
              <w:jc w:val="center"/>
              <w:rPr>
                <w:rFonts w:ascii="Calibri" w:eastAsia="Times New Roman" w:hAnsi="Calibri" w:cs="Calibri"/>
                <w:color w:val="000000"/>
                <w:sz w:val="24"/>
                <w:szCs w:val="24"/>
                <w:lang w:eastAsia="fr-FR"/>
              </w:rPr>
            </w:pPr>
            <w:r w:rsidRPr="00887E72">
              <w:rPr>
                <w:rFonts w:ascii="Calibri" w:eastAsia="Times New Roman" w:hAnsi="Calibri" w:cs="Calibri"/>
                <w:color w:val="000000"/>
                <w:sz w:val="24"/>
                <w:szCs w:val="24"/>
                <w:lang w:eastAsia="fr-FR"/>
              </w:rPr>
              <w:t>p</w:t>
            </w:r>
            <w:r w:rsidR="00E0014D">
              <w:rPr>
                <w:rFonts w:ascii="Calibri" w:eastAsia="Times New Roman" w:hAnsi="Calibri" w:cs="Calibri"/>
                <w:color w:val="000000"/>
                <w:sz w:val="24"/>
                <w:szCs w:val="24"/>
                <w:lang w:eastAsia="fr-FR"/>
              </w:rPr>
              <w:t>-values</w:t>
            </w:r>
          </w:p>
        </w:tc>
      </w:tr>
      <w:tr w:rsidR="007D4B6E" w:rsidRPr="007F726C" w14:paraId="37AAD85B"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vAlign w:val="bottom"/>
          </w:tcPr>
          <w:p w14:paraId="5320C5F2"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Age at the pregnancy</w:t>
            </w:r>
          </w:p>
        </w:tc>
        <w:tc>
          <w:tcPr>
            <w:tcW w:w="1984" w:type="dxa"/>
            <w:tcBorders>
              <w:top w:val="nil"/>
              <w:left w:val="nil"/>
              <w:bottom w:val="single" w:sz="4" w:space="0" w:color="auto"/>
              <w:right w:val="single" w:sz="4" w:space="0" w:color="auto"/>
            </w:tcBorders>
            <w:shd w:val="clear" w:color="auto" w:fill="auto"/>
            <w:noWrap/>
            <w:vAlign w:val="bottom"/>
          </w:tcPr>
          <w:p w14:paraId="2B56BEA4"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33.28±0.66</w:t>
            </w:r>
          </w:p>
        </w:tc>
        <w:tc>
          <w:tcPr>
            <w:tcW w:w="1984" w:type="dxa"/>
            <w:tcBorders>
              <w:top w:val="single" w:sz="4" w:space="0" w:color="auto"/>
              <w:left w:val="nil"/>
              <w:bottom w:val="single" w:sz="4" w:space="0" w:color="auto"/>
              <w:right w:val="single" w:sz="4" w:space="0" w:color="auto"/>
            </w:tcBorders>
            <w:vAlign w:val="bottom"/>
          </w:tcPr>
          <w:p w14:paraId="39DC585E"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35.35±1.97</w:t>
            </w:r>
          </w:p>
        </w:tc>
        <w:tc>
          <w:tcPr>
            <w:tcW w:w="1304" w:type="dxa"/>
            <w:tcBorders>
              <w:top w:val="single" w:sz="4" w:space="0" w:color="auto"/>
              <w:left w:val="single" w:sz="4" w:space="0" w:color="auto"/>
              <w:bottom w:val="single" w:sz="4" w:space="0" w:color="auto"/>
              <w:right w:val="single" w:sz="4" w:space="0" w:color="auto"/>
            </w:tcBorders>
          </w:tcPr>
          <w:p w14:paraId="5536F03B"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ns</w:t>
            </w:r>
          </w:p>
        </w:tc>
      </w:tr>
      <w:tr w:rsidR="007D4B6E" w:rsidRPr="007F726C" w14:paraId="2008D0F2"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vAlign w:val="bottom"/>
          </w:tcPr>
          <w:p w14:paraId="303AFB7E"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AFC</w:t>
            </w:r>
          </w:p>
        </w:tc>
        <w:tc>
          <w:tcPr>
            <w:tcW w:w="1984" w:type="dxa"/>
            <w:tcBorders>
              <w:top w:val="nil"/>
              <w:left w:val="nil"/>
              <w:bottom w:val="single" w:sz="4" w:space="0" w:color="auto"/>
              <w:right w:val="single" w:sz="4" w:space="0" w:color="auto"/>
            </w:tcBorders>
            <w:shd w:val="clear" w:color="auto" w:fill="auto"/>
            <w:noWrap/>
            <w:vAlign w:val="bottom"/>
          </w:tcPr>
          <w:p w14:paraId="61CEE1D8"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31.0 ±18.02</w:t>
            </w:r>
          </w:p>
        </w:tc>
        <w:tc>
          <w:tcPr>
            <w:tcW w:w="1984" w:type="dxa"/>
            <w:tcBorders>
              <w:top w:val="single" w:sz="4" w:space="0" w:color="auto"/>
              <w:left w:val="nil"/>
              <w:bottom w:val="single" w:sz="4" w:space="0" w:color="auto"/>
              <w:right w:val="single" w:sz="4" w:space="0" w:color="auto"/>
            </w:tcBorders>
            <w:vAlign w:val="bottom"/>
          </w:tcPr>
          <w:p w14:paraId="58BB09D6"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11.5 ± 6.34 (n=2)</w:t>
            </w:r>
          </w:p>
        </w:tc>
        <w:tc>
          <w:tcPr>
            <w:tcW w:w="1304" w:type="dxa"/>
            <w:tcBorders>
              <w:top w:val="single" w:sz="4" w:space="0" w:color="auto"/>
              <w:left w:val="single" w:sz="4" w:space="0" w:color="auto"/>
              <w:bottom w:val="single" w:sz="4" w:space="0" w:color="auto"/>
              <w:right w:val="single" w:sz="4" w:space="0" w:color="auto"/>
            </w:tcBorders>
          </w:tcPr>
          <w:p w14:paraId="1A7545F0"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ns</w:t>
            </w:r>
          </w:p>
        </w:tc>
      </w:tr>
      <w:tr w:rsidR="007D4B6E" w:rsidRPr="007F726C" w14:paraId="7840C2D0"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vAlign w:val="bottom"/>
          </w:tcPr>
          <w:p w14:paraId="0D4495B4"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AMH</w:t>
            </w:r>
          </w:p>
        </w:tc>
        <w:tc>
          <w:tcPr>
            <w:tcW w:w="1984" w:type="dxa"/>
            <w:tcBorders>
              <w:top w:val="nil"/>
              <w:left w:val="nil"/>
              <w:bottom w:val="single" w:sz="4" w:space="0" w:color="auto"/>
              <w:right w:val="single" w:sz="4" w:space="0" w:color="auto"/>
            </w:tcBorders>
            <w:shd w:val="clear" w:color="auto" w:fill="auto"/>
            <w:noWrap/>
            <w:vAlign w:val="bottom"/>
          </w:tcPr>
          <w:p w14:paraId="1B2FE04D"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3.25±1.64</w:t>
            </w:r>
          </w:p>
        </w:tc>
        <w:tc>
          <w:tcPr>
            <w:tcW w:w="1984" w:type="dxa"/>
            <w:tcBorders>
              <w:top w:val="single" w:sz="4" w:space="0" w:color="auto"/>
              <w:left w:val="nil"/>
              <w:bottom w:val="single" w:sz="4" w:space="0" w:color="auto"/>
              <w:right w:val="single" w:sz="4" w:space="0" w:color="auto"/>
            </w:tcBorders>
            <w:vAlign w:val="bottom"/>
          </w:tcPr>
          <w:p w14:paraId="16BCAF82"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3.02±1.60</w:t>
            </w:r>
          </w:p>
        </w:tc>
        <w:tc>
          <w:tcPr>
            <w:tcW w:w="1304" w:type="dxa"/>
            <w:tcBorders>
              <w:top w:val="single" w:sz="4" w:space="0" w:color="auto"/>
              <w:left w:val="single" w:sz="4" w:space="0" w:color="auto"/>
              <w:bottom w:val="single" w:sz="4" w:space="0" w:color="auto"/>
              <w:right w:val="single" w:sz="4" w:space="0" w:color="auto"/>
            </w:tcBorders>
          </w:tcPr>
          <w:p w14:paraId="5FA5D748"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ns</w:t>
            </w:r>
          </w:p>
        </w:tc>
      </w:tr>
      <w:tr w:rsidR="007D4B6E" w:rsidRPr="007F726C" w14:paraId="3D8DBAF9"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vAlign w:val="bottom"/>
          </w:tcPr>
          <w:p w14:paraId="677EA7B6"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r w:rsidRPr="00A92FF9">
              <w:rPr>
                <w:rFonts w:ascii="Calibri" w:eastAsia="Times New Roman" w:hAnsi="Calibri" w:cs="Calibri"/>
                <w:color w:val="000000"/>
                <w:sz w:val="24"/>
                <w:szCs w:val="24"/>
                <w:lang w:val="en-US" w:eastAsia="fr-FR"/>
              </w:rPr>
              <w:t xml:space="preserve">Number of previous </w:t>
            </w:r>
            <w:r>
              <w:rPr>
                <w:rFonts w:ascii="Calibri" w:eastAsia="Times New Roman" w:hAnsi="Calibri" w:cs="Calibri"/>
                <w:color w:val="000000"/>
                <w:sz w:val="24"/>
                <w:szCs w:val="24"/>
                <w:lang w:val="en-US" w:eastAsia="fr-FR"/>
              </w:rPr>
              <w:t xml:space="preserve">early </w:t>
            </w:r>
            <w:r w:rsidRPr="00A92FF9">
              <w:rPr>
                <w:rFonts w:ascii="Calibri" w:eastAsia="Times New Roman" w:hAnsi="Calibri" w:cs="Calibri"/>
                <w:color w:val="000000"/>
                <w:sz w:val="24"/>
                <w:szCs w:val="24"/>
                <w:lang w:val="en-US" w:eastAsia="fr-FR"/>
              </w:rPr>
              <w:t>pregnancy lo</w:t>
            </w:r>
            <w:r>
              <w:rPr>
                <w:rFonts w:ascii="Calibri" w:eastAsia="Times New Roman" w:hAnsi="Calibri" w:cs="Calibri"/>
                <w:color w:val="000000"/>
                <w:sz w:val="24"/>
                <w:szCs w:val="24"/>
                <w:lang w:val="en-US" w:eastAsia="fr-FR"/>
              </w:rPr>
              <w:t>ss</w:t>
            </w:r>
          </w:p>
        </w:tc>
        <w:tc>
          <w:tcPr>
            <w:tcW w:w="1984" w:type="dxa"/>
            <w:tcBorders>
              <w:top w:val="nil"/>
              <w:left w:val="nil"/>
              <w:bottom w:val="single" w:sz="4" w:space="0" w:color="auto"/>
              <w:right w:val="single" w:sz="4" w:space="0" w:color="auto"/>
            </w:tcBorders>
            <w:shd w:val="clear" w:color="auto" w:fill="auto"/>
            <w:noWrap/>
            <w:vAlign w:val="bottom"/>
          </w:tcPr>
          <w:p w14:paraId="00F4DE97"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7.25</w:t>
            </w:r>
          </w:p>
        </w:tc>
        <w:tc>
          <w:tcPr>
            <w:tcW w:w="1984" w:type="dxa"/>
            <w:tcBorders>
              <w:top w:val="single" w:sz="4" w:space="0" w:color="auto"/>
              <w:left w:val="nil"/>
              <w:bottom w:val="single" w:sz="4" w:space="0" w:color="auto"/>
              <w:right w:val="single" w:sz="4" w:space="0" w:color="auto"/>
            </w:tcBorders>
            <w:vAlign w:val="bottom"/>
          </w:tcPr>
          <w:p w14:paraId="4D0C08CB"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6.75</w:t>
            </w:r>
          </w:p>
        </w:tc>
        <w:tc>
          <w:tcPr>
            <w:tcW w:w="1304" w:type="dxa"/>
            <w:tcBorders>
              <w:top w:val="single" w:sz="4" w:space="0" w:color="auto"/>
              <w:left w:val="single" w:sz="4" w:space="0" w:color="auto"/>
              <w:bottom w:val="single" w:sz="4" w:space="0" w:color="auto"/>
              <w:right w:val="single" w:sz="4" w:space="0" w:color="auto"/>
            </w:tcBorders>
          </w:tcPr>
          <w:p w14:paraId="61BA2797"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ns</w:t>
            </w:r>
          </w:p>
        </w:tc>
      </w:tr>
      <w:tr w:rsidR="007D4B6E" w:rsidRPr="007F726C" w14:paraId="6F834DFA"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tcPr>
          <w:p w14:paraId="014ACA9D" w14:textId="77777777" w:rsidR="007D4B6E" w:rsidRPr="0079786B" w:rsidRDefault="007D4B6E" w:rsidP="000120C2">
            <w:pPr>
              <w:spacing w:after="0" w:line="276" w:lineRule="auto"/>
              <w:rPr>
                <w:rFonts w:ascii="Calibri" w:eastAsia="Times New Roman" w:hAnsi="Calibri" w:cs="Calibri"/>
                <w:color w:val="000000"/>
                <w:sz w:val="24"/>
                <w:szCs w:val="24"/>
                <w:lang w:val="en-US" w:eastAsia="fr-FR"/>
              </w:rPr>
            </w:pPr>
            <w:r w:rsidRPr="0079786B">
              <w:rPr>
                <w:rFonts w:ascii="Calibri" w:eastAsia="Times New Roman" w:hAnsi="Calibri" w:cs="Calibri"/>
                <w:color w:val="000000"/>
                <w:sz w:val="24"/>
                <w:szCs w:val="24"/>
                <w:lang w:val="en-US" w:eastAsia="fr-FR"/>
              </w:rPr>
              <w:t>Number of cycles of IL2 received: mean</w:t>
            </w:r>
          </w:p>
          <w:p w14:paraId="2D4B8895"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r w:rsidRPr="0079786B">
              <w:rPr>
                <w:rFonts w:ascii="Calibri" w:eastAsia="Times New Roman" w:hAnsi="Calibri" w:cs="Calibri"/>
                <w:color w:val="000000"/>
                <w:sz w:val="24"/>
                <w:szCs w:val="24"/>
                <w:lang w:val="en-US" w:eastAsia="fr-FR"/>
              </w:rPr>
              <w:t xml:space="preserve">                                                            (range)</w:t>
            </w:r>
          </w:p>
        </w:tc>
        <w:tc>
          <w:tcPr>
            <w:tcW w:w="1984" w:type="dxa"/>
            <w:tcBorders>
              <w:top w:val="nil"/>
              <w:left w:val="nil"/>
              <w:bottom w:val="single" w:sz="4" w:space="0" w:color="auto"/>
              <w:right w:val="single" w:sz="4" w:space="0" w:color="auto"/>
            </w:tcBorders>
            <w:shd w:val="clear" w:color="auto" w:fill="auto"/>
            <w:noWrap/>
            <w:vAlign w:val="bottom"/>
          </w:tcPr>
          <w:p w14:paraId="45C381AA"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val="en-US" w:eastAsia="fr-FR"/>
              </w:rPr>
              <w:t>1.75</w:t>
            </w:r>
            <w:r>
              <w:rPr>
                <w:rFonts w:ascii="Calibri" w:eastAsia="Times New Roman" w:hAnsi="Calibri" w:cs="Calibri"/>
                <w:color w:val="000000"/>
                <w:sz w:val="24"/>
                <w:szCs w:val="24"/>
                <w:lang w:eastAsia="fr-FR"/>
              </w:rPr>
              <w:t>±0.5</w:t>
            </w:r>
          </w:p>
          <w:p w14:paraId="78522B50" w14:textId="77777777" w:rsidR="007D4B6E" w:rsidRPr="00A23814"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eastAsia="fr-FR"/>
              </w:rPr>
              <w:t>(1-2)</w:t>
            </w:r>
          </w:p>
        </w:tc>
        <w:tc>
          <w:tcPr>
            <w:tcW w:w="1984" w:type="dxa"/>
            <w:tcBorders>
              <w:top w:val="single" w:sz="4" w:space="0" w:color="auto"/>
              <w:left w:val="nil"/>
              <w:bottom w:val="single" w:sz="4" w:space="0" w:color="auto"/>
              <w:right w:val="single" w:sz="4" w:space="0" w:color="auto"/>
            </w:tcBorders>
            <w:vAlign w:val="bottom"/>
          </w:tcPr>
          <w:p w14:paraId="0354886A"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val="en-US" w:eastAsia="fr-FR"/>
              </w:rPr>
              <w:t>1.75</w:t>
            </w:r>
            <w:r>
              <w:rPr>
                <w:rFonts w:ascii="Calibri" w:eastAsia="Times New Roman" w:hAnsi="Calibri" w:cs="Calibri"/>
                <w:color w:val="000000"/>
                <w:sz w:val="24"/>
                <w:szCs w:val="24"/>
                <w:lang w:eastAsia="fr-FR"/>
              </w:rPr>
              <w:t>±0.5</w:t>
            </w:r>
          </w:p>
          <w:p w14:paraId="5D01F0CB" w14:textId="77777777" w:rsidR="007D4B6E" w:rsidRPr="00A23814"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eastAsia="fr-FR"/>
              </w:rPr>
              <w:t>(1-2)</w:t>
            </w:r>
          </w:p>
        </w:tc>
        <w:tc>
          <w:tcPr>
            <w:tcW w:w="1304" w:type="dxa"/>
            <w:tcBorders>
              <w:top w:val="single" w:sz="4" w:space="0" w:color="auto"/>
              <w:left w:val="single" w:sz="4" w:space="0" w:color="auto"/>
              <w:bottom w:val="single" w:sz="4" w:space="0" w:color="auto"/>
              <w:right w:val="single" w:sz="4" w:space="0" w:color="auto"/>
            </w:tcBorders>
          </w:tcPr>
          <w:p w14:paraId="2E7F94FC"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ns</w:t>
            </w:r>
          </w:p>
        </w:tc>
      </w:tr>
      <w:tr w:rsidR="007D4B6E" w:rsidRPr="007F726C" w14:paraId="1759CE35"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tcPr>
          <w:p w14:paraId="1B536622" w14:textId="77777777" w:rsidR="007D4B6E" w:rsidRPr="00A23814" w:rsidRDefault="007D4B6E" w:rsidP="000120C2">
            <w:pPr>
              <w:spacing w:after="0" w:line="276" w:lineRule="auto"/>
              <w:rPr>
                <w:rFonts w:ascii="Calibri" w:eastAsia="Times New Roman" w:hAnsi="Calibri" w:cs="Calibri"/>
                <w:color w:val="000000"/>
                <w:sz w:val="24"/>
                <w:szCs w:val="24"/>
                <w:lang w:val="en-US" w:eastAsia="fr-FR"/>
              </w:rPr>
            </w:pPr>
            <w:r w:rsidRPr="00A23814">
              <w:rPr>
                <w:rFonts w:ascii="Calibri" w:eastAsia="Times New Roman" w:hAnsi="Calibri" w:cs="Calibri"/>
                <w:color w:val="000000"/>
                <w:sz w:val="24"/>
                <w:szCs w:val="24"/>
                <w:lang w:val="en-US" w:eastAsia="fr-FR"/>
              </w:rPr>
              <w:t>Total dose of IL2 received (MIU): mean</w:t>
            </w:r>
          </w:p>
          <w:p w14:paraId="6981F8FF"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r w:rsidRPr="00A23814">
              <w:rPr>
                <w:rFonts w:ascii="Calibri" w:eastAsia="Times New Roman" w:hAnsi="Calibri" w:cs="Calibri"/>
                <w:color w:val="000000"/>
                <w:sz w:val="24"/>
                <w:szCs w:val="24"/>
                <w:lang w:val="en-US" w:eastAsia="fr-FR"/>
              </w:rPr>
              <w:t xml:space="preserve">                                                          (range)</w:t>
            </w:r>
          </w:p>
        </w:tc>
        <w:tc>
          <w:tcPr>
            <w:tcW w:w="1984" w:type="dxa"/>
            <w:tcBorders>
              <w:top w:val="nil"/>
              <w:left w:val="nil"/>
              <w:bottom w:val="single" w:sz="4" w:space="0" w:color="auto"/>
              <w:right w:val="single" w:sz="4" w:space="0" w:color="auto"/>
            </w:tcBorders>
            <w:shd w:val="clear" w:color="auto" w:fill="auto"/>
            <w:noWrap/>
            <w:vAlign w:val="bottom"/>
          </w:tcPr>
          <w:p w14:paraId="3A3A35E3"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val="en-US" w:eastAsia="fr-FR"/>
              </w:rPr>
              <w:t>17.13</w:t>
            </w:r>
            <w:r>
              <w:rPr>
                <w:rFonts w:ascii="Calibri" w:eastAsia="Times New Roman" w:hAnsi="Calibri" w:cs="Calibri"/>
                <w:color w:val="000000"/>
                <w:sz w:val="24"/>
                <w:szCs w:val="24"/>
                <w:lang w:eastAsia="fr-FR"/>
              </w:rPr>
              <w:t>±9.06</w:t>
            </w:r>
          </w:p>
          <w:p w14:paraId="66322AD7" w14:textId="77777777" w:rsidR="007D4B6E" w:rsidRPr="00A23814"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(9-30)</w:t>
            </w:r>
          </w:p>
        </w:tc>
        <w:tc>
          <w:tcPr>
            <w:tcW w:w="1984" w:type="dxa"/>
            <w:tcBorders>
              <w:top w:val="single" w:sz="4" w:space="0" w:color="auto"/>
              <w:left w:val="nil"/>
              <w:bottom w:val="single" w:sz="4" w:space="0" w:color="auto"/>
              <w:right w:val="single" w:sz="4" w:space="0" w:color="auto"/>
            </w:tcBorders>
            <w:vAlign w:val="bottom"/>
          </w:tcPr>
          <w:p w14:paraId="2DA27118"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val="en-US" w:eastAsia="fr-FR"/>
              </w:rPr>
              <w:t>24.0</w:t>
            </w:r>
            <w:r>
              <w:rPr>
                <w:rFonts w:ascii="Calibri" w:eastAsia="Times New Roman" w:hAnsi="Calibri" w:cs="Calibri"/>
                <w:color w:val="000000"/>
                <w:sz w:val="24"/>
                <w:szCs w:val="24"/>
                <w:lang w:eastAsia="fr-FR"/>
              </w:rPr>
              <w:t xml:space="preserve"> ±7.3</w:t>
            </w:r>
          </w:p>
          <w:p w14:paraId="4BD96A47" w14:textId="77777777" w:rsidR="007D4B6E" w:rsidRPr="00A23814"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eastAsia="fr-FR"/>
              </w:rPr>
              <w:t>(15-30)</w:t>
            </w:r>
          </w:p>
        </w:tc>
        <w:tc>
          <w:tcPr>
            <w:tcW w:w="1304" w:type="dxa"/>
            <w:tcBorders>
              <w:top w:val="single" w:sz="4" w:space="0" w:color="auto"/>
              <w:left w:val="single" w:sz="4" w:space="0" w:color="auto"/>
              <w:bottom w:val="single" w:sz="4" w:space="0" w:color="auto"/>
              <w:right w:val="single" w:sz="4" w:space="0" w:color="auto"/>
            </w:tcBorders>
          </w:tcPr>
          <w:p w14:paraId="6ECF0759"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ns</w:t>
            </w:r>
          </w:p>
        </w:tc>
      </w:tr>
      <w:tr w:rsidR="007D4B6E" w:rsidRPr="007F726C" w14:paraId="25CD52F7"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vAlign w:val="bottom"/>
          </w:tcPr>
          <w:p w14:paraId="6B4877E1" w14:textId="77777777" w:rsidR="007D4B6E" w:rsidRDefault="007D4B6E" w:rsidP="000120C2">
            <w:pPr>
              <w:spacing w:after="0" w:line="276" w:lineRule="auto"/>
              <w:rPr>
                <w:rFonts w:ascii="Calibri" w:eastAsia="Times New Roman" w:hAnsi="Calibri" w:cs="Calibri"/>
                <w:color w:val="000000"/>
                <w:sz w:val="24"/>
                <w:szCs w:val="24"/>
                <w:lang w:val="en-US" w:eastAsia="fr-FR"/>
              </w:rPr>
            </w:pPr>
            <w:r w:rsidRPr="007F726C">
              <w:rPr>
                <w:rFonts w:ascii="Calibri" w:eastAsia="Times New Roman" w:hAnsi="Calibri" w:cs="Calibri"/>
                <w:color w:val="000000"/>
                <w:sz w:val="24"/>
                <w:szCs w:val="24"/>
                <w:lang w:val="en-US" w:eastAsia="fr-FR"/>
              </w:rPr>
              <w:t>Treg</w:t>
            </w:r>
            <w:r w:rsidRPr="000942FA">
              <w:rPr>
                <w:rFonts w:ascii="Calibri" w:eastAsia="Times New Roman" w:hAnsi="Calibri" w:cs="Calibri"/>
                <w:color w:val="000000"/>
                <w:sz w:val="24"/>
                <w:szCs w:val="24"/>
                <w:lang w:val="en-US" w:eastAsia="fr-FR"/>
              </w:rPr>
              <w:t>s</w:t>
            </w:r>
            <w:r w:rsidRPr="007F726C">
              <w:rPr>
                <w:rFonts w:ascii="Calibri" w:eastAsia="Times New Roman" w:hAnsi="Calibri" w:cs="Calibri"/>
                <w:color w:val="000000"/>
                <w:sz w:val="24"/>
                <w:szCs w:val="24"/>
                <w:lang w:val="en-US" w:eastAsia="fr-FR"/>
              </w:rPr>
              <w:t xml:space="preserve"> at </w:t>
            </w:r>
            <w:r>
              <w:rPr>
                <w:rFonts w:ascii="Calibri" w:eastAsia="Times New Roman" w:hAnsi="Calibri" w:cs="Calibri"/>
                <w:color w:val="000000"/>
                <w:sz w:val="24"/>
                <w:szCs w:val="24"/>
                <w:lang w:val="en-US" w:eastAsia="fr-FR"/>
              </w:rPr>
              <w:t>Baseline</w:t>
            </w:r>
            <w:r w:rsidRPr="000942FA">
              <w:rPr>
                <w:rFonts w:ascii="Calibri" w:eastAsia="Times New Roman" w:hAnsi="Calibri" w:cs="Calibri"/>
                <w:color w:val="000000"/>
                <w:sz w:val="24"/>
                <w:szCs w:val="24"/>
                <w:lang w:val="en-US" w:eastAsia="fr-FR"/>
              </w:rPr>
              <w:t xml:space="preserve"> (mean ± sd; range)</w:t>
            </w:r>
          </w:p>
          <w:p w14:paraId="562BEE85" w14:textId="77777777" w:rsidR="007D4B6E" w:rsidRPr="007F726C" w:rsidRDefault="007D4B6E" w:rsidP="000120C2">
            <w:pPr>
              <w:spacing w:after="0" w:line="276" w:lineRule="auto"/>
              <w:rPr>
                <w:rFonts w:ascii="Calibri" w:eastAsia="Times New Roman" w:hAnsi="Calibri" w:cs="Calibri"/>
                <w:color w:val="000000"/>
                <w:sz w:val="24"/>
                <w:szCs w:val="24"/>
                <w:lang w:val="en-US" w:eastAsia="fr-FR"/>
              </w:rPr>
            </w:pPr>
          </w:p>
        </w:tc>
        <w:tc>
          <w:tcPr>
            <w:tcW w:w="1984" w:type="dxa"/>
            <w:tcBorders>
              <w:top w:val="nil"/>
              <w:left w:val="nil"/>
              <w:bottom w:val="single" w:sz="4" w:space="0" w:color="auto"/>
              <w:right w:val="single" w:sz="4" w:space="0" w:color="auto"/>
            </w:tcBorders>
            <w:shd w:val="clear" w:color="auto" w:fill="auto"/>
            <w:noWrap/>
            <w:vAlign w:val="bottom"/>
          </w:tcPr>
          <w:p w14:paraId="6E6A40DA"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sidRPr="000942FA">
              <w:rPr>
                <w:rFonts w:ascii="Calibri" w:eastAsia="Times New Roman" w:hAnsi="Calibri" w:cs="Calibri"/>
                <w:color w:val="000000"/>
                <w:sz w:val="24"/>
                <w:szCs w:val="24"/>
                <w:lang w:eastAsia="fr-FR"/>
              </w:rPr>
              <w:t>8.16±2.82</w:t>
            </w:r>
          </w:p>
          <w:p w14:paraId="7D46D18B"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(5.07-9.91)</w:t>
            </w:r>
          </w:p>
        </w:tc>
        <w:tc>
          <w:tcPr>
            <w:tcW w:w="1984" w:type="dxa"/>
            <w:tcBorders>
              <w:top w:val="single" w:sz="4" w:space="0" w:color="auto"/>
              <w:left w:val="nil"/>
              <w:bottom w:val="single" w:sz="4" w:space="0" w:color="auto"/>
              <w:right w:val="single" w:sz="4" w:space="0" w:color="auto"/>
            </w:tcBorders>
            <w:vAlign w:val="bottom"/>
          </w:tcPr>
          <w:p w14:paraId="20E1C67F"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sidRPr="000942FA">
              <w:rPr>
                <w:rFonts w:ascii="Calibri" w:eastAsia="Times New Roman" w:hAnsi="Calibri" w:cs="Calibri"/>
                <w:color w:val="000000"/>
                <w:sz w:val="24"/>
                <w:szCs w:val="24"/>
                <w:lang w:eastAsia="fr-FR"/>
              </w:rPr>
              <w:t>7.41±1.19</w:t>
            </w:r>
          </w:p>
          <w:p w14:paraId="1088B980"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(6.0-8.89)</w:t>
            </w:r>
          </w:p>
        </w:tc>
        <w:tc>
          <w:tcPr>
            <w:tcW w:w="1304" w:type="dxa"/>
            <w:tcBorders>
              <w:top w:val="single" w:sz="4" w:space="0" w:color="auto"/>
              <w:left w:val="single" w:sz="4" w:space="0" w:color="auto"/>
              <w:bottom w:val="single" w:sz="4" w:space="0" w:color="auto"/>
              <w:right w:val="single" w:sz="4" w:space="0" w:color="auto"/>
            </w:tcBorders>
          </w:tcPr>
          <w:p w14:paraId="6841224A"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ns</w:t>
            </w:r>
          </w:p>
        </w:tc>
      </w:tr>
      <w:tr w:rsidR="007D4B6E" w:rsidRPr="007F726C" w14:paraId="767E135B"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hideMark/>
          </w:tcPr>
          <w:p w14:paraId="50F49EA7" w14:textId="77777777" w:rsidR="007D4B6E" w:rsidRPr="00694A18" w:rsidRDefault="007D4B6E" w:rsidP="000120C2">
            <w:pPr>
              <w:spacing w:after="0" w:line="276" w:lineRule="auto"/>
              <w:rPr>
                <w:rFonts w:ascii="Calibri" w:eastAsia="Times New Roman" w:hAnsi="Calibri" w:cs="Calibri"/>
                <w:color w:val="000000"/>
                <w:sz w:val="24"/>
                <w:szCs w:val="24"/>
                <w:lang w:val="en-US" w:eastAsia="fr-FR"/>
              </w:rPr>
            </w:pPr>
            <w:r w:rsidRPr="00694A18">
              <w:rPr>
                <w:rFonts w:ascii="Calibri" w:eastAsia="Times New Roman" w:hAnsi="Calibri" w:cs="Calibri"/>
                <w:color w:val="000000"/>
                <w:sz w:val="24"/>
                <w:szCs w:val="24"/>
                <w:lang w:val="en-US" w:eastAsia="fr-FR"/>
              </w:rPr>
              <w:t xml:space="preserve">Tregs at entry in the first IL-2 cycle </w:t>
            </w:r>
          </w:p>
          <w:p w14:paraId="53774D1A" w14:textId="77777777" w:rsidR="007D4B6E" w:rsidRPr="002955D3" w:rsidRDefault="007D4B6E" w:rsidP="000120C2">
            <w:pPr>
              <w:spacing w:after="0" w:line="276" w:lineRule="auto"/>
              <w:rPr>
                <w:rFonts w:ascii="Calibri" w:eastAsia="Times New Roman" w:hAnsi="Calibri" w:cs="Calibri"/>
                <w:color w:val="000000"/>
                <w:sz w:val="24"/>
                <w:szCs w:val="24"/>
                <w:lang w:val="en-US" w:eastAsia="fr-FR"/>
              </w:rPr>
            </w:pPr>
            <w:r w:rsidRPr="00694A18">
              <w:rPr>
                <w:rFonts w:ascii="Calibri" w:eastAsia="Times New Roman" w:hAnsi="Calibri" w:cs="Calibri"/>
                <w:color w:val="000000"/>
                <w:sz w:val="24"/>
                <w:szCs w:val="24"/>
                <w:lang w:val="en-US" w:eastAsia="fr-FR"/>
              </w:rPr>
              <w:t>(mean ± sd; range)</w:t>
            </w:r>
          </w:p>
        </w:tc>
        <w:tc>
          <w:tcPr>
            <w:tcW w:w="1984" w:type="dxa"/>
            <w:tcBorders>
              <w:top w:val="nil"/>
              <w:left w:val="nil"/>
              <w:bottom w:val="single" w:sz="4" w:space="0" w:color="auto"/>
              <w:right w:val="single" w:sz="4" w:space="0" w:color="auto"/>
            </w:tcBorders>
            <w:shd w:val="clear" w:color="auto" w:fill="auto"/>
            <w:noWrap/>
            <w:vAlign w:val="center"/>
            <w:hideMark/>
          </w:tcPr>
          <w:p w14:paraId="22D5AF85"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p>
          <w:p w14:paraId="7ABB4952"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sidRPr="000942FA">
              <w:rPr>
                <w:rFonts w:ascii="Calibri" w:eastAsia="Times New Roman" w:hAnsi="Calibri" w:cs="Calibri"/>
                <w:color w:val="000000"/>
                <w:sz w:val="24"/>
                <w:szCs w:val="24"/>
                <w:lang w:eastAsia="fr-FR"/>
              </w:rPr>
              <w:t>8.43</w:t>
            </w:r>
            <w:bookmarkStart w:id="1" w:name="OLE_LINK3"/>
            <w:r w:rsidRPr="000942FA">
              <w:rPr>
                <w:rFonts w:ascii="Calibri" w:eastAsia="Times New Roman" w:hAnsi="Calibri" w:cs="Calibri"/>
                <w:color w:val="000000"/>
                <w:sz w:val="24"/>
                <w:szCs w:val="24"/>
                <w:lang w:eastAsia="fr-FR"/>
              </w:rPr>
              <w:t>±</w:t>
            </w:r>
            <w:bookmarkEnd w:id="1"/>
            <w:r w:rsidRPr="000942FA">
              <w:rPr>
                <w:rFonts w:ascii="Calibri" w:eastAsia="Times New Roman" w:hAnsi="Calibri" w:cs="Calibri"/>
                <w:color w:val="000000"/>
                <w:sz w:val="24"/>
                <w:szCs w:val="24"/>
                <w:lang w:eastAsia="fr-FR"/>
              </w:rPr>
              <w:t>1.58</w:t>
            </w:r>
          </w:p>
          <w:p w14:paraId="7DF8BDFB" w14:textId="77777777" w:rsidR="007D4B6E" w:rsidRPr="007F726C"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(6.64-10.47)</w:t>
            </w:r>
          </w:p>
        </w:tc>
        <w:tc>
          <w:tcPr>
            <w:tcW w:w="1984" w:type="dxa"/>
            <w:tcBorders>
              <w:top w:val="single" w:sz="4" w:space="0" w:color="auto"/>
              <w:left w:val="nil"/>
              <w:bottom w:val="single" w:sz="4" w:space="0" w:color="auto"/>
              <w:right w:val="single" w:sz="4" w:space="0" w:color="auto"/>
            </w:tcBorders>
            <w:vAlign w:val="center"/>
          </w:tcPr>
          <w:p w14:paraId="4A9D354D" w14:textId="77777777" w:rsidR="007D4B6E" w:rsidRPr="00753EA2" w:rsidRDefault="007D4B6E" w:rsidP="000120C2">
            <w:pPr>
              <w:spacing w:after="0" w:line="276" w:lineRule="auto"/>
              <w:jc w:val="center"/>
              <w:rPr>
                <w:rFonts w:ascii="Calibri" w:eastAsia="Times New Roman" w:hAnsi="Calibri" w:cs="Calibri"/>
                <w:color w:val="000000"/>
                <w:sz w:val="24"/>
                <w:szCs w:val="24"/>
                <w:lang w:val="en-US" w:eastAsia="fr-FR"/>
              </w:rPr>
            </w:pPr>
          </w:p>
          <w:p w14:paraId="0C12B334" w14:textId="77777777" w:rsidR="007D4B6E" w:rsidRDefault="007D4B6E" w:rsidP="000120C2">
            <w:pPr>
              <w:spacing w:after="0" w:line="276" w:lineRule="auto"/>
              <w:jc w:val="center"/>
              <w:rPr>
                <w:rFonts w:ascii="Calibri" w:eastAsia="Times New Roman" w:hAnsi="Calibri" w:cs="Calibri"/>
                <w:color w:val="000000"/>
                <w:sz w:val="24"/>
                <w:szCs w:val="24"/>
                <w:lang w:eastAsia="fr-FR"/>
              </w:rPr>
            </w:pPr>
            <w:r w:rsidRPr="000942FA">
              <w:rPr>
                <w:rFonts w:ascii="Calibri" w:eastAsia="Times New Roman" w:hAnsi="Calibri" w:cs="Calibri"/>
                <w:color w:val="000000"/>
                <w:sz w:val="24"/>
                <w:szCs w:val="24"/>
                <w:lang w:eastAsia="fr-FR"/>
              </w:rPr>
              <w:t>7.32±1.33</w:t>
            </w:r>
          </w:p>
          <w:p w14:paraId="44717867" w14:textId="77777777" w:rsidR="007D4B6E" w:rsidRPr="000942FA"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(5.61-8.67)</w:t>
            </w:r>
          </w:p>
        </w:tc>
        <w:tc>
          <w:tcPr>
            <w:tcW w:w="1304" w:type="dxa"/>
            <w:tcBorders>
              <w:top w:val="single" w:sz="4" w:space="0" w:color="auto"/>
              <w:left w:val="single" w:sz="4" w:space="0" w:color="auto"/>
              <w:bottom w:val="single" w:sz="4" w:space="0" w:color="auto"/>
              <w:right w:val="single" w:sz="4" w:space="0" w:color="auto"/>
            </w:tcBorders>
          </w:tcPr>
          <w:p w14:paraId="5024EF31" w14:textId="77777777" w:rsidR="007D4B6E" w:rsidRDefault="007D4B6E" w:rsidP="000120C2">
            <w:pPr>
              <w:spacing w:after="0" w:line="276" w:lineRule="auto"/>
              <w:jc w:val="center"/>
              <w:rPr>
                <w:rFonts w:ascii="Calibri" w:eastAsia="Times New Roman" w:hAnsi="Calibri" w:cs="Calibri"/>
                <w:color w:val="000000"/>
                <w:sz w:val="24"/>
                <w:szCs w:val="24"/>
                <w:lang w:val="en-US" w:eastAsia="fr-FR"/>
              </w:rPr>
            </w:pPr>
          </w:p>
          <w:p w14:paraId="33F91A98" w14:textId="77777777" w:rsidR="007D4B6E" w:rsidRPr="00753EA2"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ns</w:t>
            </w:r>
          </w:p>
        </w:tc>
      </w:tr>
      <w:tr w:rsidR="007D4B6E" w:rsidRPr="007F726C" w14:paraId="01FEC412" w14:textId="77777777" w:rsidTr="000120C2">
        <w:trPr>
          <w:trHeight w:val="300"/>
        </w:trPr>
        <w:tc>
          <w:tcPr>
            <w:tcW w:w="4535" w:type="dxa"/>
            <w:tcBorders>
              <w:top w:val="nil"/>
              <w:left w:val="single" w:sz="4" w:space="0" w:color="auto"/>
              <w:bottom w:val="nil"/>
              <w:right w:val="single" w:sz="4" w:space="0" w:color="auto"/>
            </w:tcBorders>
            <w:shd w:val="clear" w:color="auto" w:fill="auto"/>
            <w:noWrap/>
            <w:vAlign w:val="bottom"/>
            <w:hideMark/>
          </w:tcPr>
          <w:p w14:paraId="5DB9779A" w14:textId="77777777" w:rsidR="007D4B6E" w:rsidRPr="00887E72" w:rsidRDefault="007D4B6E" w:rsidP="000120C2">
            <w:pPr>
              <w:spacing w:after="0" w:line="276" w:lineRule="auto"/>
              <w:rPr>
                <w:rFonts w:ascii="Calibri" w:eastAsia="Times New Roman" w:hAnsi="Calibri" w:cs="Calibri"/>
                <w:color w:val="000000"/>
                <w:sz w:val="24"/>
                <w:szCs w:val="24"/>
                <w:lang w:val="en-US" w:eastAsia="fr-FR"/>
              </w:rPr>
            </w:pPr>
            <w:r w:rsidRPr="00887E72">
              <w:rPr>
                <w:rFonts w:ascii="Calibri" w:eastAsia="Times New Roman" w:hAnsi="Calibri" w:cs="Calibri"/>
                <w:color w:val="000000"/>
                <w:sz w:val="24"/>
                <w:szCs w:val="24"/>
                <w:lang w:val="en-US" w:eastAsia="fr-FR"/>
              </w:rPr>
              <w:t>Tregs fold increase at day-8 of the first and second cycle (pooled values)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F2E3E5D" w14:textId="77777777" w:rsidR="007D4B6E" w:rsidRPr="002955D3" w:rsidRDefault="007D4B6E" w:rsidP="000120C2">
            <w:pPr>
              <w:spacing w:after="0" w:line="276" w:lineRule="auto"/>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1.81</w:t>
            </w:r>
            <w:r w:rsidRPr="000942FA">
              <w:rPr>
                <w:rFonts w:ascii="Calibri" w:eastAsia="Times New Roman" w:hAnsi="Calibri" w:cs="Calibri"/>
                <w:color w:val="000000"/>
                <w:sz w:val="24"/>
                <w:szCs w:val="24"/>
                <w:lang w:eastAsia="fr-FR"/>
              </w:rPr>
              <w:t>±</w:t>
            </w:r>
            <w:r>
              <w:rPr>
                <w:rFonts w:ascii="Calibri" w:eastAsia="Times New Roman" w:hAnsi="Calibri" w:cs="Calibri"/>
                <w:color w:val="000000"/>
                <w:sz w:val="24"/>
                <w:szCs w:val="24"/>
                <w:lang w:eastAsia="fr-FR"/>
              </w:rPr>
              <w:t>0.51</w:t>
            </w:r>
          </w:p>
        </w:tc>
        <w:tc>
          <w:tcPr>
            <w:tcW w:w="1984" w:type="dxa"/>
            <w:tcBorders>
              <w:top w:val="single" w:sz="4" w:space="0" w:color="auto"/>
              <w:left w:val="nil"/>
              <w:bottom w:val="single" w:sz="4" w:space="0" w:color="auto"/>
              <w:right w:val="single" w:sz="4" w:space="0" w:color="auto"/>
            </w:tcBorders>
            <w:vAlign w:val="bottom"/>
          </w:tcPr>
          <w:p w14:paraId="1C1B5373" w14:textId="77777777" w:rsidR="007D4B6E" w:rsidRPr="000942FA" w:rsidRDefault="007D4B6E" w:rsidP="000120C2">
            <w:pPr>
              <w:spacing w:after="0" w:line="276" w:lineRule="auto"/>
              <w:jc w:val="center"/>
              <w:rPr>
                <w:rFonts w:ascii="Calibri" w:eastAsia="Times New Roman" w:hAnsi="Calibri" w:cs="Calibri"/>
                <w:color w:val="000000"/>
                <w:sz w:val="24"/>
                <w:szCs w:val="24"/>
                <w:lang w:val="en-US" w:eastAsia="fr-FR"/>
              </w:rPr>
            </w:pPr>
            <w:r w:rsidRPr="000942FA">
              <w:rPr>
                <w:rFonts w:ascii="Calibri" w:eastAsia="Times New Roman" w:hAnsi="Calibri" w:cs="Calibri"/>
                <w:color w:val="000000"/>
                <w:sz w:val="24"/>
                <w:szCs w:val="24"/>
                <w:lang w:val="en-US" w:eastAsia="fr-FR"/>
              </w:rPr>
              <w:t>2.8</w:t>
            </w:r>
            <w:r>
              <w:rPr>
                <w:rFonts w:ascii="Calibri" w:eastAsia="Times New Roman" w:hAnsi="Calibri" w:cs="Calibri"/>
                <w:color w:val="000000"/>
                <w:sz w:val="24"/>
                <w:szCs w:val="24"/>
                <w:lang w:val="en-US" w:eastAsia="fr-FR"/>
              </w:rPr>
              <w:t>4</w:t>
            </w:r>
            <w:r w:rsidRPr="000942FA">
              <w:rPr>
                <w:rFonts w:ascii="Calibri" w:eastAsia="Times New Roman" w:hAnsi="Calibri" w:cs="Calibri"/>
                <w:color w:val="000000"/>
                <w:sz w:val="24"/>
                <w:szCs w:val="24"/>
                <w:lang w:eastAsia="fr-FR"/>
              </w:rPr>
              <w:t>±0.</w:t>
            </w:r>
            <w:r>
              <w:rPr>
                <w:rFonts w:ascii="Calibri" w:eastAsia="Times New Roman" w:hAnsi="Calibri" w:cs="Calibri"/>
                <w:color w:val="000000"/>
                <w:sz w:val="24"/>
                <w:szCs w:val="24"/>
                <w:lang w:eastAsia="fr-FR"/>
              </w:rPr>
              <w:t>51</w:t>
            </w:r>
          </w:p>
        </w:tc>
        <w:tc>
          <w:tcPr>
            <w:tcW w:w="1304" w:type="dxa"/>
            <w:tcBorders>
              <w:top w:val="single" w:sz="4" w:space="0" w:color="auto"/>
              <w:left w:val="single" w:sz="4" w:space="0" w:color="auto"/>
              <w:bottom w:val="single" w:sz="4" w:space="0" w:color="auto"/>
              <w:right w:val="single" w:sz="4" w:space="0" w:color="auto"/>
            </w:tcBorders>
          </w:tcPr>
          <w:p w14:paraId="5F5D1833" w14:textId="77777777" w:rsidR="007D4B6E" w:rsidRDefault="007D4B6E" w:rsidP="000120C2">
            <w:pPr>
              <w:spacing w:after="0" w:line="276" w:lineRule="auto"/>
              <w:jc w:val="center"/>
              <w:rPr>
                <w:rFonts w:ascii="Calibri" w:eastAsia="Times New Roman" w:hAnsi="Calibri" w:cs="Calibri"/>
                <w:color w:val="000000"/>
                <w:sz w:val="24"/>
                <w:szCs w:val="24"/>
                <w:lang w:val="en-US" w:eastAsia="fr-FR"/>
              </w:rPr>
            </w:pPr>
          </w:p>
          <w:p w14:paraId="117649ED" w14:textId="77777777" w:rsidR="007D4B6E" w:rsidRPr="000942FA"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0.03</w:t>
            </w:r>
          </w:p>
        </w:tc>
      </w:tr>
      <w:tr w:rsidR="007D4B6E" w:rsidRPr="00E06F27" w14:paraId="7BEEE01C" w14:textId="77777777" w:rsidTr="000120C2">
        <w:trPr>
          <w:trHeight w:val="300"/>
        </w:trPr>
        <w:tc>
          <w:tcPr>
            <w:tcW w:w="4535" w:type="dxa"/>
            <w:tcBorders>
              <w:top w:val="nil"/>
              <w:left w:val="single" w:sz="4" w:space="0" w:color="auto"/>
              <w:bottom w:val="single" w:sz="4" w:space="0" w:color="auto"/>
              <w:right w:val="single" w:sz="4" w:space="0" w:color="auto"/>
            </w:tcBorders>
            <w:shd w:val="clear" w:color="auto" w:fill="auto"/>
            <w:noWrap/>
            <w:vAlign w:val="bottom"/>
          </w:tcPr>
          <w:p w14:paraId="25B49825" w14:textId="77777777" w:rsidR="007D4B6E" w:rsidRPr="00887E72" w:rsidRDefault="007D4B6E" w:rsidP="000120C2">
            <w:pPr>
              <w:spacing w:after="0" w:line="276" w:lineRule="auto"/>
              <w:rPr>
                <w:rFonts w:ascii="Calibri" w:eastAsia="Times New Roman" w:hAnsi="Calibri" w:cs="Calibri"/>
                <w:color w:val="000000"/>
                <w:sz w:val="24"/>
                <w:szCs w:val="24"/>
                <w:lang w:val="en-US" w:eastAsia="fr-FR"/>
              </w:rPr>
            </w:pPr>
            <w:r w:rsidRPr="00887E72">
              <w:rPr>
                <w:rFonts w:ascii="Calibri" w:eastAsia="Times New Roman" w:hAnsi="Calibri" w:cs="Calibri"/>
                <w:color w:val="000000"/>
                <w:sz w:val="24"/>
                <w:szCs w:val="24"/>
                <w:lang w:val="en-US" w:eastAsia="fr-FR"/>
              </w:rPr>
              <w:t>Tregs fold increase at day-29 of the first and second cycle (pooled value)</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1C3D805D" w14:textId="77777777" w:rsidR="007D4B6E" w:rsidRPr="000942FA"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1.24±0.09</w:t>
            </w:r>
          </w:p>
        </w:tc>
        <w:tc>
          <w:tcPr>
            <w:tcW w:w="1984" w:type="dxa"/>
            <w:tcBorders>
              <w:top w:val="single" w:sz="4" w:space="0" w:color="auto"/>
              <w:left w:val="nil"/>
              <w:bottom w:val="single" w:sz="4" w:space="0" w:color="auto"/>
              <w:right w:val="single" w:sz="4" w:space="0" w:color="auto"/>
            </w:tcBorders>
            <w:vAlign w:val="bottom"/>
          </w:tcPr>
          <w:p w14:paraId="7E722DBF" w14:textId="77777777" w:rsidR="007D4B6E" w:rsidRPr="000942FA"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1.71±0.34</w:t>
            </w:r>
          </w:p>
        </w:tc>
        <w:tc>
          <w:tcPr>
            <w:tcW w:w="1304" w:type="dxa"/>
            <w:tcBorders>
              <w:top w:val="single" w:sz="4" w:space="0" w:color="auto"/>
              <w:left w:val="single" w:sz="4" w:space="0" w:color="auto"/>
              <w:bottom w:val="single" w:sz="4" w:space="0" w:color="auto"/>
              <w:right w:val="single" w:sz="4" w:space="0" w:color="auto"/>
            </w:tcBorders>
          </w:tcPr>
          <w:p w14:paraId="7D5200E7" w14:textId="77777777" w:rsidR="007D4B6E" w:rsidRDefault="007D4B6E" w:rsidP="000120C2">
            <w:pPr>
              <w:spacing w:after="0" w:line="276" w:lineRule="auto"/>
              <w:jc w:val="center"/>
              <w:rPr>
                <w:rFonts w:ascii="Calibri" w:eastAsia="Times New Roman" w:hAnsi="Calibri" w:cs="Calibri"/>
                <w:color w:val="000000"/>
                <w:sz w:val="24"/>
                <w:szCs w:val="24"/>
                <w:lang w:val="en-US" w:eastAsia="fr-FR"/>
              </w:rPr>
            </w:pPr>
          </w:p>
          <w:p w14:paraId="4DF99C52" w14:textId="77777777" w:rsidR="007D4B6E" w:rsidRDefault="007D4B6E" w:rsidP="000120C2">
            <w:pPr>
              <w:spacing w:after="0" w:line="276" w:lineRule="auto"/>
              <w:jc w:val="center"/>
              <w:rPr>
                <w:rFonts w:ascii="Calibri" w:eastAsia="Times New Roman" w:hAnsi="Calibri" w:cs="Calibri"/>
                <w:color w:val="000000"/>
                <w:sz w:val="24"/>
                <w:szCs w:val="24"/>
                <w:lang w:val="en-US" w:eastAsia="fr-FR"/>
              </w:rPr>
            </w:pPr>
            <w:r>
              <w:rPr>
                <w:rFonts w:ascii="Calibri" w:eastAsia="Times New Roman" w:hAnsi="Calibri" w:cs="Calibri"/>
                <w:color w:val="000000"/>
                <w:sz w:val="24"/>
                <w:szCs w:val="24"/>
                <w:lang w:val="en-US" w:eastAsia="fr-FR"/>
              </w:rPr>
              <w:t>0.008</w:t>
            </w:r>
          </w:p>
        </w:tc>
      </w:tr>
    </w:tbl>
    <w:p w14:paraId="4924043C" w14:textId="3A0559A9" w:rsidR="007D4B6E" w:rsidRDefault="007D4B6E" w:rsidP="00AB1AA5">
      <w:pPr>
        <w:spacing w:line="360" w:lineRule="auto"/>
        <w:rPr>
          <w:rFonts w:cstheme="minorHAnsi"/>
          <w:b/>
          <w:i/>
          <w:sz w:val="24"/>
          <w:szCs w:val="24"/>
          <w:lang w:val="en-GB"/>
        </w:rPr>
      </w:pPr>
    </w:p>
    <w:p w14:paraId="7A4D739F" w14:textId="085982B1" w:rsidR="000E31A4" w:rsidRDefault="000E31A4" w:rsidP="00AB1AA5">
      <w:pPr>
        <w:spacing w:line="360" w:lineRule="auto"/>
        <w:rPr>
          <w:rFonts w:cstheme="minorHAnsi"/>
          <w:b/>
          <w:i/>
          <w:sz w:val="24"/>
          <w:szCs w:val="24"/>
          <w:lang w:val="en-GB"/>
        </w:rPr>
      </w:pPr>
    </w:p>
    <w:p w14:paraId="6CF77160" w14:textId="6BC56F1A" w:rsidR="000E31A4" w:rsidRDefault="000E31A4" w:rsidP="00AB1AA5">
      <w:pPr>
        <w:spacing w:line="360" w:lineRule="auto"/>
        <w:rPr>
          <w:rFonts w:cstheme="minorHAnsi"/>
          <w:b/>
          <w:i/>
          <w:sz w:val="24"/>
          <w:szCs w:val="24"/>
          <w:lang w:val="en-GB"/>
        </w:rPr>
      </w:pPr>
    </w:p>
    <w:p w14:paraId="104422C6" w14:textId="20F6AFD1" w:rsidR="000E31A4" w:rsidRDefault="000E31A4" w:rsidP="00AB1AA5">
      <w:pPr>
        <w:spacing w:line="360" w:lineRule="auto"/>
        <w:rPr>
          <w:rFonts w:cstheme="minorHAnsi"/>
          <w:b/>
          <w:i/>
          <w:sz w:val="24"/>
          <w:szCs w:val="24"/>
          <w:lang w:val="en-GB"/>
        </w:rPr>
      </w:pPr>
    </w:p>
    <w:p w14:paraId="32C3AD02" w14:textId="17D0F587" w:rsidR="000E31A4" w:rsidRDefault="000E31A4" w:rsidP="00AB1AA5">
      <w:pPr>
        <w:spacing w:line="360" w:lineRule="auto"/>
        <w:rPr>
          <w:rFonts w:cstheme="minorHAnsi"/>
          <w:b/>
          <w:i/>
          <w:sz w:val="24"/>
          <w:szCs w:val="24"/>
          <w:lang w:val="en-GB"/>
        </w:rPr>
      </w:pPr>
    </w:p>
    <w:p w14:paraId="466800AD" w14:textId="1EEED560" w:rsidR="000E31A4" w:rsidRDefault="000E31A4" w:rsidP="00AB1AA5">
      <w:pPr>
        <w:spacing w:line="360" w:lineRule="auto"/>
        <w:rPr>
          <w:rFonts w:cstheme="minorHAnsi"/>
          <w:b/>
          <w:i/>
          <w:sz w:val="24"/>
          <w:szCs w:val="24"/>
          <w:lang w:val="en-GB"/>
        </w:rPr>
      </w:pPr>
    </w:p>
    <w:p w14:paraId="4B7C8643" w14:textId="03378FA3" w:rsidR="000E31A4" w:rsidRDefault="000E31A4" w:rsidP="00AB1AA5">
      <w:pPr>
        <w:spacing w:line="360" w:lineRule="auto"/>
        <w:rPr>
          <w:rFonts w:cstheme="minorHAnsi"/>
          <w:b/>
          <w:i/>
          <w:sz w:val="24"/>
          <w:szCs w:val="24"/>
          <w:lang w:val="en-GB"/>
        </w:rPr>
      </w:pPr>
    </w:p>
    <w:p w14:paraId="058E04C9" w14:textId="77777777" w:rsidR="000E31A4" w:rsidRDefault="000E31A4" w:rsidP="00AB1AA5">
      <w:pPr>
        <w:spacing w:line="360" w:lineRule="auto"/>
        <w:rPr>
          <w:rFonts w:cstheme="minorHAnsi"/>
          <w:b/>
          <w:i/>
          <w:sz w:val="24"/>
          <w:szCs w:val="24"/>
          <w:lang w:val="en-GB"/>
        </w:rPr>
      </w:pPr>
    </w:p>
    <w:p w14:paraId="47439ABB" w14:textId="47A5ADB2" w:rsidR="000E31A4" w:rsidRPr="000E31A4" w:rsidRDefault="000E31A4" w:rsidP="000E31A4">
      <w:pPr>
        <w:spacing w:line="480" w:lineRule="auto"/>
        <w:jc w:val="both"/>
        <w:rPr>
          <w:rFonts w:cstheme="minorHAnsi"/>
          <w:b/>
          <w:sz w:val="24"/>
          <w:szCs w:val="24"/>
          <w:lang w:val="en-GB"/>
        </w:rPr>
      </w:pPr>
      <w:r>
        <w:rPr>
          <w:rFonts w:cstheme="minorHAnsi"/>
          <w:b/>
          <w:sz w:val="24"/>
          <w:szCs w:val="24"/>
          <w:lang w:val="en-GB"/>
        </w:rPr>
        <w:lastRenderedPageBreak/>
        <w:t xml:space="preserve">Extended </w:t>
      </w:r>
      <w:r w:rsidRPr="00E010B4">
        <w:rPr>
          <w:rFonts w:cstheme="minorHAnsi"/>
          <w:b/>
          <w:sz w:val="24"/>
          <w:szCs w:val="24"/>
          <w:lang w:val="en-GB"/>
        </w:rPr>
        <w:t>Table</w:t>
      </w:r>
      <w:r w:rsidRPr="000E31A4">
        <w:rPr>
          <w:rFonts w:cstheme="minorHAnsi"/>
          <w:b/>
          <w:sz w:val="24"/>
          <w:szCs w:val="24"/>
          <w:lang w:val="en-GB"/>
        </w:rPr>
        <w:t>3: Safety</w:t>
      </w:r>
    </w:p>
    <w:p w14:paraId="03860392" w14:textId="601B48C8" w:rsidR="000E31A4" w:rsidRPr="000E31A4" w:rsidRDefault="000E31A4" w:rsidP="000E31A4">
      <w:pPr>
        <w:spacing w:line="360" w:lineRule="auto"/>
        <w:ind w:left="-567"/>
        <w:rPr>
          <w:rFonts w:asciiTheme="majorHAnsi" w:hAnsiTheme="majorHAnsi" w:cstheme="majorHAnsi"/>
          <w:b/>
          <w:i/>
          <w:szCs w:val="24"/>
          <w:lang w:val="en-GB"/>
        </w:rPr>
      </w:pPr>
      <w:r w:rsidRPr="00024332">
        <w:rPr>
          <w:rFonts w:asciiTheme="majorHAnsi" w:hAnsiTheme="majorHAnsi" w:cstheme="majorHAnsi"/>
          <w:noProof/>
          <w:lang w:eastAsia="fr-FR"/>
        </w:rPr>
        <w:drawing>
          <wp:inline distT="0" distB="0" distL="0" distR="0" wp14:anchorId="4D760401" wp14:editId="438487C2">
            <wp:extent cx="6829425" cy="475168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585" cy="4765020"/>
                    </a:xfrm>
                    <a:prstGeom prst="rect">
                      <a:avLst/>
                    </a:prstGeom>
                    <a:noFill/>
                    <a:ln>
                      <a:noFill/>
                    </a:ln>
                  </pic:spPr>
                </pic:pic>
              </a:graphicData>
            </a:graphic>
          </wp:inline>
        </w:drawing>
      </w:r>
      <w:r w:rsidRPr="00024332">
        <w:rPr>
          <w:rFonts w:asciiTheme="majorHAnsi" w:hAnsiTheme="majorHAnsi" w:cstheme="majorHAnsi"/>
          <w:sz w:val="20"/>
          <w:szCs w:val="20"/>
        </w:rPr>
        <w:t>*hypokalemia corresponding to grade 3NSAE</w:t>
      </w:r>
    </w:p>
    <w:p w14:paraId="110CA0EF" w14:textId="589C22C4" w:rsidR="00555DC6" w:rsidRDefault="00555DC6" w:rsidP="00AB1AA5">
      <w:pPr>
        <w:spacing w:line="360" w:lineRule="auto"/>
        <w:rPr>
          <w:rFonts w:cstheme="minorHAnsi"/>
          <w:b/>
          <w:i/>
          <w:sz w:val="24"/>
          <w:szCs w:val="24"/>
          <w:lang w:val="en-GB"/>
        </w:rPr>
      </w:pPr>
    </w:p>
    <w:p w14:paraId="78EEA0AD" w14:textId="2408B7CC" w:rsidR="00B217C1" w:rsidRDefault="00B217C1" w:rsidP="00AB1AA5">
      <w:pPr>
        <w:spacing w:line="360" w:lineRule="auto"/>
        <w:rPr>
          <w:rFonts w:cstheme="minorHAnsi"/>
          <w:b/>
          <w:i/>
          <w:sz w:val="24"/>
          <w:szCs w:val="24"/>
          <w:lang w:val="en-GB"/>
        </w:rPr>
      </w:pPr>
    </w:p>
    <w:p w14:paraId="7D7FC4B4" w14:textId="29AA250E" w:rsidR="00B217C1" w:rsidRDefault="00B217C1" w:rsidP="00AB1AA5">
      <w:pPr>
        <w:spacing w:line="360" w:lineRule="auto"/>
        <w:rPr>
          <w:rFonts w:cstheme="minorHAnsi"/>
          <w:b/>
          <w:i/>
          <w:sz w:val="24"/>
          <w:szCs w:val="24"/>
          <w:lang w:val="en-GB"/>
        </w:rPr>
      </w:pPr>
    </w:p>
    <w:p w14:paraId="7F5C40B5" w14:textId="112B498E" w:rsidR="00B217C1" w:rsidRDefault="00B217C1" w:rsidP="00AB1AA5">
      <w:pPr>
        <w:spacing w:line="360" w:lineRule="auto"/>
        <w:rPr>
          <w:rFonts w:cstheme="minorHAnsi"/>
          <w:b/>
          <w:i/>
          <w:sz w:val="24"/>
          <w:szCs w:val="24"/>
          <w:lang w:val="en-GB"/>
        </w:rPr>
      </w:pPr>
    </w:p>
    <w:p w14:paraId="2743C06A" w14:textId="77777777" w:rsidR="00B217C1" w:rsidRDefault="00B217C1" w:rsidP="00AB1AA5">
      <w:pPr>
        <w:spacing w:line="360" w:lineRule="auto"/>
        <w:rPr>
          <w:rFonts w:cstheme="minorHAnsi"/>
          <w:b/>
          <w:i/>
          <w:sz w:val="24"/>
          <w:szCs w:val="24"/>
          <w:lang w:val="en-GB"/>
        </w:rPr>
      </w:pPr>
    </w:p>
    <w:p w14:paraId="5030A1D7" w14:textId="77777777" w:rsidR="00B217C1" w:rsidRDefault="00B217C1" w:rsidP="00AB1AA5">
      <w:pPr>
        <w:spacing w:line="360" w:lineRule="auto"/>
        <w:rPr>
          <w:rFonts w:cstheme="minorHAnsi"/>
          <w:b/>
          <w:i/>
          <w:sz w:val="24"/>
          <w:szCs w:val="24"/>
          <w:lang w:val="en-GB"/>
        </w:rPr>
      </w:pPr>
    </w:p>
    <w:p w14:paraId="29EA8B84" w14:textId="77777777" w:rsidR="00B217C1" w:rsidRDefault="00B217C1" w:rsidP="00AB1AA5">
      <w:pPr>
        <w:spacing w:line="360" w:lineRule="auto"/>
        <w:rPr>
          <w:rFonts w:cstheme="minorHAnsi"/>
          <w:b/>
          <w:i/>
          <w:sz w:val="24"/>
          <w:szCs w:val="24"/>
          <w:lang w:val="en-GB"/>
        </w:rPr>
      </w:pPr>
    </w:p>
    <w:p w14:paraId="5EAC3834" w14:textId="74BDA186" w:rsidR="00AB1AA5" w:rsidRPr="00B217C1" w:rsidRDefault="00555DC6" w:rsidP="00AB1AA5">
      <w:pPr>
        <w:spacing w:line="360" w:lineRule="auto"/>
        <w:rPr>
          <w:rFonts w:cstheme="minorHAnsi"/>
          <w:bCs/>
          <w:iCs/>
          <w:lang w:val="en-US"/>
        </w:rPr>
      </w:pPr>
      <w:r w:rsidRPr="00555DC6">
        <w:rPr>
          <w:rFonts w:cstheme="minorHAnsi"/>
          <w:b/>
          <w:i/>
          <w:sz w:val="24"/>
          <w:szCs w:val="24"/>
          <w:lang w:val="en-GB"/>
        </w:rPr>
        <w:lastRenderedPageBreak/>
        <w:t xml:space="preserve">Extended Figure </w:t>
      </w:r>
      <w:r w:rsidR="007A4635">
        <w:rPr>
          <w:rFonts w:cstheme="minorHAnsi"/>
          <w:b/>
          <w:i/>
          <w:sz w:val="24"/>
          <w:szCs w:val="24"/>
          <w:lang w:val="en-GB"/>
        </w:rPr>
        <w:t>1</w:t>
      </w:r>
      <w:r w:rsidR="00A30AD6" w:rsidRPr="00555DC6">
        <w:rPr>
          <w:rFonts w:cstheme="minorHAnsi"/>
          <w:b/>
          <w:i/>
          <w:sz w:val="24"/>
          <w:szCs w:val="24"/>
          <w:lang w:val="en-GB"/>
        </w:rPr>
        <w:t xml:space="preserve">: </w:t>
      </w:r>
      <w:bookmarkStart w:id="2" w:name="_Hlk197353248"/>
      <w:r w:rsidR="00DD2EB6" w:rsidRPr="00555DC6">
        <w:rPr>
          <w:rFonts w:cstheme="minorHAnsi"/>
          <w:b/>
          <w:i/>
          <w:sz w:val="24"/>
          <w:szCs w:val="24"/>
          <w:lang w:val="en-GB"/>
        </w:rPr>
        <w:t>Individual Treg response</w:t>
      </w:r>
      <w:r w:rsidR="00A30AD6" w:rsidRPr="00555DC6">
        <w:rPr>
          <w:rFonts w:cstheme="minorHAnsi"/>
          <w:b/>
          <w:i/>
          <w:sz w:val="24"/>
          <w:szCs w:val="24"/>
          <w:lang w:val="en-GB"/>
        </w:rPr>
        <w:t xml:space="preserve"> </w:t>
      </w:r>
      <w:r w:rsidR="00B217C1">
        <w:rPr>
          <w:rFonts w:cstheme="minorHAnsi"/>
          <w:b/>
          <w:i/>
          <w:sz w:val="24"/>
          <w:szCs w:val="24"/>
          <w:lang w:val="en-GB"/>
        </w:rPr>
        <w:t xml:space="preserve">(A) </w:t>
      </w:r>
      <w:r w:rsidR="00B217C1" w:rsidRPr="00722B56">
        <w:rPr>
          <w:rFonts w:asciiTheme="majorHAnsi" w:hAnsiTheme="majorHAnsi" w:cstheme="majorHAnsi"/>
          <w:szCs w:val="24"/>
          <w:lang w:val="en-US"/>
        </w:rPr>
        <w:t>during the first treatment-free cycle, with the red line representing the mean across all patients;</w:t>
      </w:r>
      <w:r w:rsidR="00B217C1">
        <w:rPr>
          <w:rFonts w:cstheme="minorHAnsi"/>
          <w:b/>
          <w:i/>
          <w:sz w:val="24"/>
          <w:szCs w:val="24"/>
          <w:lang w:val="en-GB"/>
        </w:rPr>
        <w:t xml:space="preserve">; (B) </w:t>
      </w:r>
      <w:r w:rsidR="00A30AD6" w:rsidRPr="00B217C1">
        <w:rPr>
          <w:rFonts w:cstheme="minorHAnsi"/>
          <w:bCs/>
          <w:iCs/>
          <w:sz w:val="24"/>
          <w:szCs w:val="24"/>
          <w:lang w:val="en-GB"/>
        </w:rPr>
        <w:t>all along the follow up from the first cycle to the fi</w:t>
      </w:r>
      <w:r w:rsidR="00986454" w:rsidRPr="00B217C1">
        <w:rPr>
          <w:rFonts w:cstheme="minorHAnsi"/>
          <w:bCs/>
          <w:iCs/>
          <w:sz w:val="24"/>
          <w:szCs w:val="24"/>
          <w:lang w:val="en-GB"/>
        </w:rPr>
        <w:t>f</w:t>
      </w:r>
      <w:r w:rsidR="00A30AD6" w:rsidRPr="00B217C1">
        <w:rPr>
          <w:rFonts w:cstheme="minorHAnsi"/>
          <w:bCs/>
          <w:iCs/>
          <w:sz w:val="24"/>
          <w:szCs w:val="24"/>
          <w:lang w:val="en-GB"/>
        </w:rPr>
        <w:t>th cycle ( C1 n=15;  C2 n=</w:t>
      </w:r>
      <w:r w:rsidR="00986454" w:rsidRPr="00B217C1">
        <w:rPr>
          <w:rFonts w:cstheme="minorHAnsi"/>
          <w:bCs/>
          <w:iCs/>
          <w:sz w:val="24"/>
          <w:szCs w:val="24"/>
          <w:lang w:val="en-GB"/>
        </w:rPr>
        <w:t>9</w:t>
      </w:r>
      <w:r w:rsidR="00A30AD6" w:rsidRPr="00B217C1">
        <w:rPr>
          <w:rFonts w:cstheme="minorHAnsi"/>
          <w:bCs/>
          <w:iCs/>
          <w:sz w:val="24"/>
          <w:szCs w:val="24"/>
          <w:lang w:val="en-GB"/>
        </w:rPr>
        <w:t xml:space="preserve"> ;</w:t>
      </w:r>
      <w:r w:rsidR="00986454" w:rsidRPr="00B217C1">
        <w:rPr>
          <w:rFonts w:cstheme="minorHAnsi"/>
          <w:bCs/>
          <w:iCs/>
          <w:sz w:val="24"/>
          <w:szCs w:val="24"/>
          <w:lang w:val="en-GB"/>
        </w:rPr>
        <w:t xml:space="preserve"> C3 n=3 ; C4 n=2; C5 n=1)</w:t>
      </w:r>
    </w:p>
    <w:bookmarkEnd w:id="2"/>
    <w:p w14:paraId="6973EB3B" w14:textId="4A89D1EC" w:rsidR="00A30AD6" w:rsidRPr="00E010B4" w:rsidRDefault="00B217C1" w:rsidP="00AB1AA5">
      <w:pPr>
        <w:spacing w:line="360" w:lineRule="auto"/>
        <w:rPr>
          <w:rFonts w:cstheme="minorHAnsi"/>
          <w:b/>
          <w:lang w:val="en-GB"/>
        </w:rPr>
      </w:pPr>
      <w:r>
        <w:rPr>
          <w:rFonts w:cstheme="minorHAnsi"/>
          <w:b/>
          <w:noProof/>
          <w:lang w:val="en-GB"/>
        </w:rPr>
        <w:drawing>
          <wp:inline distT="0" distB="0" distL="0" distR="0" wp14:anchorId="23B4421B" wp14:editId="7291CBEA">
            <wp:extent cx="6268074" cy="2771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4043" cy="2778836"/>
                    </a:xfrm>
                    <a:prstGeom prst="rect">
                      <a:avLst/>
                    </a:prstGeom>
                    <a:noFill/>
                  </pic:spPr>
                </pic:pic>
              </a:graphicData>
            </a:graphic>
          </wp:inline>
        </w:drawing>
      </w:r>
    </w:p>
    <w:p w14:paraId="40E7E3ED" w14:textId="77777777" w:rsidR="00DA5EF1" w:rsidRPr="007A4635" w:rsidRDefault="00AB1AA5">
      <w:pPr>
        <w:rPr>
          <w:b/>
          <w:lang w:val="da-DK"/>
        </w:rPr>
      </w:pPr>
      <w:r w:rsidRPr="007A4635">
        <w:rPr>
          <w:b/>
          <w:lang w:val="da-DK"/>
        </w:rPr>
        <w:t>REFERENCES</w:t>
      </w:r>
    </w:p>
    <w:p w14:paraId="03FB5964" w14:textId="77777777" w:rsidR="00F565AA" w:rsidRPr="007A4635" w:rsidRDefault="00AB1AA5" w:rsidP="00F565AA">
      <w:pPr>
        <w:pStyle w:val="Bibliographie"/>
        <w:rPr>
          <w:rFonts w:ascii="Calibri" w:hAnsi="Calibri" w:cs="Calibri"/>
          <w:szCs w:val="24"/>
          <w:lang w:val="da-DK"/>
        </w:rPr>
      </w:pPr>
      <w:r>
        <w:rPr>
          <w:lang w:val="en-GB"/>
        </w:rPr>
        <w:fldChar w:fldCharType="begin"/>
      </w:r>
      <w:r w:rsidR="00F565AA" w:rsidRPr="007A4635">
        <w:rPr>
          <w:lang w:val="da-DK"/>
        </w:rPr>
        <w:instrText xml:space="preserve"> ADDIN ZOTERO_BIBL {"uncited":[],"omitted":[],"custom":[]} CSL_BIBLIOGRAPHY </w:instrText>
      </w:r>
      <w:r>
        <w:rPr>
          <w:lang w:val="en-GB"/>
        </w:rPr>
        <w:fldChar w:fldCharType="separate"/>
      </w:r>
      <w:r w:rsidR="00F565AA" w:rsidRPr="007A4635">
        <w:rPr>
          <w:rFonts w:ascii="Calibri" w:hAnsi="Calibri" w:cs="Calibri"/>
          <w:szCs w:val="24"/>
          <w:lang w:val="da-DK"/>
        </w:rPr>
        <w:t>1.</w:t>
      </w:r>
      <w:r w:rsidR="00F565AA" w:rsidRPr="007A4635">
        <w:rPr>
          <w:rFonts w:ascii="Calibri" w:hAnsi="Calibri" w:cs="Calibri"/>
          <w:szCs w:val="24"/>
          <w:lang w:val="da-DK"/>
        </w:rPr>
        <w:tab/>
        <w:t xml:space="preserve">Saadoun, D. et al. </w:t>
      </w:r>
      <w:r w:rsidR="00F565AA" w:rsidRPr="007A4635">
        <w:rPr>
          <w:rFonts w:ascii="Calibri" w:hAnsi="Calibri" w:cs="Calibri"/>
          <w:i/>
          <w:iCs/>
          <w:szCs w:val="24"/>
          <w:lang w:val="da-DK"/>
        </w:rPr>
        <w:t>N Engl J Med</w:t>
      </w:r>
      <w:r w:rsidR="00F565AA" w:rsidRPr="007A4635">
        <w:rPr>
          <w:rFonts w:ascii="Calibri" w:hAnsi="Calibri" w:cs="Calibri"/>
          <w:szCs w:val="24"/>
          <w:lang w:val="da-DK"/>
        </w:rPr>
        <w:t xml:space="preserve"> </w:t>
      </w:r>
      <w:r w:rsidR="00F565AA" w:rsidRPr="007A4635">
        <w:rPr>
          <w:rFonts w:ascii="Calibri" w:hAnsi="Calibri" w:cs="Calibri"/>
          <w:b/>
          <w:bCs/>
          <w:szCs w:val="24"/>
          <w:lang w:val="da-DK"/>
        </w:rPr>
        <w:t>365</w:t>
      </w:r>
      <w:r w:rsidR="00F565AA" w:rsidRPr="007A4635">
        <w:rPr>
          <w:rFonts w:ascii="Calibri" w:hAnsi="Calibri" w:cs="Calibri"/>
          <w:szCs w:val="24"/>
          <w:lang w:val="da-DK"/>
        </w:rPr>
        <w:t>, 2067–77 (2011).</w:t>
      </w:r>
    </w:p>
    <w:p w14:paraId="5CA1161D" w14:textId="77777777" w:rsidR="00F565AA" w:rsidRPr="007A4635" w:rsidRDefault="00F565AA" w:rsidP="00F565AA">
      <w:pPr>
        <w:pStyle w:val="Bibliographie"/>
        <w:rPr>
          <w:rFonts w:ascii="Calibri" w:hAnsi="Calibri" w:cs="Calibri"/>
          <w:szCs w:val="24"/>
          <w:lang w:val="da-DK"/>
        </w:rPr>
      </w:pPr>
      <w:r w:rsidRPr="007A4635">
        <w:rPr>
          <w:rFonts w:ascii="Calibri" w:hAnsi="Calibri" w:cs="Calibri"/>
          <w:szCs w:val="24"/>
          <w:lang w:val="da-DK"/>
        </w:rPr>
        <w:t>2.</w:t>
      </w:r>
      <w:r w:rsidRPr="007A4635">
        <w:rPr>
          <w:rFonts w:ascii="Calibri" w:hAnsi="Calibri" w:cs="Calibri"/>
          <w:szCs w:val="24"/>
          <w:lang w:val="da-DK"/>
        </w:rPr>
        <w:tab/>
        <w:t xml:space="preserve">Pitoiset, F. et al. </w:t>
      </w:r>
      <w:r w:rsidRPr="007A4635">
        <w:rPr>
          <w:rFonts w:ascii="Calibri" w:hAnsi="Calibri" w:cs="Calibri"/>
          <w:i/>
          <w:iCs/>
          <w:szCs w:val="24"/>
          <w:lang w:val="da-DK"/>
        </w:rPr>
        <w:t>Cytometry B Clin Cytom</w:t>
      </w:r>
      <w:r w:rsidRPr="007A4635">
        <w:rPr>
          <w:rFonts w:ascii="Calibri" w:hAnsi="Calibri" w:cs="Calibri"/>
          <w:szCs w:val="24"/>
          <w:lang w:val="da-DK"/>
        </w:rPr>
        <w:t xml:space="preserve">  (2018).doi:10.1002/cyto.b.21622</w:t>
      </w:r>
    </w:p>
    <w:p w14:paraId="2ADA3DA1" w14:textId="77777777" w:rsidR="00F565AA" w:rsidRPr="007A4635" w:rsidRDefault="00F565AA" w:rsidP="00F565AA">
      <w:pPr>
        <w:pStyle w:val="Bibliographie"/>
        <w:rPr>
          <w:rFonts w:ascii="Calibri" w:hAnsi="Calibri" w:cs="Calibri"/>
          <w:szCs w:val="24"/>
          <w:lang w:val="fi-FI"/>
        </w:rPr>
      </w:pPr>
      <w:r w:rsidRPr="007A4635">
        <w:rPr>
          <w:rFonts w:ascii="Calibri" w:hAnsi="Calibri" w:cs="Calibri"/>
          <w:szCs w:val="24"/>
          <w:lang w:val="fi-FI"/>
        </w:rPr>
        <w:t>3.</w:t>
      </w:r>
      <w:r w:rsidRPr="007A4635">
        <w:rPr>
          <w:rFonts w:ascii="Calibri" w:hAnsi="Calibri" w:cs="Calibri"/>
          <w:szCs w:val="24"/>
          <w:lang w:val="fi-FI"/>
        </w:rPr>
        <w:tab/>
        <w:t xml:space="preserve">Pitoiset, F. et al. </w:t>
      </w:r>
      <w:r w:rsidRPr="007A4635">
        <w:rPr>
          <w:rFonts w:ascii="Calibri" w:hAnsi="Calibri" w:cs="Calibri"/>
          <w:i/>
          <w:iCs/>
          <w:szCs w:val="24"/>
          <w:lang w:val="fi-FI"/>
        </w:rPr>
        <w:t>Cytometry A</w:t>
      </w:r>
      <w:r w:rsidRPr="007A4635">
        <w:rPr>
          <w:rFonts w:ascii="Calibri" w:hAnsi="Calibri" w:cs="Calibri"/>
          <w:szCs w:val="24"/>
          <w:lang w:val="fi-FI"/>
        </w:rPr>
        <w:t xml:space="preserve"> </w:t>
      </w:r>
      <w:r w:rsidRPr="007A4635">
        <w:rPr>
          <w:rFonts w:ascii="Calibri" w:hAnsi="Calibri" w:cs="Calibri"/>
          <w:b/>
          <w:bCs/>
          <w:szCs w:val="24"/>
          <w:lang w:val="fi-FI"/>
        </w:rPr>
        <w:t>93</w:t>
      </w:r>
      <w:r w:rsidRPr="007A4635">
        <w:rPr>
          <w:rFonts w:ascii="Calibri" w:hAnsi="Calibri" w:cs="Calibri"/>
          <w:szCs w:val="24"/>
          <w:lang w:val="fi-FI"/>
        </w:rPr>
        <w:t>, 793–802 (2018).</w:t>
      </w:r>
    </w:p>
    <w:p w14:paraId="117B11A6" w14:textId="77777777" w:rsidR="00F565AA" w:rsidRPr="00F565AA" w:rsidRDefault="00F565AA" w:rsidP="00F565AA">
      <w:pPr>
        <w:pStyle w:val="Bibliographie"/>
        <w:rPr>
          <w:rFonts w:ascii="Calibri" w:hAnsi="Calibri" w:cs="Calibri"/>
          <w:szCs w:val="24"/>
        </w:rPr>
      </w:pPr>
      <w:r w:rsidRPr="007A4635">
        <w:rPr>
          <w:rFonts w:ascii="Calibri" w:hAnsi="Calibri" w:cs="Calibri"/>
          <w:szCs w:val="24"/>
          <w:lang w:val="nb-NO"/>
        </w:rPr>
        <w:t>4.</w:t>
      </w:r>
      <w:r w:rsidRPr="007A4635">
        <w:rPr>
          <w:rFonts w:ascii="Calibri" w:hAnsi="Calibri" w:cs="Calibri"/>
          <w:szCs w:val="24"/>
          <w:lang w:val="nb-NO"/>
        </w:rPr>
        <w:tab/>
        <w:t xml:space="preserve">Rosenzwajg, M. et al. </w:t>
      </w:r>
      <w:r w:rsidRPr="007A4635">
        <w:rPr>
          <w:rFonts w:ascii="Calibri" w:hAnsi="Calibri" w:cs="Calibri"/>
          <w:i/>
          <w:iCs/>
          <w:szCs w:val="24"/>
          <w:lang w:val="nb-NO"/>
        </w:rPr>
        <w:t xml:space="preserve">Ann. Rheum. </w:t>
      </w:r>
      <w:r w:rsidRPr="00F565AA">
        <w:rPr>
          <w:rFonts w:ascii="Calibri" w:hAnsi="Calibri" w:cs="Calibri"/>
          <w:i/>
          <w:iCs/>
          <w:szCs w:val="24"/>
        </w:rPr>
        <w:t>Dis.</w:t>
      </w:r>
      <w:r w:rsidRPr="00F565AA">
        <w:rPr>
          <w:rFonts w:ascii="Calibri" w:hAnsi="Calibri" w:cs="Calibri"/>
          <w:szCs w:val="24"/>
        </w:rPr>
        <w:t xml:space="preserve"> </w:t>
      </w:r>
      <w:r w:rsidRPr="00F565AA">
        <w:rPr>
          <w:rFonts w:ascii="Calibri" w:hAnsi="Calibri" w:cs="Calibri"/>
          <w:b/>
          <w:bCs/>
          <w:szCs w:val="24"/>
        </w:rPr>
        <w:t>78</w:t>
      </w:r>
      <w:r w:rsidRPr="00F565AA">
        <w:rPr>
          <w:rFonts w:ascii="Calibri" w:hAnsi="Calibri" w:cs="Calibri"/>
          <w:szCs w:val="24"/>
        </w:rPr>
        <w:t>, 209–217 (2019).</w:t>
      </w:r>
    </w:p>
    <w:p w14:paraId="3960BDB6" w14:textId="77777777" w:rsidR="00F565AA" w:rsidRPr="00F565AA" w:rsidRDefault="00F565AA" w:rsidP="00F565AA">
      <w:pPr>
        <w:pStyle w:val="Bibliographie"/>
        <w:rPr>
          <w:rFonts w:ascii="Calibri" w:hAnsi="Calibri" w:cs="Calibri"/>
          <w:szCs w:val="24"/>
          <w:lang w:val="en-US"/>
        </w:rPr>
      </w:pPr>
      <w:r w:rsidRPr="00F565AA">
        <w:rPr>
          <w:rFonts w:ascii="Calibri" w:hAnsi="Calibri" w:cs="Calibri"/>
          <w:szCs w:val="24"/>
        </w:rPr>
        <w:t>5.</w:t>
      </w:r>
      <w:r w:rsidRPr="00F565AA">
        <w:rPr>
          <w:rFonts w:ascii="Calibri" w:hAnsi="Calibri" w:cs="Calibri"/>
          <w:szCs w:val="24"/>
        </w:rPr>
        <w:tab/>
        <w:t xml:space="preserve">Louapre, C. et al. </w:t>
      </w:r>
      <w:r w:rsidRPr="00F565AA">
        <w:rPr>
          <w:rFonts w:ascii="Calibri" w:hAnsi="Calibri" w:cs="Calibri"/>
          <w:i/>
          <w:iCs/>
          <w:szCs w:val="24"/>
          <w:lang w:val="en-US"/>
        </w:rPr>
        <w:t>European Journal of Neurology</w:t>
      </w:r>
      <w:r w:rsidRPr="00F565AA">
        <w:rPr>
          <w:rFonts w:ascii="Calibri" w:hAnsi="Calibri" w:cs="Calibri"/>
          <w:szCs w:val="24"/>
          <w:lang w:val="en-US"/>
        </w:rPr>
        <w:t xml:space="preserve"> </w:t>
      </w:r>
      <w:r w:rsidRPr="00F565AA">
        <w:rPr>
          <w:rFonts w:ascii="Calibri" w:hAnsi="Calibri" w:cs="Calibri"/>
          <w:b/>
          <w:bCs/>
          <w:szCs w:val="24"/>
          <w:lang w:val="en-US"/>
        </w:rPr>
        <w:t>n/a</w:t>
      </w:r>
      <w:r w:rsidRPr="00F565AA">
        <w:rPr>
          <w:rFonts w:ascii="Calibri" w:hAnsi="Calibri" w:cs="Calibri"/>
          <w:szCs w:val="24"/>
          <w:lang w:val="en-US"/>
        </w:rPr>
        <w:t xml:space="preserve">, </w:t>
      </w:r>
    </w:p>
    <w:p w14:paraId="04654C09" w14:textId="65109C63" w:rsidR="00AB1AA5" w:rsidRPr="00AB1AA5" w:rsidRDefault="00AB1AA5">
      <w:pPr>
        <w:rPr>
          <w:lang w:val="en-GB"/>
        </w:rPr>
      </w:pPr>
      <w:r>
        <w:rPr>
          <w:lang w:val="en-GB"/>
        </w:rPr>
        <w:fldChar w:fldCharType="end"/>
      </w:r>
    </w:p>
    <w:sectPr w:rsidR="00AB1AA5" w:rsidRPr="00AB1A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F204" w14:textId="77777777" w:rsidR="00072FAA" w:rsidRDefault="00072FAA" w:rsidP="00D33F74">
      <w:pPr>
        <w:spacing w:after="0" w:line="240" w:lineRule="auto"/>
      </w:pPr>
      <w:r>
        <w:separator/>
      </w:r>
    </w:p>
  </w:endnote>
  <w:endnote w:type="continuationSeparator" w:id="0">
    <w:p w14:paraId="77163659" w14:textId="77777777" w:rsidR="00072FAA" w:rsidRDefault="00072FAA" w:rsidP="00D3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ScalaLancetPro">
    <w:altName w:val="Yu Gothic"/>
    <w:charset w:val="00"/>
    <w:family w:val="roman"/>
    <w:pitch w:val="default"/>
    <w:sig w:usb0="00000003" w:usb1="00000000" w:usb2="00000000" w:usb3="00000000" w:csb0="00000001"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3198" w14:textId="77777777" w:rsidR="00D33F74" w:rsidRDefault="00D33F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3983"/>
      <w:docPartObj>
        <w:docPartGallery w:val="Page Numbers (Bottom of Page)"/>
        <w:docPartUnique/>
      </w:docPartObj>
    </w:sdtPr>
    <w:sdtContent>
      <w:p w14:paraId="003BF654" w14:textId="2F300C60" w:rsidR="00D33F74" w:rsidRDefault="00D33F74">
        <w:pPr>
          <w:pStyle w:val="Pieddepage"/>
          <w:jc w:val="right"/>
        </w:pPr>
        <w:r>
          <w:fldChar w:fldCharType="begin"/>
        </w:r>
        <w:r>
          <w:instrText>PAGE   \* MERGEFORMAT</w:instrText>
        </w:r>
        <w:r>
          <w:fldChar w:fldCharType="separate"/>
        </w:r>
        <w:r>
          <w:t>2</w:t>
        </w:r>
        <w:r>
          <w:fldChar w:fldCharType="end"/>
        </w:r>
      </w:p>
    </w:sdtContent>
  </w:sdt>
  <w:p w14:paraId="62482D67" w14:textId="77777777" w:rsidR="00D33F74" w:rsidRDefault="00D33F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DAED5" w14:textId="77777777" w:rsidR="00D33F74" w:rsidRDefault="00D33F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1D78" w14:textId="77777777" w:rsidR="00072FAA" w:rsidRDefault="00072FAA" w:rsidP="00D33F74">
      <w:pPr>
        <w:spacing w:after="0" w:line="240" w:lineRule="auto"/>
      </w:pPr>
      <w:r>
        <w:separator/>
      </w:r>
    </w:p>
  </w:footnote>
  <w:footnote w:type="continuationSeparator" w:id="0">
    <w:p w14:paraId="77ECEBE5" w14:textId="77777777" w:rsidR="00072FAA" w:rsidRDefault="00072FAA" w:rsidP="00D3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E964" w14:textId="77777777" w:rsidR="00D33F74" w:rsidRDefault="00D33F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75EC" w14:textId="77777777" w:rsidR="00D33F74" w:rsidRDefault="00D33F7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D62C" w14:textId="77777777" w:rsidR="00D33F74" w:rsidRDefault="00D33F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54A"/>
    <w:multiLevelType w:val="hybridMultilevel"/>
    <w:tmpl w:val="F15E2A00"/>
    <w:lvl w:ilvl="0" w:tplc="9ADEE4D6">
      <w:start w:val="1"/>
      <w:numFmt w:val="bullet"/>
      <w:lvlText w:val="-"/>
      <w:lvlJc w:val="center"/>
      <w:pPr>
        <w:ind w:left="360" w:hanging="360"/>
      </w:pPr>
      <w:rPr>
        <w:rFonts w:ascii="Times New Roman" w:eastAsia="Times New Roman" w:hAnsi="Times New Roman" w:cs="Times New Roman" w:hint="default"/>
        <w:sz w:val="22"/>
        <w:szCs w:val="22"/>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AB5384E"/>
    <w:multiLevelType w:val="hybridMultilevel"/>
    <w:tmpl w:val="9C6C5C96"/>
    <w:lvl w:ilvl="0" w:tplc="9ADEE4D6">
      <w:start w:val="1"/>
      <w:numFmt w:val="bullet"/>
      <w:lvlText w:val="-"/>
      <w:lvlJc w:val="center"/>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FB828F2"/>
    <w:multiLevelType w:val="multilevel"/>
    <w:tmpl w:val="F1B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013BE"/>
    <w:multiLevelType w:val="multilevel"/>
    <w:tmpl w:val="230A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fi-FI" w:vendorID="64" w:dllVersion="0" w:nlCheck="1" w:checkStyle="0"/>
  <w:activeWritingStyle w:appName="MSWord" w:lang="nb-NO"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A5"/>
    <w:rsid w:val="00072FAA"/>
    <w:rsid w:val="000E31A4"/>
    <w:rsid w:val="00104AEF"/>
    <w:rsid w:val="001F1547"/>
    <w:rsid w:val="00333A16"/>
    <w:rsid w:val="00555DC6"/>
    <w:rsid w:val="005D3CB8"/>
    <w:rsid w:val="00612765"/>
    <w:rsid w:val="006D0265"/>
    <w:rsid w:val="00722B56"/>
    <w:rsid w:val="007A4635"/>
    <w:rsid w:val="007B6B42"/>
    <w:rsid w:val="007D4B6E"/>
    <w:rsid w:val="007E0B31"/>
    <w:rsid w:val="00986454"/>
    <w:rsid w:val="00A30AD6"/>
    <w:rsid w:val="00AB1AA5"/>
    <w:rsid w:val="00AE7006"/>
    <w:rsid w:val="00B217C1"/>
    <w:rsid w:val="00C223AA"/>
    <w:rsid w:val="00D33F74"/>
    <w:rsid w:val="00DA5EF1"/>
    <w:rsid w:val="00DD2EB6"/>
    <w:rsid w:val="00E0014D"/>
    <w:rsid w:val="00F41C48"/>
    <w:rsid w:val="00F565AA"/>
    <w:rsid w:val="00F674D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C4EE"/>
  <w15:chartTrackingRefBased/>
  <w15:docId w15:val="{4CFC4AB0-62BC-4801-96FA-DA2AA92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A5"/>
  </w:style>
  <w:style w:type="paragraph" w:styleId="Titre2">
    <w:name w:val="heading 2"/>
    <w:basedOn w:val="Normal"/>
    <w:next w:val="Normal"/>
    <w:link w:val="Titre2Car"/>
    <w:uiPriority w:val="9"/>
    <w:unhideWhenUsed/>
    <w:qFormat/>
    <w:rsid w:val="000E31A4"/>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B1AA5"/>
    <w:pPr>
      <w:ind w:left="720"/>
      <w:contextualSpacing/>
    </w:pPr>
  </w:style>
  <w:style w:type="character" w:customStyle="1" w:styleId="ParagraphedelisteCar">
    <w:name w:val="Paragraphe de liste Car"/>
    <w:basedOn w:val="Policepardfaut"/>
    <w:link w:val="Paragraphedeliste"/>
    <w:uiPriority w:val="34"/>
    <w:locked/>
    <w:rsid w:val="00AB1AA5"/>
  </w:style>
  <w:style w:type="table" w:styleId="Grilledutableau">
    <w:name w:val="Table Grid"/>
    <w:basedOn w:val="TableauNormal"/>
    <w:uiPriority w:val="39"/>
    <w:rsid w:val="00AB1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AB1AA5"/>
    <w:pPr>
      <w:tabs>
        <w:tab w:val="left" w:pos="264"/>
      </w:tabs>
      <w:spacing w:after="0" w:line="240" w:lineRule="auto"/>
      <w:ind w:left="264" w:hanging="264"/>
    </w:pPr>
  </w:style>
  <w:style w:type="character" w:styleId="Marquedecommentaire">
    <w:name w:val="annotation reference"/>
    <w:basedOn w:val="Policepardfaut"/>
    <w:uiPriority w:val="99"/>
    <w:semiHidden/>
    <w:unhideWhenUsed/>
    <w:rsid w:val="001F1547"/>
    <w:rPr>
      <w:sz w:val="16"/>
      <w:szCs w:val="16"/>
    </w:rPr>
  </w:style>
  <w:style w:type="paragraph" w:styleId="Commentaire">
    <w:name w:val="annotation text"/>
    <w:basedOn w:val="Normal"/>
    <w:link w:val="CommentaireCar"/>
    <w:uiPriority w:val="99"/>
    <w:semiHidden/>
    <w:unhideWhenUsed/>
    <w:rsid w:val="001F1547"/>
    <w:pPr>
      <w:spacing w:line="240" w:lineRule="auto"/>
    </w:pPr>
    <w:rPr>
      <w:sz w:val="20"/>
      <w:szCs w:val="20"/>
    </w:rPr>
  </w:style>
  <w:style w:type="character" w:customStyle="1" w:styleId="CommentaireCar">
    <w:name w:val="Commentaire Car"/>
    <w:basedOn w:val="Policepardfaut"/>
    <w:link w:val="Commentaire"/>
    <w:uiPriority w:val="99"/>
    <w:semiHidden/>
    <w:rsid w:val="001F1547"/>
    <w:rPr>
      <w:sz w:val="20"/>
      <w:szCs w:val="20"/>
    </w:rPr>
  </w:style>
  <w:style w:type="paragraph" w:styleId="Objetducommentaire">
    <w:name w:val="annotation subject"/>
    <w:basedOn w:val="Commentaire"/>
    <w:next w:val="Commentaire"/>
    <w:link w:val="ObjetducommentaireCar"/>
    <w:uiPriority w:val="99"/>
    <w:semiHidden/>
    <w:unhideWhenUsed/>
    <w:rsid w:val="001F1547"/>
    <w:rPr>
      <w:b/>
      <w:bCs/>
    </w:rPr>
  </w:style>
  <w:style w:type="character" w:customStyle="1" w:styleId="ObjetducommentaireCar">
    <w:name w:val="Objet du commentaire Car"/>
    <w:basedOn w:val="CommentaireCar"/>
    <w:link w:val="Objetducommentaire"/>
    <w:uiPriority w:val="99"/>
    <w:semiHidden/>
    <w:rsid w:val="001F1547"/>
    <w:rPr>
      <w:b/>
      <w:bCs/>
      <w:sz w:val="20"/>
      <w:szCs w:val="20"/>
    </w:rPr>
  </w:style>
  <w:style w:type="paragraph" w:styleId="Rvision">
    <w:name w:val="Revision"/>
    <w:hidden/>
    <w:uiPriority w:val="99"/>
    <w:semiHidden/>
    <w:rsid w:val="006D0265"/>
    <w:pPr>
      <w:spacing w:after="0" w:line="240" w:lineRule="auto"/>
    </w:pPr>
  </w:style>
  <w:style w:type="paragraph" w:styleId="Textedebulles">
    <w:name w:val="Balloon Text"/>
    <w:basedOn w:val="Normal"/>
    <w:link w:val="TextedebullesCar"/>
    <w:uiPriority w:val="99"/>
    <w:semiHidden/>
    <w:unhideWhenUsed/>
    <w:rsid w:val="007B6B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6B42"/>
    <w:rPr>
      <w:rFonts w:ascii="Segoe UI" w:hAnsi="Segoe UI" w:cs="Segoe UI"/>
      <w:sz w:val="18"/>
      <w:szCs w:val="18"/>
    </w:rPr>
  </w:style>
  <w:style w:type="paragraph" w:customStyle="1" w:styleId="Default">
    <w:name w:val="Default"/>
    <w:rsid w:val="007D4B6E"/>
    <w:pPr>
      <w:autoSpaceDE w:val="0"/>
      <w:autoSpaceDN w:val="0"/>
      <w:adjustRightInd w:val="0"/>
      <w:spacing w:after="0" w:line="240" w:lineRule="auto"/>
    </w:pPr>
    <w:rPr>
      <w:rFonts w:ascii="Shaker 2 Lancet Regular" w:hAnsi="Shaker 2 Lancet Regular" w:cs="Shaker 2 Lancet Regular"/>
      <w:color w:val="000000"/>
      <w:sz w:val="24"/>
      <w:szCs w:val="24"/>
    </w:rPr>
  </w:style>
  <w:style w:type="character" w:customStyle="1" w:styleId="head31">
    <w:name w:val="head31"/>
    <w:uiPriority w:val="99"/>
    <w:rsid w:val="00555DC6"/>
    <w:rPr>
      <w:i/>
      <w:iCs/>
    </w:rPr>
  </w:style>
  <w:style w:type="character" w:customStyle="1" w:styleId="Titre2Car">
    <w:name w:val="Titre 2 Car"/>
    <w:basedOn w:val="Policepardfaut"/>
    <w:link w:val="Titre2"/>
    <w:uiPriority w:val="9"/>
    <w:rsid w:val="000E31A4"/>
    <w:rPr>
      <w:rFonts w:asciiTheme="majorHAnsi" w:eastAsiaTheme="majorEastAsia" w:hAnsiTheme="majorHAnsi" w:cstheme="majorBidi"/>
      <w:b/>
      <w:bCs/>
      <w:color w:val="5B9BD5" w:themeColor="accent1"/>
      <w:sz w:val="26"/>
      <w:szCs w:val="26"/>
      <w:lang w:val="en-US"/>
    </w:rPr>
  </w:style>
  <w:style w:type="paragraph" w:styleId="En-tte">
    <w:name w:val="header"/>
    <w:basedOn w:val="Normal"/>
    <w:link w:val="En-tteCar"/>
    <w:uiPriority w:val="99"/>
    <w:unhideWhenUsed/>
    <w:rsid w:val="00D33F74"/>
    <w:pPr>
      <w:tabs>
        <w:tab w:val="center" w:pos="4536"/>
        <w:tab w:val="right" w:pos="9072"/>
      </w:tabs>
      <w:spacing w:after="0" w:line="240" w:lineRule="auto"/>
    </w:pPr>
  </w:style>
  <w:style w:type="character" w:customStyle="1" w:styleId="En-tteCar">
    <w:name w:val="En-tête Car"/>
    <w:basedOn w:val="Policepardfaut"/>
    <w:link w:val="En-tte"/>
    <w:uiPriority w:val="99"/>
    <w:rsid w:val="00D33F74"/>
  </w:style>
  <w:style w:type="paragraph" w:styleId="Pieddepage">
    <w:name w:val="footer"/>
    <w:basedOn w:val="Normal"/>
    <w:link w:val="PieddepageCar"/>
    <w:uiPriority w:val="99"/>
    <w:unhideWhenUsed/>
    <w:rsid w:val="00D33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3667">
      <w:bodyDiv w:val="1"/>
      <w:marLeft w:val="0"/>
      <w:marRight w:val="0"/>
      <w:marTop w:val="0"/>
      <w:marBottom w:val="0"/>
      <w:divBdr>
        <w:top w:val="none" w:sz="0" w:space="0" w:color="auto"/>
        <w:left w:val="none" w:sz="0" w:space="0" w:color="auto"/>
        <w:bottom w:val="none" w:sz="0" w:space="0" w:color="auto"/>
        <w:right w:val="none" w:sz="0" w:space="0" w:color="auto"/>
      </w:divBdr>
    </w:div>
    <w:div w:id="108915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nlinelibrary-wiley-com.proxy.insermbiblio.inist.fr/doi/10.1111/cea.135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4972</Words>
  <Characters>27347</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Rosenzwajg</dc:creator>
  <cp:keywords/>
  <dc:description/>
  <cp:lastModifiedBy>Michelle Rosenzwajg</cp:lastModifiedBy>
  <cp:revision>3</cp:revision>
  <dcterms:created xsi:type="dcterms:W3CDTF">2025-06-30T13:53:00Z</dcterms:created>
  <dcterms:modified xsi:type="dcterms:W3CDTF">2025-07-10T08:14:00Z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id="7bfELejp"/&gt;&lt;style id="http://www.zotero.org/styles/nature-neuroscience-brief-communications" hasBibliography="1" bibliographyStyleHasBeenSet="1"/&gt;&lt;prefs&gt;&lt;pref name="fieldType" value="Field"/&gt;&lt;/pr</vt:lpwstr>
  </property>
  <property fmtid="{D5CDD505-2E9C-101B-9397-08002B2CF9AE}" pid="3" name="ZOTERO_PREF_2">
    <vt:lpwstr>efs&gt;&lt;/data&gt;</vt:lpwstr>
  </property>
</Properties>
</file>