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6C9FC"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noProof/>
          <w:sz w:val="22"/>
          <w:szCs w:val="22"/>
        </w:rPr>
        <w:drawing>
          <wp:inline distT="0" distB="0" distL="0" distR="0" wp14:anchorId="5D8BF154" wp14:editId="5CB6084B">
            <wp:extent cx="5727700" cy="3851910"/>
            <wp:effectExtent l="0" t="0" r="0" b="0"/>
            <wp:docPr id="9" name="Picture 9"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graph&#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3851910"/>
                    </a:xfrm>
                    <a:prstGeom prst="rect">
                      <a:avLst/>
                    </a:prstGeom>
                  </pic:spPr>
                </pic:pic>
              </a:graphicData>
            </a:graphic>
          </wp:inline>
        </w:drawing>
      </w:r>
    </w:p>
    <w:p w14:paraId="3C1F8B02"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b/>
          <w:sz w:val="22"/>
          <w:szCs w:val="22"/>
        </w:rPr>
        <w:t>Figure S1: Lifespans of 85 RIAILs exhibit large variations at both control and Dox-treated conditions</w:t>
      </w:r>
      <w:r w:rsidRPr="00F323CA">
        <w:rPr>
          <w:rFonts w:ascii="Times New Roman" w:hAnsi="Times New Roman" w:cs="Times New Roman"/>
          <w:sz w:val="22"/>
          <w:szCs w:val="22"/>
        </w:rPr>
        <w:t>. Lifespans of 85 RIAIL strains. Control condition: black lines; Dox treated: red lines. Statistical analysis was performed by log-rank analysis (*p&lt;0.05, **p&lt;0.01, ***p&lt;0.001, ****p&lt;0.0001, ns. not significant).</w:t>
      </w:r>
    </w:p>
    <w:p w14:paraId="2124A9FD"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sz w:val="22"/>
          <w:szCs w:val="22"/>
        </w:rPr>
        <w:br w:type="page"/>
      </w:r>
    </w:p>
    <w:p w14:paraId="169A15B8"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noProof/>
          <w:sz w:val="22"/>
          <w:szCs w:val="22"/>
        </w:rPr>
        <w:lastRenderedPageBreak/>
        <w:drawing>
          <wp:inline distT="0" distB="0" distL="0" distR="0" wp14:anchorId="4E690AD9" wp14:editId="2ED20C5C">
            <wp:extent cx="5727700" cy="4230370"/>
            <wp:effectExtent l="0" t="0" r="0" b="0"/>
            <wp:docPr id="2" name="Picture 2" descr="A screenshot of a computer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 gam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4230370"/>
                    </a:xfrm>
                    <a:prstGeom prst="rect">
                      <a:avLst/>
                    </a:prstGeom>
                  </pic:spPr>
                </pic:pic>
              </a:graphicData>
            </a:graphic>
          </wp:inline>
        </w:drawing>
      </w:r>
    </w:p>
    <w:p w14:paraId="30400046"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b/>
          <w:sz w:val="22"/>
          <w:szCs w:val="22"/>
        </w:rPr>
        <w:t>Figure S2:</w:t>
      </w:r>
      <w:r w:rsidRPr="00F323CA">
        <w:rPr>
          <w:rFonts w:ascii="Times New Roman" w:hAnsi="Times New Roman" w:cs="Times New Roman"/>
          <w:sz w:val="22"/>
          <w:szCs w:val="22"/>
        </w:rPr>
        <w:t xml:space="preserve"> </w:t>
      </w:r>
      <w:r w:rsidRPr="00F323CA">
        <w:rPr>
          <w:rFonts w:ascii="Times New Roman" w:hAnsi="Times New Roman" w:cs="Times New Roman"/>
          <w:b/>
          <w:sz w:val="22"/>
          <w:szCs w:val="22"/>
        </w:rPr>
        <w:t xml:space="preserve">Dox effect on physiological phenotypes, transcriptome, and proteome. (a) </w:t>
      </w:r>
      <w:r w:rsidRPr="00F323CA">
        <w:rPr>
          <w:rFonts w:ascii="Times New Roman" w:hAnsi="Times New Roman" w:cs="Times New Roman"/>
          <w:sz w:val="22"/>
          <w:szCs w:val="22"/>
        </w:rPr>
        <w:t xml:space="preserve">PCA analysis showing the Dox effect on 10 clinical phenotypes and indicating the main affected phenotypes. </w:t>
      </w:r>
      <w:r w:rsidRPr="00F323CA">
        <w:rPr>
          <w:rFonts w:ascii="Times New Roman" w:hAnsi="Times New Roman" w:cs="Times New Roman"/>
          <w:b/>
          <w:bCs/>
          <w:sz w:val="22"/>
          <w:szCs w:val="22"/>
        </w:rPr>
        <w:t>(b)</w:t>
      </w:r>
      <w:r w:rsidRPr="00F323CA">
        <w:rPr>
          <w:rFonts w:ascii="Times New Roman" w:hAnsi="Times New Roman" w:cs="Times New Roman"/>
          <w:sz w:val="22"/>
          <w:szCs w:val="22"/>
        </w:rPr>
        <w:t xml:space="preserve"> Percentage of time that a RIAIL strain spent in different shapes at control (upper) and Dox-treated (bottom) conditions. </w:t>
      </w:r>
      <w:r w:rsidRPr="00F323CA">
        <w:rPr>
          <w:rFonts w:ascii="Times New Roman" w:hAnsi="Times New Roman" w:cs="Times New Roman"/>
          <w:b/>
          <w:bCs/>
          <w:sz w:val="22"/>
          <w:szCs w:val="22"/>
        </w:rPr>
        <w:t>(c)</w:t>
      </w:r>
      <w:r w:rsidRPr="00F323CA">
        <w:rPr>
          <w:rFonts w:ascii="Times New Roman" w:hAnsi="Times New Roman" w:cs="Times New Roman"/>
          <w:sz w:val="22"/>
          <w:szCs w:val="22"/>
        </w:rPr>
        <w:t xml:space="preserve"> Violin plots of the percentage of time that RIAIL strains spent in different shapes under control (black) and Dox (red) conditions. P-values represent the comparison of each trait between the control and Dox</w:t>
      </w:r>
      <w:r>
        <w:rPr>
          <w:rFonts w:ascii="Times New Roman" w:hAnsi="Times New Roman" w:cs="Times New Roman"/>
          <w:sz w:val="22"/>
          <w:szCs w:val="22"/>
        </w:rPr>
        <w:t>,</w:t>
      </w:r>
      <w:r w:rsidRPr="00F323CA">
        <w:rPr>
          <w:rFonts w:ascii="Times New Roman" w:hAnsi="Times New Roman" w:cs="Times New Roman"/>
          <w:sz w:val="22"/>
          <w:szCs w:val="22"/>
        </w:rPr>
        <w:t xml:space="preserve"> calculated using </w:t>
      </w:r>
      <w:r>
        <w:rPr>
          <w:rFonts w:ascii="Times New Roman" w:hAnsi="Times New Roman" w:cs="Times New Roman"/>
          <w:sz w:val="22"/>
          <w:szCs w:val="22"/>
        </w:rPr>
        <w:t xml:space="preserve">a </w:t>
      </w:r>
      <w:r w:rsidRPr="00F323CA">
        <w:rPr>
          <w:rFonts w:ascii="Times New Roman" w:hAnsi="Times New Roman" w:cs="Times New Roman"/>
          <w:sz w:val="22"/>
          <w:szCs w:val="22"/>
        </w:rPr>
        <w:t xml:space="preserve">two-tailed Student’s t-test. Lines indicate the changes of each phenotype in each strain upon Dox. </w:t>
      </w:r>
      <w:r w:rsidRPr="00F323CA">
        <w:rPr>
          <w:rFonts w:ascii="Times New Roman" w:hAnsi="Times New Roman" w:cs="Times New Roman"/>
          <w:b/>
          <w:bCs/>
          <w:sz w:val="22"/>
          <w:szCs w:val="22"/>
        </w:rPr>
        <w:t xml:space="preserve">(d) </w:t>
      </w:r>
      <w:r>
        <w:rPr>
          <w:rFonts w:ascii="Times New Roman" w:hAnsi="Times New Roman" w:cs="Times New Roman"/>
          <w:sz w:val="22"/>
          <w:szCs w:val="22"/>
        </w:rPr>
        <w:t>The d</w:t>
      </w:r>
      <w:r w:rsidRPr="00F323CA">
        <w:rPr>
          <w:rFonts w:ascii="Times New Roman" w:hAnsi="Times New Roman" w:cs="Times New Roman"/>
          <w:sz w:val="22"/>
          <w:szCs w:val="22"/>
        </w:rPr>
        <w:t xml:space="preserve">ot plot shows the changes </w:t>
      </w:r>
      <w:r>
        <w:rPr>
          <w:rFonts w:ascii="Times New Roman" w:hAnsi="Times New Roman" w:cs="Times New Roman"/>
          <w:sz w:val="22"/>
          <w:szCs w:val="22"/>
        </w:rPr>
        <w:t>in</w:t>
      </w:r>
      <w:r w:rsidRPr="00F323CA">
        <w:rPr>
          <w:rFonts w:ascii="Times New Roman" w:hAnsi="Times New Roman" w:cs="Times New Roman"/>
          <w:sz w:val="22"/>
          <w:szCs w:val="22"/>
        </w:rPr>
        <w:t xml:space="preserve"> physiological traits upon Dox among RIAILs. Strains were ranked by lifespan extension induced by MSR (colored in orange). The Dox effect on these traits was evaluated by Cohen’s effect and represented by color. -Log</w:t>
      </w:r>
      <w:r w:rsidRPr="00F323CA">
        <w:rPr>
          <w:rFonts w:ascii="Times New Roman" w:hAnsi="Times New Roman" w:cs="Times New Roman"/>
          <w:sz w:val="22"/>
          <w:szCs w:val="22"/>
          <w:vertAlign w:val="subscript"/>
        </w:rPr>
        <w:t>10</w:t>
      </w:r>
      <w:r w:rsidRPr="00F323CA">
        <w:rPr>
          <w:rFonts w:ascii="Times New Roman" w:hAnsi="Times New Roman" w:cs="Times New Roman"/>
          <w:sz w:val="22"/>
          <w:szCs w:val="22"/>
        </w:rPr>
        <w:t>(adj.P.Val) is shown by dot size and indicated as * -Log</w:t>
      </w:r>
      <w:r w:rsidRPr="00F323CA">
        <w:rPr>
          <w:rFonts w:ascii="Times New Roman" w:hAnsi="Times New Roman" w:cs="Times New Roman"/>
          <w:sz w:val="22"/>
          <w:szCs w:val="22"/>
          <w:vertAlign w:val="subscript"/>
        </w:rPr>
        <w:t>10</w:t>
      </w:r>
      <w:r w:rsidRPr="00F323CA">
        <w:rPr>
          <w:rFonts w:ascii="Times New Roman" w:hAnsi="Times New Roman" w:cs="Times New Roman"/>
          <w:sz w:val="22"/>
          <w:szCs w:val="22"/>
        </w:rPr>
        <w:t>(adj.P.Val) &lt; 0.05, ** -Log</w:t>
      </w:r>
      <w:r w:rsidRPr="00F323CA">
        <w:rPr>
          <w:rFonts w:ascii="Times New Roman" w:hAnsi="Times New Roman" w:cs="Times New Roman"/>
          <w:sz w:val="22"/>
          <w:szCs w:val="22"/>
          <w:vertAlign w:val="subscript"/>
        </w:rPr>
        <w:t>10</w:t>
      </w:r>
      <w:r w:rsidRPr="00F323CA">
        <w:rPr>
          <w:rFonts w:ascii="Times New Roman" w:hAnsi="Times New Roman" w:cs="Times New Roman"/>
          <w:sz w:val="22"/>
          <w:szCs w:val="22"/>
        </w:rPr>
        <w:t>(adj.P.Val) &lt; 0.01, *** -Log</w:t>
      </w:r>
      <w:r w:rsidRPr="00F323CA">
        <w:rPr>
          <w:rFonts w:ascii="Times New Roman" w:hAnsi="Times New Roman" w:cs="Times New Roman"/>
          <w:sz w:val="22"/>
          <w:szCs w:val="22"/>
          <w:vertAlign w:val="subscript"/>
        </w:rPr>
        <w:t>10</w:t>
      </w:r>
      <w:r w:rsidRPr="00F323CA">
        <w:rPr>
          <w:rFonts w:ascii="Times New Roman" w:hAnsi="Times New Roman" w:cs="Times New Roman"/>
          <w:sz w:val="22"/>
          <w:szCs w:val="22"/>
        </w:rPr>
        <w:t>(adj.P.Val) &lt; 0.001.</w:t>
      </w:r>
    </w:p>
    <w:p w14:paraId="22573B66"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sz w:val="22"/>
          <w:szCs w:val="22"/>
        </w:rPr>
        <w:br w:type="page"/>
      </w:r>
    </w:p>
    <w:p w14:paraId="078E73DA"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noProof/>
          <w:sz w:val="22"/>
          <w:szCs w:val="22"/>
        </w:rPr>
        <w:lastRenderedPageBreak/>
        <w:drawing>
          <wp:inline distT="0" distB="0" distL="0" distR="0" wp14:anchorId="4B3103FB" wp14:editId="327296DE">
            <wp:extent cx="5727700" cy="4246880"/>
            <wp:effectExtent l="0" t="0" r="0" b="0"/>
            <wp:docPr id="4" name="Picture 4" descr="A collage of images of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llage of images of a flag&#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4246880"/>
                    </a:xfrm>
                    <a:prstGeom prst="rect">
                      <a:avLst/>
                    </a:prstGeom>
                  </pic:spPr>
                </pic:pic>
              </a:graphicData>
            </a:graphic>
          </wp:inline>
        </w:drawing>
      </w:r>
    </w:p>
    <w:p w14:paraId="7EFF23B8" w14:textId="77777777" w:rsidR="00AD540B" w:rsidRPr="00F323CA" w:rsidRDefault="00AD540B" w:rsidP="00AD540B">
      <w:pPr>
        <w:adjustRightInd w:val="0"/>
        <w:snapToGrid w:val="0"/>
        <w:spacing w:before="120" w:after="120"/>
        <w:jc w:val="both"/>
        <w:rPr>
          <w:rFonts w:ascii="Times New Roman" w:hAnsi="Times New Roman" w:cs="Times New Roman"/>
          <w:bCs/>
          <w:sz w:val="22"/>
          <w:szCs w:val="22"/>
        </w:rPr>
      </w:pPr>
      <w:r w:rsidRPr="00F323CA">
        <w:rPr>
          <w:rFonts w:ascii="Times New Roman" w:hAnsi="Times New Roman" w:cs="Times New Roman"/>
          <w:b/>
          <w:sz w:val="22"/>
          <w:szCs w:val="22"/>
        </w:rPr>
        <w:t>Figure S3:</w:t>
      </w:r>
      <w:r w:rsidRPr="00F323CA">
        <w:rPr>
          <w:rFonts w:ascii="Times New Roman" w:hAnsi="Times New Roman" w:cs="Times New Roman"/>
          <w:sz w:val="22"/>
          <w:szCs w:val="22"/>
        </w:rPr>
        <w:t xml:space="preserve"> </w:t>
      </w:r>
      <w:r w:rsidRPr="00F323CA">
        <w:rPr>
          <w:rFonts w:ascii="Times New Roman" w:hAnsi="Times New Roman" w:cs="Times New Roman"/>
          <w:b/>
          <w:sz w:val="22"/>
          <w:szCs w:val="22"/>
        </w:rPr>
        <w:t>Dox effect on transcriptome and proteome.</w:t>
      </w:r>
      <w:r w:rsidRPr="00F323CA">
        <w:rPr>
          <w:rFonts w:ascii="Times New Roman" w:hAnsi="Times New Roman" w:cs="Times New Roman"/>
          <w:sz w:val="22"/>
          <w:szCs w:val="22"/>
        </w:rPr>
        <w:t xml:space="preserve">  </w:t>
      </w:r>
      <w:r w:rsidRPr="00F323CA">
        <w:rPr>
          <w:rFonts w:ascii="Times New Roman" w:hAnsi="Times New Roman" w:cs="Times New Roman"/>
          <w:b/>
          <w:bCs/>
          <w:sz w:val="22"/>
          <w:szCs w:val="22"/>
        </w:rPr>
        <w:t>(a, b)</w:t>
      </w:r>
      <w:r w:rsidRPr="00F323CA">
        <w:rPr>
          <w:rFonts w:ascii="Times New Roman" w:hAnsi="Times New Roman" w:cs="Times New Roman"/>
          <w:sz w:val="22"/>
          <w:szCs w:val="22"/>
        </w:rPr>
        <w:t xml:space="preserve"> Volcano plots showing the Dox effect on transcriptome </w:t>
      </w:r>
      <w:r w:rsidRPr="00F323CA">
        <w:rPr>
          <w:rFonts w:ascii="Times New Roman" w:hAnsi="Times New Roman" w:cs="Times New Roman"/>
          <w:b/>
          <w:bCs/>
          <w:sz w:val="22"/>
          <w:szCs w:val="22"/>
        </w:rPr>
        <w:t>(a)</w:t>
      </w:r>
      <w:r w:rsidRPr="00F323CA">
        <w:rPr>
          <w:rFonts w:ascii="Times New Roman" w:hAnsi="Times New Roman" w:cs="Times New Roman"/>
          <w:sz w:val="22"/>
          <w:szCs w:val="22"/>
        </w:rPr>
        <w:t xml:space="preserve"> and proteome </w:t>
      </w:r>
      <w:r w:rsidRPr="00F323CA">
        <w:rPr>
          <w:rFonts w:ascii="Times New Roman" w:hAnsi="Times New Roman" w:cs="Times New Roman"/>
          <w:b/>
          <w:bCs/>
          <w:sz w:val="22"/>
          <w:szCs w:val="22"/>
        </w:rPr>
        <w:t>(b)</w:t>
      </w:r>
      <w:r w:rsidRPr="00F323CA">
        <w:rPr>
          <w:rFonts w:ascii="Times New Roman" w:hAnsi="Times New Roman" w:cs="Times New Roman"/>
          <w:sz w:val="22"/>
          <w:szCs w:val="22"/>
        </w:rPr>
        <w:t xml:space="preserve">. Up- and down-regulated genes/proteins are indicated by red and blue, respectively. </w:t>
      </w:r>
      <w:r w:rsidRPr="00F323CA">
        <w:rPr>
          <w:rFonts w:ascii="Times New Roman" w:hAnsi="Times New Roman" w:cs="Times New Roman"/>
          <w:b/>
          <w:bCs/>
          <w:sz w:val="22"/>
          <w:szCs w:val="22"/>
        </w:rPr>
        <w:t xml:space="preserve">(c) </w:t>
      </w:r>
      <w:r w:rsidRPr="00F323CA">
        <w:rPr>
          <w:rFonts w:ascii="Times New Roman" w:hAnsi="Times New Roman" w:cs="Times New Roman"/>
          <w:sz w:val="22"/>
          <w:szCs w:val="22"/>
        </w:rPr>
        <w:t>Boxplot show</w:t>
      </w:r>
      <w:r>
        <w:rPr>
          <w:rFonts w:ascii="Times New Roman" w:hAnsi="Times New Roman" w:cs="Times New Roman"/>
          <w:sz w:val="22"/>
          <w:szCs w:val="22"/>
        </w:rPr>
        <w:t>s</w:t>
      </w:r>
      <w:r w:rsidRPr="00F323CA">
        <w:rPr>
          <w:rFonts w:ascii="Times New Roman" w:hAnsi="Times New Roman" w:cs="Times New Roman"/>
          <w:sz w:val="22"/>
          <w:szCs w:val="22"/>
        </w:rPr>
        <w:t xml:space="preserve"> that the candidate genes identified from the QTL peak with corrected RNAi have higher gene expression than those without RNAi or corrected RNAi.</w:t>
      </w:r>
    </w:p>
    <w:p w14:paraId="1D0A4C85"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p>
    <w:p w14:paraId="2F265BC4"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noProof/>
          <w:sz w:val="22"/>
          <w:szCs w:val="22"/>
        </w:rPr>
        <w:drawing>
          <wp:inline distT="0" distB="0" distL="0" distR="0" wp14:anchorId="71127E97" wp14:editId="6D8F4CAE">
            <wp:extent cx="5727700" cy="1501775"/>
            <wp:effectExtent l="0" t="0" r="0" b="0"/>
            <wp:docPr id="689823763" name="Picture 2" descr="A line in the d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23763" name="Picture 2" descr="A line in the dark&#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1501775"/>
                    </a:xfrm>
                    <a:prstGeom prst="rect">
                      <a:avLst/>
                    </a:prstGeom>
                  </pic:spPr>
                </pic:pic>
              </a:graphicData>
            </a:graphic>
          </wp:inline>
        </w:drawing>
      </w:r>
    </w:p>
    <w:p w14:paraId="6D9B32AF"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b/>
          <w:sz w:val="22"/>
          <w:szCs w:val="22"/>
        </w:rPr>
        <w:t xml:space="preserve">Figure S4: The effects of three identified longevity-related transcription factors. </w:t>
      </w:r>
      <w:r w:rsidRPr="00F323CA">
        <w:rPr>
          <w:rFonts w:ascii="Times New Roman" w:hAnsi="Times New Roman" w:cs="Times New Roman"/>
          <w:bCs/>
          <w:sz w:val="22"/>
          <w:szCs w:val="22"/>
        </w:rPr>
        <w:t>(</w:t>
      </w:r>
      <w:r w:rsidRPr="00F323CA">
        <w:rPr>
          <w:rFonts w:ascii="Times New Roman" w:hAnsi="Times New Roman" w:cs="Times New Roman"/>
          <w:b/>
          <w:sz w:val="22"/>
          <w:szCs w:val="22"/>
        </w:rPr>
        <w:t>a-b</w:t>
      </w:r>
      <w:r w:rsidRPr="00F323CA">
        <w:rPr>
          <w:rFonts w:ascii="Times New Roman" w:hAnsi="Times New Roman" w:cs="Times New Roman"/>
          <w:bCs/>
          <w:sz w:val="22"/>
          <w:szCs w:val="22"/>
        </w:rPr>
        <w:t xml:space="preserve">) RNAi of </w:t>
      </w:r>
      <w:r w:rsidRPr="00F323CA">
        <w:rPr>
          <w:rFonts w:ascii="Times New Roman" w:hAnsi="Times New Roman" w:cs="Times New Roman"/>
          <w:bCs/>
          <w:i/>
          <w:iCs/>
          <w:sz w:val="22"/>
          <w:szCs w:val="22"/>
        </w:rPr>
        <w:t>dmd-5</w:t>
      </w:r>
      <w:r w:rsidRPr="00F323CA">
        <w:rPr>
          <w:rFonts w:ascii="Times New Roman" w:hAnsi="Times New Roman" w:cs="Times New Roman"/>
          <w:bCs/>
          <w:sz w:val="22"/>
          <w:szCs w:val="22"/>
        </w:rPr>
        <w:t xml:space="preserve"> (</w:t>
      </w:r>
      <w:r w:rsidRPr="00F323CA">
        <w:rPr>
          <w:rFonts w:ascii="Times New Roman" w:hAnsi="Times New Roman" w:cs="Times New Roman"/>
          <w:b/>
          <w:sz w:val="22"/>
          <w:szCs w:val="22"/>
        </w:rPr>
        <w:t>a</w:t>
      </w:r>
      <w:r w:rsidRPr="00F323CA">
        <w:rPr>
          <w:rFonts w:ascii="Times New Roman" w:hAnsi="Times New Roman" w:cs="Times New Roman"/>
          <w:bCs/>
          <w:sz w:val="22"/>
          <w:szCs w:val="22"/>
        </w:rPr>
        <w:t xml:space="preserve">) and </w:t>
      </w:r>
      <w:r w:rsidRPr="00F323CA">
        <w:rPr>
          <w:rFonts w:ascii="Times New Roman" w:hAnsi="Times New Roman" w:cs="Times New Roman"/>
          <w:bCs/>
          <w:i/>
          <w:iCs/>
          <w:sz w:val="22"/>
          <w:szCs w:val="22"/>
        </w:rPr>
        <w:t>irx-1</w:t>
      </w:r>
      <w:r w:rsidRPr="00F323CA">
        <w:rPr>
          <w:rFonts w:ascii="Times New Roman" w:hAnsi="Times New Roman" w:cs="Times New Roman"/>
          <w:bCs/>
          <w:sz w:val="22"/>
          <w:szCs w:val="22"/>
        </w:rPr>
        <w:t xml:space="preserve"> (b) prolonged worm lifespan. (</w:t>
      </w:r>
      <w:r w:rsidRPr="00F323CA">
        <w:rPr>
          <w:rFonts w:ascii="Times New Roman" w:hAnsi="Times New Roman" w:cs="Times New Roman"/>
          <w:b/>
          <w:sz w:val="22"/>
          <w:szCs w:val="22"/>
        </w:rPr>
        <w:t>c</w:t>
      </w:r>
      <w:r w:rsidRPr="00F323CA">
        <w:rPr>
          <w:rFonts w:ascii="Times New Roman" w:hAnsi="Times New Roman" w:cs="Times New Roman"/>
          <w:bCs/>
          <w:sz w:val="22"/>
          <w:szCs w:val="22"/>
        </w:rPr>
        <w:t xml:space="preserve">) RNAi of </w:t>
      </w:r>
      <w:r w:rsidRPr="00F323CA">
        <w:rPr>
          <w:rFonts w:ascii="Times New Roman" w:hAnsi="Times New Roman" w:cs="Times New Roman"/>
          <w:bCs/>
          <w:i/>
          <w:iCs/>
          <w:sz w:val="22"/>
          <w:szCs w:val="22"/>
        </w:rPr>
        <w:t>nhr-25</w:t>
      </w:r>
      <w:r w:rsidRPr="00F323CA">
        <w:rPr>
          <w:rFonts w:ascii="Times New Roman" w:hAnsi="Times New Roman" w:cs="Times New Roman"/>
          <w:bCs/>
          <w:sz w:val="22"/>
          <w:szCs w:val="22"/>
        </w:rPr>
        <w:t xml:space="preserve"> shortened the lifespan of </w:t>
      </w:r>
      <w:r w:rsidRPr="00F323CA">
        <w:rPr>
          <w:rFonts w:ascii="Times New Roman" w:hAnsi="Times New Roman" w:cs="Times New Roman"/>
          <w:bCs/>
          <w:i/>
          <w:iCs/>
          <w:sz w:val="22"/>
          <w:szCs w:val="22"/>
        </w:rPr>
        <w:t>C. elegans.</w:t>
      </w:r>
      <w:r w:rsidRPr="00F323CA">
        <w:rPr>
          <w:rFonts w:ascii="Times New Roman" w:hAnsi="Times New Roman" w:cs="Times New Roman"/>
          <w:sz w:val="22"/>
          <w:szCs w:val="22"/>
        </w:rPr>
        <w:t xml:space="preserve"> Statistical analysis was performed by log-rank analysis.</w:t>
      </w:r>
    </w:p>
    <w:p w14:paraId="75F46486" w14:textId="77777777" w:rsidR="00AD540B" w:rsidRPr="00F323CA" w:rsidRDefault="00AD540B" w:rsidP="00AD540B">
      <w:pPr>
        <w:rPr>
          <w:rFonts w:ascii="Times New Roman" w:hAnsi="Times New Roman" w:cs="Times New Roman"/>
          <w:sz w:val="22"/>
          <w:szCs w:val="22"/>
        </w:rPr>
      </w:pPr>
      <w:r w:rsidRPr="00F323CA">
        <w:rPr>
          <w:rFonts w:ascii="Times New Roman" w:hAnsi="Times New Roman" w:cs="Times New Roman"/>
          <w:sz w:val="22"/>
          <w:szCs w:val="22"/>
        </w:rPr>
        <w:br w:type="page"/>
      </w:r>
    </w:p>
    <w:p w14:paraId="3BC159BF" w14:textId="77777777" w:rsidR="00AD540B" w:rsidRPr="00F323CA" w:rsidRDefault="00AD540B" w:rsidP="00AD540B">
      <w:pPr>
        <w:jc w:val="center"/>
        <w:rPr>
          <w:rFonts w:ascii="Times New Roman" w:hAnsi="Times New Roman" w:cs="Times New Roman"/>
          <w:sz w:val="22"/>
          <w:szCs w:val="22"/>
        </w:rPr>
      </w:pPr>
      <w:r w:rsidRPr="00F323CA">
        <w:rPr>
          <w:rFonts w:ascii="Times New Roman" w:hAnsi="Times New Roman" w:cs="Times New Roman"/>
          <w:noProof/>
          <w:sz w:val="22"/>
          <w:szCs w:val="22"/>
        </w:rPr>
        <w:lastRenderedPageBreak/>
        <w:drawing>
          <wp:inline distT="0" distB="0" distL="0" distR="0" wp14:anchorId="2D7DA9B8" wp14:editId="0D35F949">
            <wp:extent cx="4670163" cy="4680000"/>
            <wp:effectExtent l="0" t="0" r="3810" b="0"/>
            <wp:docPr id="2018263362"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263362" name="Picture 1" descr="A screenshot of a graph&#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70163" cy="4680000"/>
                    </a:xfrm>
                    <a:prstGeom prst="rect">
                      <a:avLst/>
                    </a:prstGeom>
                  </pic:spPr>
                </pic:pic>
              </a:graphicData>
            </a:graphic>
          </wp:inline>
        </w:drawing>
      </w:r>
    </w:p>
    <w:p w14:paraId="039CD1FA" w14:textId="77777777" w:rsidR="00AD540B" w:rsidRPr="00F323CA" w:rsidRDefault="00AD540B" w:rsidP="00AD540B">
      <w:pPr>
        <w:rPr>
          <w:rFonts w:ascii="Times New Roman" w:hAnsi="Times New Roman" w:cs="Times New Roman"/>
          <w:sz w:val="22"/>
          <w:szCs w:val="22"/>
        </w:rPr>
      </w:pPr>
    </w:p>
    <w:p w14:paraId="32301247" w14:textId="77777777" w:rsidR="00AD540B" w:rsidRPr="00F323CA" w:rsidRDefault="00AD540B" w:rsidP="00AD540B">
      <w:pPr>
        <w:adjustRightInd w:val="0"/>
        <w:snapToGrid w:val="0"/>
        <w:spacing w:before="120" w:after="120"/>
        <w:jc w:val="both"/>
        <w:rPr>
          <w:rFonts w:ascii="Times New Roman" w:hAnsi="Times New Roman" w:cs="Times New Roman"/>
          <w:sz w:val="22"/>
          <w:szCs w:val="22"/>
        </w:rPr>
      </w:pPr>
      <w:r w:rsidRPr="00F323CA">
        <w:rPr>
          <w:rFonts w:ascii="Times New Roman" w:hAnsi="Times New Roman" w:cs="Times New Roman"/>
          <w:b/>
          <w:sz w:val="22"/>
          <w:szCs w:val="22"/>
        </w:rPr>
        <w:t xml:space="preserve">Figure S5: Exploring the biological function of </w:t>
      </w:r>
      <w:r w:rsidRPr="00876B8F">
        <w:rPr>
          <w:rFonts w:ascii="Times New Roman" w:hAnsi="Times New Roman" w:cs="Times New Roman"/>
          <w:b/>
          <w:i/>
          <w:iCs/>
          <w:sz w:val="22"/>
          <w:szCs w:val="22"/>
        </w:rPr>
        <w:t>FIP1L1</w:t>
      </w:r>
      <w:r w:rsidRPr="00F323CA">
        <w:rPr>
          <w:rFonts w:ascii="Times New Roman" w:hAnsi="Times New Roman" w:cs="Times New Roman"/>
          <w:b/>
          <w:sz w:val="22"/>
          <w:szCs w:val="22"/>
        </w:rPr>
        <w:t xml:space="preserve"> in mice and humans. </w:t>
      </w:r>
      <w:r w:rsidRPr="00F323CA">
        <w:rPr>
          <w:rFonts w:ascii="Times New Roman" w:hAnsi="Times New Roman" w:cs="Times New Roman"/>
          <w:bCs/>
          <w:sz w:val="22"/>
          <w:szCs w:val="22"/>
        </w:rPr>
        <w:t>(</w:t>
      </w:r>
      <w:r w:rsidRPr="00F323CA">
        <w:rPr>
          <w:rFonts w:ascii="Times New Roman" w:hAnsi="Times New Roman" w:cs="Times New Roman"/>
          <w:b/>
          <w:sz w:val="22"/>
          <w:szCs w:val="22"/>
        </w:rPr>
        <w:t>a-b</w:t>
      </w:r>
      <w:r w:rsidRPr="00F323CA">
        <w:rPr>
          <w:rFonts w:ascii="Times New Roman" w:hAnsi="Times New Roman" w:cs="Times New Roman"/>
          <w:bCs/>
          <w:sz w:val="22"/>
          <w:szCs w:val="22"/>
        </w:rPr>
        <w:t>) Manhattan plots showing the associated gene expression modules of</w:t>
      </w:r>
      <w:r w:rsidRPr="00F323CA">
        <w:rPr>
          <w:rFonts w:ascii="Times New Roman" w:hAnsi="Times New Roman" w:cs="Times New Roman"/>
          <w:bCs/>
          <w:i/>
          <w:iCs/>
          <w:sz w:val="22"/>
          <w:szCs w:val="22"/>
        </w:rPr>
        <w:t xml:space="preserve"> Fip1l1</w:t>
      </w:r>
      <w:r w:rsidRPr="00F323CA">
        <w:rPr>
          <w:rFonts w:ascii="Times New Roman" w:hAnsi="Times New Roman" w:cs="Times New Roman"/>
          <w:bCs/>
          <w:sz w:val="22"/>
          <w:szCs w:val="22"/>
        </w:rPr>
        <w:t xml:space="preserve"> in mouse </w:t>
      </w:r>
      <w:r w:rsidRPr="00F323CA">
        <w:rPr>
          <w:rFonts w:ascii="Times New Roman" w:hAnsi="Times New Roman" w:cs="Times New Roman"/>
          <w:b/>
          <w:sz w:val="22"/>
          <w:szCs w:val="22"/>
        </w:rPr>
        <w:t>(a)</w:t>
      </w:r>
      <w:r w:rsidRPr="00F323CA">
        <w:rPr>
          <w:rFonts w:ascii="Times New Roman" w:hAnsi="Times New Roman" w:cs="Times New Roman"/>
          <w:bCs/>
          <w:sz w:val="22"/>
          <w:szCs w:val="22"/>
        </w:rPr>
        <w:t xml:space="preserve"> and human muscles </w:t>
      </w:r>
      <w:r w:rsidRPr="00F323CA">
        <w:rPr>
          <w:rFonts w:ascii="Times New Roman" w:hAnsi="Times New Roman" w:cs="Times New Roman"/>
          <w:b/>
          <w:sz w:val="22"/>
          <w:szCs w:val="22"/>
        </w:rPr>
        <w:t>(b)</w:t>
      </w:r>
      <w:r w:rsidRPr="00F323CA">
        <w:rPr>
          <w:rFonts w:ascii="Times New Roman" w:hAnsi="Times New Roman" w:cs="Times New Roman"/>
          <w:bCs/>
          <w:sz w:val="22"/>
          <w:szCs w:val="22"/>
        </w:rPr>
        <w:t xml:space="preserve">. Data were retrieved from </w:t>
      </w:r>
      <w:hyperlink r:id="rId9" w:history="1">
        <w:r w:rsidRPr="00F323CA">
          <w:rPr>
            <w:rStyle w:val="Hyperlink"/>
            <w:rFonts w:ascii="Times New Roman" w:hAnsi="Times New Roman" w:cs="Times New Roman"/>
            <w:bCs/>
            <w:sz w:val="22"/>
            <w:szCs w:val="22"/>
          </w:rPr>
          <w:t>https://systems-genetics.org/gmad</w:t>
        </w:r>
      </w:hyperlink>
      <w:r w:rsidRPr="00F323CA">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{"citationID":"xtnNH2LC","properties":{"formattedCitation":"\\super 75\\nosupersub{}","plainCitation":"75","noteIndex":0},"citationItems":[{"id":89,"uris":["http://zotero.org/users/6724017/items/QRKGCHDG"],"itemData":{"id":89,"type":"article-journal","abstract":"Identifying genetic and environmental factors that impact complex traits and common diseases is a high biomedical priority. Here, we developed, validated, and implemented a series of multi-layered systems approaches, including (expression-based) phenome-wide association, transcriptome-/proteome-wide association, and (reverse-) mediation analysis, in an open-access web server (systems-genetics.org) to expedite the systems dissection of gene function. We applied these approaches to multi-omics datasets from the BXD mouse genetic reference population, and identified and validated associations between genes and clinical and molecular phenotypes, including previously unreported links between Rpl26 and body weight, and Cpt1a and lipid metabolism. Furthermore, through mediation and reverse-mediation analysis we established regulatory relations between genes, such as the co-regulation of BCKDHA and BCKDHB protein levels, and identified targets of transcription factors E2F6, ZFP277, and ZKSCAN1. Our multifaceted toolkit enabled the identification of gene-gene and gene-phenotype links that are robust and that translate well across populations and species, and can be universally applied to any populations with multi-omics datasets.","container-title":"Cell Systems","DOI":"10.1016/j.cels.2017.10.016","ISSN":"2405-4712","issue":"1","journalAbbreviation":"Cell Systems","language":"en","page":"90-102.e4","source":"ScienceDirect","title":"An Integrated Systems Genetics and Omics Toolkit to Probe Gene Function","volume":"6","author":[{"family":"Li","given":"Hao"},{"family":"Wang","given":"Xu"},{"family":"Rukina","given":"Daria"},{"family":"Huang","given":"Qingyao"},{"family":"Lin","given":"Tao"},{"family":"Sorrentino","given":"Vincenzo"},{"family":"Zhang","given":"Hongbo"},{"family":"Bou Sleiman","given":"Maroun"},{"family":"Arends","given":"Danny"},{"family":"McDaid","given":"Aaron"},{"family":"Luan","given":"Peiling"},{"family":"Ziari","given":"Naveed"},{"family":"Velázquez-Villegas","given":"Laura A."},{"family":"Gariani","given":"Karim"},{"family":"Kutalik","given":"Zoltan"},{"family":"Schoonjans","given":"Kristina"},{"family":"Radcliffe","given":"Richard A."},{"family":"Prins","given":"Pjotr"},{"family":"Morgenthaler","given":"Stephan"},{"family":"Williams","given":"Robert W."},{"family":"Auwerx","given":"Johan"}],"issued":{"date-parts":[["2018",1,24]]}}}],"schema":"https://github.com/citation-style-language/schema/raw/master/csl-citation.json"} </w:instrText>
      </w:r>
      <w:r w:rsidRPr="00F323CA">
        <w:rPr>
          <w:rFonts w:ascii="Times New Roman" w:hAnsi="Times New Roman" w:cs="Times New Roman"/>
          <w:sz w:val="22"/>
          <w:szCs w:val="22"/>
        </w:rPr>
        <w:fldChar w:fldCharType="separate"/>
      </w:r>
      <w:r w:rsidRPr="00531D8C">
        <w:rPr>
          <w:rFonts w:ascii="Times New Roman" w:hAnsi="Times New Roman" w:cs="Times New Roman"/>
          <w:sz w:val="22"/>
          <w:vertAlign w:val="superscript"/>
          <w:lang w:val="en-GB"/>
        </w:rPr>
        <w:t>75</w:t>
      </w:r>
      <w:r w:rsidRPr="00F323CA">
        <w:rPr>
          <w:rFonts w:ascii="Times New Roman" w:hAnsi="Times New Roman" w:cs="Times New Roman"/>
          <w:sz w:val="22"/>
          <w:szCs w:val="22"/>
        </w:rPr>
        <w:fldChar w:fldCharType="end"/>
      </w:r>
      <w:r w:rsidRPr="00F323CA">
        <w:rPr>
          <w:rFonts w:ascii="Times New Roman" w:hAnsi="Times New Roman" w:cs="Times New Roman"/>
          <w:bCs/>
          <w:sz w:val="22"/>
          <w:szCs w:val="22"/>
        </w:rPr>
        <w:t xml:space="preserve">. The threshold is represented by the red dashed line (absolute gene-module association score ≥ 0.268). Terms above the threshold are identified as the significant associated terms. GO terms or gene modules are ranked by similarity. </w:t>
      </w:r>
      <w:r w:rsidRPr="00F323CA">
        <w:rPr>
          <w:rFonts w:ascii="Times New Roman" w:hAnsi="Times New Roman" w:cs="Times New Roman"/>
          <w:sz w:val="22"/>
          <w:szCs w:val="22"/>
        </w:rPr>
        <w:fldChar w:fldCharType="begin"/>
      </w:r>
      <w:r w:rsidRPr="00F323CA">
        <w:rPr>
          <w:rFonts w:ascii="Times New Roman" w:hAnsi="Times New Roman" w:cs="Times New Roman"/>
          <w:sz w:val="22"/>
          <w:szCs w:val="22"/>
        </w:rPr>
        <w:instrText xml:space="preserve"> ADDIN EN.REFLIST </w:instrText>
      </w:r>
      <w:r w:rsidRPr="00F323CA">
        <w:rPr>
          <w:rFonts w:ascii="Times New Roman" w:hAnsi="Times New Roman" w:cs="Times New Roman"/>
          <w:sz w:val="22"/>
          <w:szCs w:val="22"/>
        </w:rPr>
        <w:fldChar w:fldCharType="end"/>
      </w:r>
    </w:p>
    <w:p w14:paraId="7939F8F1" w14:textId="77777777" w:rsidR="00AD540B" w:rsidRPr="00F323CA" w:rsidRDefault="00AD540B" w:rsidP="00AD540B">
      <w:pPr>
        <w:spacing w:after="160" w:line="278" w:lineRule="auto"/>
        <w:rPr>
          <w:rFonts w:ascii="Times New Roman" w:hAnsi="Times New Roman" w:cs="Times New Roman"/>
          <w:b/>
          <w:sz w:val="22"/>
          <w:szCs w:val="22"/>
        </w:rPr>
      </w:pPr>
      <w:r w:rsidRPr="00F323CA">
        <w:rPr>
          <w:rFonts w:ascii="Times New Roman" w:hAnsi="Times New Roman" w:cs="Times New Roman"/>
          <w:b/>
          <w:sz w:val="22"/>
          <w:szCs w:val="22"/>
        </w:rPr>
        <w:br w:type="page"/>
      </w:r>
    </w:p>
    <w:p w14:paraId="40103CDF" w14:textId="77777777" w:rsidR="00AD540B" w:rsidRPr="00F323CA" w:rsidRDefault="00AD540B" w:rsidP="00AD540B">
      <w:pPr>
        <w:spacing w:after="120"/>
        <w:rPr>
          <w:rFonts w:ascii="Times New Roman" w:eastAsia="Arial" w:hAnsi="Times New Roman" w:cs="Times New Roman"/>
          <w:b/>
          <w:color w:val="000000" w:themeColor="text1"/>
          <w:sz w:val="22"/>
          <w:szCs w:val="22"/>
        </w:rPr>
      </w:pPr>
      <w:r w:rsidRPr="00F323CA">
        <w:rPr>
          <w:rFonts w:ascii="Times New Roman" w:eastAsia="Arial" w:hAnsi="Times New Roman" w:cs="Times New Roman"/>
          <w:b/>
          <w:color w:val="000000" w:themeColor="text1"/>
          <w:sz w:val="22"/>
          <w:szCs w:val="22"/>
        </w:rPr>
        <w:lastRenderedPageBreak/>
        <w:t xml:space="preserve">Table S1: Primers used for </w:t>
      </w:r>
      <w:r w:rsidRPr="00F323CA">
        <w:rPr>
          <w:rFonts w:ascii="Times New Roman" w:eastAsia="Arial" w:hAnsi="Times New Roman" w:cs="Times New Roman"/>
          <w:b/>
          <w:i/>
          <w:color w:val="000000" w:themeColor="text1"/>
          <w:sz w:val="22"/>
          <w:szCs w:val="22"/>
        </w:rPr>
        <w:t xml:space="preserve">C. elegans </w:t>
      </w:r>
      <w:r w:rsidRPr="00F323CA">
        <w:rPr>
          <w:rFonts w:ascii="Times New Roman" w:eastAsia="Arial" w:hAnsi="Times New Roman" w:cs="Times New Roman"/>
          <w:b/>
          <w:color w:val="000000" w:themeColor="text1"/>
          <w:sz w:val="22"/>
          <w:szCs w:val="22"/>
        </w:rPr>
        <w:t>q</w:t>
      </w:r>
      <w:r>
        <w:rPr>
          <w:rFonts w:ascii="Times New Roman" w:eastAsia="Arial" w:hAnsi="Times New Roman" w:cs="Times New Roman"/>
          <w:b/>
          <w:color w:val="000000" w:themeColor="text1"/>
          <w:sz w:val="22"/>
          <w:szCs w:val="22"/>
        </w:rPr>
        <w:t>RT-</w:t>
      </w:r>
      <w:r w:rsidRPr="00F323CA">
        <w:rPr>
          <w:rFonts w:ascii="Times New Roman" w:eastAsia="Arial" w:hAnsi="Times New Roman" w:cs="Times New Roman"/>
          <w:b/>
          <w:color w:val="000000" w:themeColor="text1"/>
          <w:sz w:val="22"/>
          <w:szCs w:val="22"/>
        </w:rPr>
        <w:t>PCR</w:t>
      </w:r>
    </w:p>
    <w:tbl>
      <w:tblPr>
        <w:tblW w:w="89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939"/>
        <w:gridCol w:w="3580"/>
        <w:gridCol w:w="3402"/>
      </w:tblGrid>
      <w:tr w:rsidR="00AD540B" w:rsidRPr="00F323CA" w14:paraId="201964BA" w14:textId="77777777" w:rsidTr="001F14D1">
        <w:trPr>
          <w:trHeight w:val="224"/>
        </w:trPr>
        <w:tc>
          <w:tcPr>
            <w:tcW w:w="193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FC12A6" w14:textId="77777777" w:rsidR="00AD540B" w:rsidRPr="00F323CA" w:rsidRDefault="00AD540B" w:rsidP="001F14D1">
            <w:pPr>
              <w:spacing w:line="276" w:lineRule="auto"/>
              <w:rPr>
                <w:rFonts w:ascii="Times New Roman" w:eastAsia="Arial" w:hAnsi="Times New Roman" w:cs="Times New Roman"/>
                <w:b/>
                <w:sz w:val="22"/>
                <w:szCs w:val="22"/>
              </w:rPr>
            </w:pPr>
            <w:r w:rsidRPr="00F323CA">
              <w:rPr>
                <w:rFonts w:ascii="Times New Roman" w:eastAsia="Arial" w:hAnsi="Times New Roman" w:cs="Times New Roman"/>
                <w:b/>
                <w:sz w:val="22"/>
                <w:szCs w:val="22"/>
              </w:rPr>
              <w:t>Gene</w:t>
            </w:r>
          </w:p>
        </w:tc>
        <w:tc>
          <w:tcPr>
            <w:tcW w:w="3580"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66449C3" w14:textId="77777777" w:rsidR="00AD540B" w:rsidRPr="00F323CA" w:rsidRDefault="00AD540B" w:rsidP="001F14D1">
            <w:pPr>
              <w:spacing w:line="276" w:lineRule="auto"/>
              <w:rPr>
                <w:rFonts w:ascii="Times New Roman" w:eastAsia="Arial" w:hAnsi="Times New Roman" w:cs="Times New Roman"/>
                <w:b/>
                <w:sz w:val="22"/>
                <w:szCs w:val="22"/>
              </w:rPr>
            </w:pPr>
            <w:r w:rsidRPr="00F323CA">
              <w:rPr>
                <w:rFonts w:ascii="Times New Roman" w:eastAsia="Arial Unicode MS" w:hAnsi="Times New Roman" w:cs="Times New Roman"/>
                <w:b/>
                <w:sz w:val="22"/>
                <w:szCs w:val="22"/>
              </w:rPr>
              <w:t>Forward (sequence 5’→3’)</w:t>
            </w:r>
          </w:p>
        </w:tc>
        <w:tc>
          <w:tcPr>
            <w:tcW w:w="3402"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06EA76A" w14:textId="77777777" w:rsidR="00AD540B" w:rsidRPr="00F323CA" w:rsidRDefault="00AD540B" w:rsidP="001F14D1">
            <w:pPr>
              <w:spacing w:line="276" w:lineRule="auto"/>
              <w:rPr>
                <w:rFonts w:ascii="Times New Roman" w:eastAsia="Arial" w:hAnsi="Times New Roman" w:cs="Times New Roman"/>
                <w:b/>
                <w:sz w:val="22"/>
                <w:szCs w:val="22"/>
              </w:rPr>
            </w:pPr>
            <w:r w:rsidRPr="00F323CA">
              <w:rPr>
                <w:rFonts w:ascii="Times New Roman" w:eastAsia="Arial Unicode MS" w:hAnsi="Times New Roman" w:cs="Times New Roman"/>
                <w:b/>
                <w:sz w:val="22"/>
                <w:szCs w:val="22"/>
              </w:rPr>
              <w:t>Reverse (sequence 5’→3’)</w:t>
            </w:r>
          </w:p>
        </w:tc>
      </w:tr>
      <w:tr w:rsidR="00AD540B" w:rsidRPr="00F323CA" w14:paraId="15490B72" w14:textId="77777777" w:rsidTr="001F14D1">
        <w:trPr>
          <w:trHeight w:val="224"/>
        </w:trPr>
        <w:tc>
          <w:tcPr>
            <w:tcW w:w="1939"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939F789" w14:textId="77777777" w:rsidR="00AD540B" w:rsidRPr="00F323CA" w:rsidRDefault="00AD540B" w:rsidP="001F14D1">
            <w:pPr>
              <w:rPr>
                <w:rFonts w:ascii="Times New Roman" w:eastAsia="Arial" w:hAnsi="Times New Roman" w:cs="Times New Roman"/>
                <w:b/>
                <w:sz w:val="22"/>
                <w:szCs w:val="22"/>
              </w:rPr>
            </w:pPr>
            <w:r w:rsidRPr="00F323CA">
              <w:rPr>
                <w:rFonts w:ascii="Times New Roman" w:eastAsia="Arial" w:hAnsi="Times New Roman" w:cs="Times New Roman"/>
                <w:b/>
                <w:sz w:val="22"/>
                <w:szCs w:val="22"/>
              </w:rPr>
              <w:t>Reference gene</w:t>
            </w:r>
          </w:p>
        </w:tc>
        <w:tc>
          <w:tcPr>
            <w:tcW w:w="3580" w:type="dxa"/>
            <w:tcBorders>
              <w:bottom w:val="single" w:sz="8" w:space="0" w:color="000000"/>
              <w:right w:val="single" w:sz="8" w:space="0" w:color="000000"/>
            </w:tcBorders>
            <w:shd w:val="clear" w:color="auto" w:fill="auto"/>
            <w:tcMar>
              <w:top w:w="100" w:type="dxa"/>
              <w:left w:w="100" w:type="dxa"/>
              <w:bottom w:w="100" w:type="dxa"/>
              <w:right w:w="100" w:type="dxa"/>
            </w:tcMar>
          </w:tcPr>
          <w:p w14:paraId="0FD9EC95"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 xml:space="preserve"> </w:t>
            </w:r>
          </w:p>
        </w:tc>
        <w:tc>
          <w:tcPr>
            <w:tcW w:w="3402" w:type="dxa"/>
            <w:tcBorders>
              <w:bottom w:val="single" w:sz="8" w:space="0" w:color="000000"/>
              <w:right w:val="single" w:sz="8" w:space="0" w:color="000000"/>
            </w:tcBorders>
            <w:shd w:val="clear" w:color="auto" w:fill="auto"/>
            <w:tcMar>
              <w:top w:w="100" w:type="dxa"/>
              <w:left w:w="100" w:type="dxa"/>
              <w:bottom w:w="100" w:type="dxa"/>
              <w:right w:w="100" w:type="dxa"/>
            </w:tcMar>
          </w:tcPr>
          <w:p w14:paraId="3655D13E"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 xml:space="preserve"> </w:t>
            </w:r>
          </w:p>
        </w:tc>
      </w:tr>
      <w:tr w:rsidR="00AD540B" w:rsidRPr="00F323CA" w14:paraId="6D757078" w14:textId="77777777" w:rsidTr="001F14D1">
        <w:trPr>
          <w:trHeight w:val="224"/>
        </w:trPr>
        <w:tc>
          <w:tcPr>
            <w:tcW w:w="1939"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E48D8AD" w14:textId="77777777" w:rsidR="00AD540B" w:rsidRPr="00F323CA" w:rsidRDefault="00AD540B" w:rsidP="001F14D1">
            <w:pPr>
              <w:rPr>
                <w:rFonts w:ascii="Times New Roman" w:eastAsia="Arial" w:hAnsi="Times New Roman" w:cs="Times New Roman"/>
                <w:i/>
                <w:sz w:val="22"/>
                <w:szCs w:val="22"/>
              </w:rPr>
            </w:pPr>
            <w:r w:rsidRPr="00F323CA">
              <w:rPr>
                <w:rFonts w:ascii="Times New Roman" w:eastAsia="Arial" w:hAnsi="Times New Roman" w:cs="Times New Roman"/>
                <w:i/>
                <w:sz w:val="22"/>
                <w:szCs w:val="22"/>
              </w:rPr>
              <w:t>cdc-42</w:t>
            </w:r>
          </w:p>
        </w:tc>
        <w:tc>
          <w:tcPr>
            <w:tcW w:w="3580" w:type="dxa"/>
            <w:tcBorders>
              <w:bottom w:val="single" w:sz="8" w:space="0" w:color="000000"/>
              <w:right w:val="single" w:sz="8" w:space="0" w:color="000000"/>
            </w:tcBorders>
            <w:shd w:val="clear" w:color="auto" w:fill="auto"/>
            <w:tcMar>
              <w:top w:w="100" w:type="dxa"/>
              <w:left w:w="100" w:type="dxa"/>
              <w:bottom w:w="100" w:type="dxa"/>
              <w:right w:w="100" w:type="dxa"/>
            </w:tcMar>
          </w:tcPr>
          <w:p w14:paraId="3BAD2A88"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TCGACAATTACGCCGTCACA</w:t>
            </w:r>
          </w:p>
        </w:tc>
        <w:tc>
          <w:tcPr>
            <w:tcW w:w="3402" w:type="dxa"/>
            <w:tcBorders>
              <w:bottom w:val="single" w:sz="8" w:space="0" w:color="000000"/>
              <w:right w:val="single" w:sz="8" w:space="0" w:color="000000"/>
            </w:tcBorders>
            <w:shd w:val="clear" w:color="auto" w:fill="auto"/>
            <w:tcMar>
              <w:top w:w="100" w:type="dxa"/>
              <w:left w:w="100" w:type="dxa"/>
              <w:bottom w:w="100" w:type="dxa"/>
              <w:right w:w="100" w:type="dxa"/>
            </w:tcMar>
          </w:tcPr>
          <w:p w14:paraId="7D457A65"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AGGCACCCATTTTTCTCGGA</w:t>
            </w:r>
          </w:p>
        </w:tc>
      </w:tr>
      <w:tr w:rsidR="00AD540B" w:rsidRPr="00F323CA" w14:paraId="2D95A7C7" w14:textId="77777777" w:rsidTr="001F14D1">
        <w:trPr>
          <w:trHeight w:val="224"/>
        </w:trPr>
        <w:tc>
          <w:tcPr>
            <w:tcW w:w="1939"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68AE7E" w14:textId="77777777" w:rsidR="00AD540B" w:rsidRPr="00F323CA" w:rsidRDefault="00AD540B" w:rsidP="001F14D1">
            <w:pPr>
              <w:rPr>
                <w:rFonts w:ascii="Times New Roman" w:eastAsia="Arial" w:hAnsi="Times New Roman" w:cs="Times New Roman"/>
                <w:i/>
                <w:sz w:val="22"/>
                <w:szCs w:val="22"/>
              </w:rPr>
            </w:pPr>
            <w:r w:rsidRPr="00F323CA">
              <w:rPr>
                <w:rFonts w:ascii="Times New Roman" w:eastAsia="Arial" w:hAnsi="Times New Roman" w:cs="Times New Roman"/>
                <w:i/>
                <w:sz w:val="22"/>
                <w:szCs w:val="22"/>
              </w:rPr>
              <w:t>pmp-3</w:t>
            </w:r>
          </w:p>
        </w:tc>
        <w:tc>
          <w:tcPr>
            <w:tcW w:w="3580" w:type="dxa"/>
            <w:tcBorders>
              <w:bottom w:val="single" w:sz="8" w:space="0" w:color="000000"/>
              <w:right w:val="single" w:sz="8" w:space="0" w:color="000000"/>
            </w:tcBorders>
            <w:shd w:val="clear" w:color="auto" w:fill="auto"/>
            <w:tcMar>
              <w:top w:w="100" w:type="dxa"/>
              <w:left w:w="100" w:type="dxa"/>
              <w:bottom w:w="100" w:type="dxa"/>
              <w:right w:w="100" w:type="dxa"/>
            </w:tcMar>
          </w:tcPr>
          <w:p w14:paraId="43FAFE33"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GTCGAACGATGTGGTGGTCT</w:t>
            </w:r>
          </w:p>
        </w:tc>
        <w:tc>
          <w:tcPr>
            <w:tcW w:w="3402" w:type="dxa"/>
            <w:tcBorders>
              <w:bottom w:val="single" w:sz="8" w:space="0" w:color="000000"/>
              <w:right w:val="single" w:sz="8" w:space="0" w:color="000000"/>
            </w:tcBorders>
            <w:shd w:val="clear" w:color="auto" w:fill="auto"/>
            <w:tcMar>
              <w:top w:w="100" w:type="dxa"/>
              <w:left w:w="100" w:type="dxa"/>
              <w:bottom w:w="100" w:type="dxa"/>
              <w:right w:w="100" w:type="dxa"/>
            </w:tcMar>
          </w:tcPr>
          <w:p w14:paraId="0EF6CFFC"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AGGCACCCATTTTTCTCGGA</w:t>
            </w:r>
          </w:p>
        </w:tc>
      </w:tr>
      <w:tr w:rsidR="00AD540B" w:rsidRPr="00F323CA" w14:paraId="1BD34A87" w14:textId="77777777" w:rsidTr="001F14D1">
        <w:trPr>
          <w:trHeight w:val="224"/>
        </w:trPr>
        <w:tc>
          <w:tcPr>
            <w:tcW w:w="1939"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523DBB" w14:textId="77777777" w:rsidR="00AD540B" w:rsidRPr="00F323CA" w:rsidRDefault="00AD540B" w:rsidP="001F14D1">
            <w:pPr>
              <w:rPr>
                <w:rFonts w:ascii="Times New Roman" w:eastAsia="Arial" w:hAnsi="Times New Roman" w:cs="Times New Roman"/>
                <w:b/>
                <w:sz w:val="22"/>
                <w:szCs w:val="22"/>
              </w:rPr>
            </w:pPr>
            <w:r w:rsidRPr="00F323CA">
              <w:rPr>
                <w:rFonts w:ascii="Times New Roman" w:eastAsia="Arial" w:hAnsi="Times New Roman" w:cs="Times New Roman"/>
                <w:b/>
                <w:sz w:val="22"/>
                <w:szCs w:val="22"/>
              </w:rPr>
              <w:t>Target genes</w:t>
            </w:r>
          </w:p>
        </w:tc>
        <w:tc>
          <w:tcPr>
            <w:tcW w:w="3580" w:type="dxa"/>
            <w:tcBorders>
              <w:bottom w:val="single" w:sz="8" w:space="0" w:color="000000"/>
              <w:right w:val="single" w:sz="8" w:space="0" w:color="000000"/>
            </w:tcBorders>
            <w:shd w:val="clear" w:color="auto" w:fill="auto"/>
            <w:tcMar>
              <w:top w:w="100" w:type="dxa"/>
              <w:left w:w="100" w:type="dxa"/>
              <w:bottom w:w="100" w:type="dxa"/>
              <w:right w:w="100" w:type="dxa"/>
            </w:tcMar>
          </w:tcPr>
          <w:p w14:paraId="2B1710DE"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 xml:space="preserve"> </w:t>
            </w:r>
          </w:p>
        </w:tc>
        <w:tc>
          <w:tcPr>
            <w:tcW w:w="3402" w:type="dxa"/>
            <w:tcBorders>
              <w:bottom w:val="single" w:sz="8" w:space="0" w:color="000000"/>
              <w:right w:val="single" w:sz="8" w:space="0" w:color="000000"/>
            </w:tcBorders>
            <w:shd w:val="clear" w:color="auto" w:fill="auto"/>
            <w:tcMar>
              <w:top w:w="100" w:type="dxa"/>
              <w:left w:w="100" w:type="dxa"/>
              <w:bottom w:w="100" w:type="dxa"/>
              <w:right w:w="100" w:type="dxa"/>
            </w:tcMar>
          </w:tcPr>
          <w:p w14:paraId="2EEED7A3"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 xml:space="preserve"> </w:t>
            </w:r>
          </w:p>
        </w:tc>
      </w:tr>
      <w:tr w:rsidR="00AD540B" w:rsidRPr="00F323CA" w14:paraId="5BD2D443" w14:textId="77777777" w:rsidTr="001F14D1">
        <w:trPr>
          <w:trHeight w:val="224"/>
        </w:trPr>
        <w:tc>
          <w:tcPr>
            <w:tcW w:w="1939"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DEED5E" w14:textId="77777777" w:rsidR="00AD540B" w:rsidRPr="00F323CA" w:rsidRDefault="00AD540B" w:rsidP="001F14D1">
            <w:pPr>
              <w:rPr>
                <w:rFonts w:ascii="Times New Roman" w:eastAsia="Arial" w:hAnsi="Times New Roman" w:cs="Times New Roman"/>
                <w:i/>
                <w:sz w:val="22"/>
                <w:szCs w:val="22"/>
              </w:rPr>
            </w:pPr>
            <w:r w:rsidRPr="00F323CA">
              <w:rPr>
                <w:rFonts w:ascii="Times New Roman" w:eastAsia="Arial" w:hAnsi="Times New Roman" w:cs="Times New Roman"/>
                <w:i/>
                <w:sz w:val="22"/>
                <w:szCs w:val="22"/>
              </w:rPr>
              <w:t>clec-4</w:t>
            </w:r>
          </w:p>
        </w:tc>
        <w:tc>
          <w:tcPr>
            <w:tcW w:w="3580" w:type="dxa"/>
            <w:tcBorders>
              <w:bottom w:val="single" w:sz="8" w:space="0" w:color="000000"/>
              <w:right w:val="single" w:sz="8" w:space="0" w:color="000000"/>
            </w:tcBorders>
            <w:shd w:val="clear" w:color="auto" w:fill="auto"/>
            <w:tcMar>
              <w:top w:w="100" w:type="dxa"/>
              <w:left w:w="100" w:type="dxa"/>
              <w:bottom w:w="100" w:type="dxa"/>
              <w:right w:w="100" w:type="dxa"/>
            </w:tcMar>
          </w:tcPr>
          <w:p w14:paraId="6A44FE32"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GGGATATGGAGCGACACTGG</w:t>
            </w:r>
          </w:p>
        </w:tc>
        <w:tc>
          <w:tcPr>
            <w:tcW w:w="3402" w:type="dxa"/>
            <w:tcBorders>
              <w:bottom w:val="single" w:sz="8" w:space="0" w:color="000000"/>
              <w:right w:val="single" w:sz="8" w:space="0" w:color="000000"/>
            </w:tcBorders>
            <w:shd w:val="clear" w:color="auto" w:fill="auto"/>
            <w:tcMar>
              <w:top w:w="100" w:type="dxa"/>
              <w:left w:w="100" w:type="dxa"/>
              <w:bottom w:w="100" w:type="dxa"/>
              <w:right w:w="100" w:type="dxa"/>
            </w:tcMar>
          </w:tcPr>
          <w:p w14:paraId="73D8B634"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TCGCAAATCTTCTGGCCCTT</w:t>
            </w:r>
          </w:p>
        </w:tc>
      </w:tr>
      <w:tr w:rsidR="00AD540B" w:rsidRPr="00F323CA" w14:paraId="32EFB2EA" w14:textId="77777777" w:rsidTr="001F14D1">
        <w:trPr>
          <w:trHeight w:val="224"/>
        </w:trPr>
        <w:tc>
          <w:tcPr>
            <w:tcW w:w="1939"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225F36B" w14:textId="77777777" w:rsidR="00AD540B" w:rsidRPr="00F323CA" w:rsidRDefault="00AD540B" w:rsidP="001F14D1">
            <w:pPr>
              <w:rPr>
                <w:rFonts w:ascii="Times New Roman" w:eastAsia="Arial" w:hAnsi="Times New Roman" w:cs="Times New Roman"/>
                <w:i/>
                <w:sz w:val="22"/>
                <w:szCs w:val="22"/>
              </w:rPr>
            </w:pPr>
            <w:r w:rsidRPr="00F323CA">
              <w:rPr>
                <w:rFonts w:ascii="Times New Roman" w:eastAsia="Arial" w:hAnsi="Times New Roman" w:cs="Times New Roman"/>
                <w:i/>
                <w:sz w:val="22"/>
                <w:szCs w:val="22"/>
              </w:rPr>
              <w:t>timm17</w:t>
            </w:r>
          </w:p>
        </w:tc>
        <w:tc>
          <w:tcPr>
            <w:tcW w:w="3580" w:type="dxa"/>
            <w:tcBorders>
              <w:bottom w:val="single" w:sz="8" w:space="0" w:color="000000"/>
              <w:right w:val="single" w:sz="8" w:space="0" w:color="000000"/>
            </w:tcBorders>
            <w:shd w:val="clear" w:color="auto" w:fill="auto"/>
            <w:tcMar>
              <w:top w:w="100" w:type="dxa"/>
              <w:left w:w="100" w:type="dxa"/>
              <w:bottom w:w="100" w:type="dxa"/>
              <w:right w:w="100" w:type="dxa"/>
            </w:tcMar>
          </w:tcPr>
          <w:p w14:paraId="44F82AFC"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ACCAGAGAGCCATGCCCATATC</w:t>
            </w:r>
          </w:p>
        </w:tc>
        <w:tc>
          <w:tcPr>
            <w:tcW w:w="3402" w:type="dxa"/>
            <w:tcBorders>
              <w:bottom w:val="single" w:sz="8" w:space="0" w:color="000000"/>
              <w:right w:val="single" w:sz="8" w:space="0" w:color="000000"/>
            </w:tcBorders>
            <w:shd w:val="clear" w:color="auto" w:fill="auto"/>
            <w:tcMar>
              <w:top w:w="100" w:type="dxa"/>
              <w:left w:w="100" w:type="dxa"/>
              <w:bottom w:w="100" w:type="dxa"/>
              <w:right w:w="100" w:type="dxa"/>
            </w:tcMar>
          </w:tcPr>
          <w:p w14:paraId="7F95DA96"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ATCACCGAAGTTGGAGGGGG</w:t>
            </w:r>
          </w:p>
        </w:tc>
      </w:tr>
      <w:tr w:rsidR="00AD540B" w:rsidRPr="00F323CA" w14:paraId="707A5E0C" w14:textId="77777777" w:rsidTr="001F14D1">
        <w:trPr>
          <w:trHeight w:val="224"/>
        </w:trPr>
        <w:tc>
          <w:tcPr>
            <w:tcW w:w="1939"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0AF8FC1" w14:textId="77777777" w:rsidR="00AD540B" w:rsidRPr="00F323CA" w:rsidRDefault="00AD540B" w:rsidP="001F14D1">
            <w:pPr>
              <w:rPr>
                <w:rFonts w:ascii="Times New Roman" w:eastAsia="Arial" w:hAnsi="Times New Roman" w:cs="Times New Roman"/>
                <w:i/>
                <w:sz w:val="22"/>
                <w:szCs w:val="22"/>
              </w:rPr>
            </w:pPr>
            <w:r w:rsidRPr="00F323CA">
              <w:rPr>
                <w:rFonts w:ascii="Times New Roman" w:eastAsia="Arial" w:hAnsi="Times New Roman" w:cs="Times New Roman"/>
                <w:i/>
                <w:sz w:val="22"/>
                <w:szCs w:val="22"/>
              </w:rPr>
              <w:t>hsp-6</w:t>
            </w:r>
          </w:p>
        </w:tc>
        <w:tc>
          <w:tcPr>
            <w:tcW w:w="3580" w:type="dxa"/>
            <w:tcBorders>
              <w:bottom w:val="single" w:sz="8" w:space="0" w:color="000000"/>
              <w:right w:val="single" w:sz="8" w:space="0" w:color="000000"/>
            </w:tcBorders>
            <w:shd w:val="clear" w:color="auto" w:fill="auto"/>
            <w:tcMar>
              <w:top w:w="100" w:type="dxa"/>
              <w:left w:w="100" w:type="dxa"/>
              <w:bottom w:w="100" w:type="dxa"/>
              <w:right w:w="100" w:type="dxa"/>
            </w:tcMar>
          </w:tcPr>
          <w:p w14:paraId="5A2AA34C"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AGAGCCAAGTTCGAGCAGAT</w:t>
            </w:r>
          </w:p>
        </w:tc>
        <w:tc>
          <w:tcPr>
            <w:tcW w:w="3402" w:type="dxa"/>
            <w:tcBorders>
              <w:bottom w:val="single" w:sz="8" w:space="0" w:color="000000"/>
              <w:right w:val="single" w:sz="8" w:space="0" w:color="000000"/>
            </w:tcBorders>
            <w:shd w:val="clear" w:color="auto" w:fill="auto"/>
            <w:tcMar>
              <w:top w:w="100" w:type="dxa"/>
              <w:left w:w="100" w:type="dxa"/>
              <w:bottom w:w="100" w:type="dxa"/>
              <w:right w:w="100" w:type="dxa"/>
            </w:tcMar>
          </w:tcPr>
          <w:p w14:paraId="30C77FB0"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TCTTGAACAGTGGCTTGCAC</w:t>
            </w:r>
          </w:p>
        </w:tc>
      </w:tr>
      <w:tr w:rsidR="00AD540B" w:rsidRPr="00F323CA" w14:paraId="32E2D554" w14:textId="77777777" w:rsidTr="001F14D1">
        <w:trPr>
          <w:trHeight w:val="224"/>
        </w:trPr>
        <w:tc>
          <w:tcPr>
            <w:tcW w:w="1939" w:type="dxa"/>
            <w:tcBorders>
              <w:top w:val="single" w:sz="4" w:space="0" w:color="auto"/>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76EDC5" w14:textId="77777777" w:rsidR="00AD540B" w:rsidRPr="00F323CA" w:rsidRDefault="00AD540B" w:rsidP="001F14D1">
            <w:pPr>
              <w:rPr>
                <w:rFonts w:ascii="Times New Roman" w:eastAsia="Arial" w:hAnsi="Times New Roman" w:cs="Times New Roman"/>
                <w:i/>
                <w:sz w:val="22"/>
                <w:szCs w:val="22"/>
              </w:rPr>
            </w:pPr>
            <w:r w:rsidRPr="00F323CA">
              <w:rPr>
                <w:rFonts w:ascii="Times New Roman" w:eastAsia="Arial" w:hAnsi="Times New Roman" w:cs="Times New Roman"/>
                <w:i/>
                <w:sz w:val="22"/>
                <w:szCs w:val="22"/>
              </w:rPr>
              <w:t>hsp-60</w:t>
            </w:r>
          </w:p>
        </w:tc>
        <w:tc>
          <w:tcPr>
            <w:tcW w:w="3580" w:type="dxa"/>
            <w:tcBorders>
              <w:top w:val="single" w:sz="4" w:space="0" w:color="auto"/>
              <w:bottom w:val="single" w:sz="8" w:space="0" w:color="000000"/>
              <w:right w:val="single" w:sz="8" w:space="0" w:color="000000"/>
            </w:tcBorders>
            <w:shd w:val="clear" w:color="auto" w:fill="auto"/>
            <w:tcMar>
              <w:top w:w="100" w:type="dxa"/>
              <w:left w:w="100" w:type="dxa"/>
              <w:bottom w:w="100" w:type="dxa"/>
              <w:right w:w="100" w:type="dxa"/>
            </w:tcMar>
          </w:tcPr>
          <w:p w14:paraId="6A8C5855"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GGAAGCCCAAAGATCACAAA</w:t>
            </w:r>
          </w:p>
        </w:tc>
        <w:tc>
          <w:tcPr>
            <w:tcW w:w="3402" w:type="dxa"/>
            <w:tcBorders>
              <w:top w:val="single" w:sz="4" w:space="0" w:color="auto"/>
              <w:bottom w:val="single" w:sz="8" w:space="0" w:color="000000"/>
              <w:right w:val="single" w:sz="8" w:space="0" w:color="000000"/>
            </w:tcBorders>
            <w:shd w:val="clear" w:color="auto" w:fill="auto"/>
            <w:tcMar>
              <w:top w:w="100" w:type="dxa"/>
              <w:left w:w="100" w:type="dxa"/>
              <w:bottom w:w="100" w:type="dxa"/>
              <w:right w:w="100" w:type="dxa"/>
            </w:tcMar>
          </w:tcPr>
          <w:p w14:paraId="2525B6CE" w14:textId="77777777" w:rsidR="00AD540B" w:rsidRPr="00F323CA" w:rsidRDefault="00AD540B" w:rsidP="001F14D1">
            <w:pPr>
              <w:rPr>
                <w:rFonts w:ascii="Times New Roman" w:eastAsia="Arial" w:hAnsi="Times New Roman" w:cs="Times New Roman"/>
                <w:sz w:val="22"/>
                <w:szCs w:val="22"/>
              </w:rPr>
            </w:pPr>
            <w:r w:rsidRPr="00F323CA">
              <w:rPr>
                <w:rFonts w:ascii="Times New Roman" w:eastAsia="Arial" w:hAnsi="Times New Roman" w:cs="Times New Roman"/>
                <w:sz w:val="22"/>
                <w:szCs w:val="22"/>
              </w:rPr>
              <w:t>CAGCCTCCTCATTAGCCTTG</w:t>
            </w:r>
          </w:p>
        </w:tc>
      </w:tr>
    </w:tbl>
    <w:p w14:paraId="431EBED9" w14:textId="77777777" w:rsidR="00AD540B" w:rsidRPr="00F323CA" w:rsidRDefault="00AD540B" w:rsidP="00AD540B">
      <w:pPr>
        <w:rPr>
          <w:rFonts w:ascii="Times New Roman" w:hAnsi="Times New Roman" w:cs="Times New Roman"/>
          <w:sz w:val="22"/>
          <w:szCs w:val="22"/>
        </w:rPr>
      </w:pPr>
    </w:p>
    <w:p w14:paraId="0D8C61AD" w14:textId="77777777" w:rsidR="00AD540B" w:rsidRPr="00F323CA" w:rsidRDefault="00AD540B" w:rsidP="00AD540B">
      <w:pPr>
        <w:spacing w:after="160" w:line="278" w:lineRule="auto"/>
        <w:rPr>
          <w:rFonts w:ascii="Times New Roman" w:hAnsi="Times New Roman" w:cs="Times New Roman"/>
          <w:b/>
          <w:sz w:val="22"/>
          <w:szCs w:val="22"/>
        </w:rPr>
      </w:pPr>
      <w:r w:rsidRPr="00F323CA">
        <w:rPr>
          <w:rFonts w:ascii="Times New Roman" w:hAnsi="Times New Roman" w:cs="Times New Roman"/>
          <w:b/>
          <w:sz w:val="22"/>
          <w:szCs w:val="22"/>
        </w:rPr>
        <w:br w:type="page"/>
      </w:r>
    </w:p>
    <w:p w14:paraId="792874AB"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40B"/>
    <w:rsid w:val="003C2EF4"/>
    <w:rsid w:val="00446799"/>
    <w:rsid w:val="006A7E07"/>
    <w:rsid w:val="00701021"/>
    <w:rsid w:val="00745BAD"/>
    <w:rsid w:val="00AD540B"/>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5B2A3"/>
  <w15:chartTrackingRefBased/>
  <w15:docId w15:val="{364F144E-BA1F-4E7E-A801-F04BED3AB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40B"/>
    <w:pPr>
      <w:spacing w:after="0" w:line="240" w:lineRule="auto"/>
    </w:pPr>
    <w:rPr>
      <w:rFonts w:eastAsiaTheme="minorEastAsia"/>
      <w:kern w:val="0"/>
      <w:lang w:eastAsia="zh-CN"/>
      <w14:ligatures w14:val="none"/>
    </w:rPr>
  </w:style>
  <w:style w:type="paragraph" w:styleId="Heading1">
    <w:name w:val="heading 1"/>
    <w:basedOn w:val="Normal"/>
    <w:next w:val="Normal"/>
    <w:link w:val="Heading1Char"/>
    <w:uiPriority w:val="9"/>
    <w:qFormat/>
    <w:rsid w:val="00AD540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D540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D540B"/>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D540B"/>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AD540B"/>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AD540B"/>
    <w:pPr>
      <w:keepNext/>
      <w:keepLines/>
      <w:spacing w:before="4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AD540B"/>
    <w:pPr>
      <w:keepNext/>
      <w:keepLines/>
      <w:spacing w:before="4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AD540B"/>
    <w:pPr>
      <w:keepNext/>
      <w:keepLines/>
      <w:spacing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AD540B"/>
    <w:pPr>
      <w:keepNext/>
      <w:keepLines/>
      <w:spacing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4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54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54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54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54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54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54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54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540B"/>
    <w:rPr>
      <w:rFonts w:eastAsiaTheme="majorEastAsia" w:cstheme="majorBidi"/>
      <w:color w:val="272727" w:themeColor="text1" w:themeTint="D8"/>
    </w:rPr>
  </w:style>
  <w:style w:type="paragraph" w:styleId="Title">
    <w:name w:val="Title"/>
    <w:basedOn w:val="Normal"/>
    <w:next w:val="Normal"/>
    <w:link w:val="TitleChar"/>
    <w:uiPriority w:val="10"/>
    <w:qFormat/>
    <w:rsid w:val="00AD540B"/>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D54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40B"/>
    <w:pPr>
      <w:numPr>
        <w:ilvl w:val="1"/>
      </w:numPr>
      <w:spacing w:after="160"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AD54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540B"/>
    <w:pPr>
      <w:spacing w:before="160" w:after="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AD540B"/>
    <w:rPr>
      <w:i/>
      <w:iCs/>
      <w:color w:val="404040" w:themeColor="text1" w:themeTint="BF"/>
    </w:rPr>
  </w:style>
  <w:style w:type="paragraph" w:styleId="ListParagraph">
    <w:name w:val="List Paragraph"/>
    <w:basedOn w:val="Normal"/>
    <w:uiPriority w:val="34"/>
    <w:qFormat/>
    <w:rsid w:val="00AD540B"/>
    <w:pPr>
      <w:spacing w:after="160"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AD540B"/>
    <w:rPr>
      <w:i/>
      <w:iCs/>
      <w:color w:val="0F4761" w:themeColor="accent1" w:themeShade="BF"/>
    </w:rPr>
  </w:style>
  <w:style w:type="paragraph" w:styleId="IntenseQuote">
    <w:name w:val="Intense Quote"/>
    <w:basedOn w:val="Normal"/>
    <w:next w:val="Normal"/>
    <w:link w:val="IntenseQuoteChar"/>
    <w:uiPriority w:val="30"/>
    <w:qFormat/>
    <w:rsid w:val="00AD540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AD540B"/>
    <w:rPr>
      <w:i/>
      <w:iCs/>
      <w:color w:val="0F4761" w:themeColor="accent1" w:themeShade="BF"/>
    </w:rPr>
  </w:style>
  <w:style w:type="character" w:styleId="IntenseReference">
    <w:name w:val="Intense Reference"/>
    <w:basedOn w:val="DefaultParagraphFont"/>
    <w:uiPriority w:val="32"/>
    <w:qFormat/>
    <w:rsid w:val="00AD540B"/>
    <w:rPr>
      <w:b/>
      <w:bCs/>
      <w:smallCaps/>
      <w:color w:val="0F4761" w:themeColor="accent1" w:themeShade="BF"/>
      <w:spacing w:val="5"/>
    </w:rPr>
  </w:style>
  <w:style w:type="character" w:styleId="Hyperlink">
    <w:name w:val="Hyperlink"/>
    <w:basedOn w:val="DefaultParagraphFont"/>
    <w:uiPriority w:val="99"/>
    <w:unhideWhenUsed/>
    <w:rsid w:val="00AD540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systems-genetics.org/gm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864</Words>
  <Characters>4927</Characters>
  <Application>Microsoft Office Word</Application>
  <DocSecurity>0</DocSecurity>
  <Lines>41</Lines>
  <Paragraphs>11</Paragraphs>
  <ScaleCrop>false</ScaleCrop>
  <Company>Springer Nature</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2025-07-31T02:46:00Z</dcterms:created>
  <dcterms:modified xsi:type="dcterms:W3CDTF">2025-07-31T02:47:00Z</dcterms:modified>
</cp:coreProperties>
</file>