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6DDB" w14:textId="168190DD" w:rsidR="00EF7A60" w:rsidRPr="00EF7A60" w:rsidRDefault="00EF7A60" w:rsidP="00EF7A60">
      <w:pPr>
        <w:spacing w:line="480" w:lineRule="auto"/>
        <w:jc w:val="center"/>
        <w:rPr>
          <w:rFonts w:asciiTheme="majorBidi" w:eastAsia="Calibri" w:hAnsiTheme="majorBidi" w:cstheme="majorBidi"/>
          <w:kern w:val="0"/>
          <w:lang w:val="en-US"/>
          <w14:ligatures w14:val="none"/>
        </w:rPr>
      </w:pPr>
      <w:r w:rsidRPr="0046761F">
        <w:rPr>
          <w:rFonts w:asciiTheme="majorBidi" w:eastAsia="Calibri" w:hAnsiTheme="majorBidi" w:cstheme="majorBidi"/>
          <w:b/>
          <w:bCs/>
          <w:kern w:val="0"/>
          <w:lang w:val="en-US"/>
          <w14:ligatures w14:val="none"/>
        </w:rPr>
        <w:t>Acute Kidney Injury in Elderly Patients</w:t>
      </w:r>
      <w:r w:rsidRPr="0046761F">
        <w:rPr>
          <w:rFonts w:asciiTheme="majorBidi" w:hAnsiTheme="majorBidi" w:cstheme="majorBidi"/>
        </w:rPr>
        <w:t xml:space="preserve"> </w:t>
      </w:r>
      <w:r w:rsidRPr="0046761F">
        <w:rPr>
          <w:rFonts w:asciiTheme="majorBidi" w:eastAsia="Calibri" w:hAnsiTheme="majorBidi" w:cstheme="majorBidi"/>
          <w:b/>
          <w:bCs/>
          <w:kern w:val="0"/>
          <w:lang w:val="en-US"/>
          <w14:ligatures w14:val="none"/>
        </w:rPr>
        <w:t>in Saudi Arabia:</w:t>
      </w:r>
      <w:r w:rsidRPr="0046761F">
        <w:rPr>
          <w:rFonts w:asciiTheme="majorBidi" w:eastAsia="Calibri" w:hAnsiTheme="majorBidi" w:cstheme="majorBidi"/>
          <w:b/>
          <w:bCs/>
          <w:kern w:val="0"/>
          <w14:ligatures w14:val="none"/>
        </w:rPr>
        <w:t xml:space="preserve"> </w:t>
      </w:r>
      <w:r w:rsidRPr="0046761F">
        <w:rPr>
          <w:rFonts w:asciiTheme="majorBidi" w:eastAsia="Calibri" w:hAnsiTheme="majorBidi" w:cstheme="majorBidi"/>
          <w:b/>
          <w:bCs/>
          <w:kern w:val="0"/>
          <w:lang w:val="en-US"/>
          <w14:ligatures w14:val="none"/>
        </w:rPr>
        <w:t>Retrospective Study</w:t>
      </w:r>
    </w:p>
    <w:p w14:paraId="43BCDD28" w14:textId="73A1853E" w:rsidR="00EF7A60" w:rsidRPr="00EF7A60" w:rsidRDefault="00EF7A60" w:rsidP="00EF7A60">
      <w:pPr>
        <w:pStyle w:val="MDPI13authornames"/>
        <w:rPr>
          <w:rFonts w:asciiTheme="majorBidi" w:hAnsiTheme="majorBidi" w:cstheme="majorBidi"/>
          <w:color w:val="auto"/>
          <w:sz w:val="16"/>
          <w:szCs w:val="16"/>
        </w:rPr>
      </w:pPr>
      <w:r w:rsidRPr="00EF7A60">
        <w:rPr>
          <w:rFonts w:asciiTheme="majorBidi" w:hAnsiTheme="majorBidi" w:cstheme="majorBidi"/>
          <w:color w:val="auto"/>
          <w:sz w:val="16"/>
          <w:szCs w:val="16"/>
        </w:rPr>
        <w:t xml:space="preserve">Abrar F. Alshehri </w:t>
      </w:r>
      <w:r w:rsidRPr="00EF7A60">
        <w:rPr>
          <w:rFonts w:asciiTheme="majorBidi" w:hAnsiTheme="majorBidi" w:cstheme="majorBidi"/>
          <w:color w:val="auto"/>
          <w:sz w:val="16"/>
          <w:szCs w:val="16"/>
          <w:vertAlign w:val="superscript"/>
        </w:rPr>
        <w:t>1,</w:t>
      </w:r>
      <w:r w:rsidRPr="00EF7A60">
        <w:rPr>
          <w:rFonts w:asciiTheme="majorBidi" w:hAnsiTheme="majorBidi" w:cstheme="majorBidi"/>
          <w:color w:val="auto"/>
          <w:sz w:val="16"/>
          <w:szCs w:val="16"/>
        </w:rPr>
        <w:t xml:space="preserve">*, Nouf Alotaibi </w:t>
      </w:r>
      <w:r w:rsidRPr="00EF7A60">
        <w:rPr>
          <w:rFonts w:asciiTheme="majorBidi" w:hAnsiTheme="majorBidi" w:cstheme="majorBidi"/>
          <w:color w:val="auto"/>
          <w:sz w:val="16"/>
          <w:szCs w:val="16"/>
          <w:vertAlign w:val="superscript"/>
        </w:rPr>
        <w:t>1</w:t>
      </w:r>
      <w:r w:rsidRPr="00EF7A60">
        <w:rPr>
          <w:rFonts w:asciiTheme="majorBidi" w:hAnsiTheme="majorBidi" w:cstheme="majorBidi"/>
          <w:color w:val="auto"/>
          <w:sz w:val="16"/>
          <w:szCs w:val="16"/>
        </w:rPr>
        <w:t xml:space="preserve">, Abdulaziz </w:t>
      </w:r>
      <w:proofErr w:type="spellStart"/>
      <w:r w:rsidRPr="00EF7A60">
        <w:rPr>
          <w:rFonts w:asciiTheme="majorBidi" w:hAnsiTheme="majorBidi" w:cstheme="majorBidi"/>
          <w:color w:val="auto"/>
          <w:sz w:val="16"/>
          <w:szCs w:val="16"/>
        </w:rPr>
        <w:t>Alhossan</w:t>
      </w:r>
      <w:proofErr w:type="spellEnd"/>
      <w:r w:rsidRPr="00EF7A60">
        <w:rPr>
          <w:rFonts w:asciiTheme="majorBidi" w:hAnsiTheme="majorBidi" w:cstheme="majorBidi"/>
          <w:color w:val="auto"/>
          <w:sz w:val="16"/>
          <w:szCs w:val="16"/>
        </w:rPr>
        <w:t xml:space="preserve"> </w:t>
      </w:r>
      <w:r w:rsidRPr="00EF7A60">
        <w:rPr>
          <w:rFonts w:asciiTheme="majorBidi" w:hAnsiTheme="majorBidi" w:cstheme="majorBidi"/>
          <w:color w:val="auto"/>
          <w:sz w:val="16"/>
          <w:szCs w:val="16"/>
          <w:vertAlign w:val="superscript"/>
        </w:rPr>
        <w:t>2</w:t>
      </w:r>
    </w:p>
    <w:p w14:paraId="3F7D1036" w14:textId="77777777" w:rsidR="00EF7A60" w:rsidRPr="00EF7A60" w:rsidRDefault="00EF7A60" w:rsidP="00EF7A60">
      <w:pPr>
        <w:spacing w:line="48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</w:pPr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>Affiliation 1;  Department of Pharmaceutical Services, College of Pharmacy, Umm Al-Qura University, Makkah, Saudi Arabia</w:t>
      </w:r>
    </w:p>
    <w:p w14:paraId="3BE3C8CD" w14:textId="77777777" w:rsidR="00EF7A60" w:rsidRPr="00EF7A60" w:rsidRDefault="00EF7A60" w:rsidP="00EF7A60">
      <w:pPr>
        <w:spacing w:line="48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</w:pPr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 w:bidi="en-US"/>
          <w14:ligatures w14:val="none"/>
        </w:rPr>
        <w:t xml:space="preserve">Affiliation 2; Department of Clinical Pharmacy, College of Pharmacy, King Saud University, Riyadh, Saudi Arabia </w:t>
      </w:r>
    </w:p>
    <w:p w14:paraId="2C9B2A81" w14:textId="77777777" w:rsidR="00EF7A60" w:rsidRPr="00EF7A60" w:rsidRDefault="00EF7A60" w:rsidP="00EF7A60">
      <w:pPr>
        <w:spacing w:line="480" w:lineRule="auto"/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</w:pPr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 xml:space="preserve">*Correspondence: </w:t>
      </w:r>
      <w:r w:rsidRPr="00EF7A60">
        <w:rPr>
          <w:rFonts w:asciiTheme="majorBidi" w:eastAsia="Calibri" w:hAnsiTheme="majorBidi" w:cstheme="majorBidi"/>
          <w:b/>
          <w:bCs/>
          <w:kern w:val="0"/>
          <w:sz w:val="16"/>
          <w:szCs w:val="16"/>
          <w:lang w:val="en-US"/>
          <w14:ligatures w14:val="none"/>
        </w:rPr>
        <w:t xml:space="preserve">Abrar Fayez Alshehri, </w:t>
      </w:r>
      <w:proofErr w:type="spellStart"/>
      <w:r w:rsidRPr="00EF7A60">
        <w:rPr>
          <w:rFonts w:asciiTheme="majorBidi" w:eastAsia="Calibri" w:hAnsiTheme="majorBidi" w:cstheme="majorBidi"/>
          <w:b/>
          <w:bCs/>
          <w:kern w:val="0"/>
          <w:sz w:val="16"/>
          <w:szCs w:val="16"/>
          <w:lang w:val="en-US"/>
          <w14:ligatures w14:val="none"/>
        </w:rPr>
        <w:t>Pharm.D</w:t>
      </w:r>
      <w:proofErr w:type="spellEnd"/>
      <w:r w:rsidRPr="00EF7A60">
        <w:rPr>
          <w:rFonts w:asciiTheme="majorBidi" w:eastAsia="Calibri" w:hAnsiTheme="majorBidi" w:cstheme="majorBidi"/>
          <w:b/>
          <w:bCs/>
          <w:kern w:val="0"/>
          <w:sz w:val="16"/>
          <w:szCs w:val="16"/>
          <w:lang w:val="en-US"/>
          <w14:ligatures w14:val="none"/>
        </w:rPr>
        <w:t>, MSc, BCPS, BCCP.</w:t>
      </w:r>
    </w:p>
    <w:p w14:paraId="57BA5C05" w14:textId="77777777" w:rsidR="00EF7A60" w:rsidRPr="00EF7A60" w:rsidRDefault="00EF7A60" w:rsidP="00EF7A60">
      <w:pPr>
        <w:spacing w:line="480" w:lineRule="auto"/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</w:pPr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>Lecturer in Department of Pharmaceutical Services, College of Pharmacy, Umm Al-Qura University, Makkah, Saudia Arabia. P.O. Box: 13578 Zip Code: 21955.</w:t>
      </w:r>
    </w:p>
    <w:p w14:paraId="23691EC2" w14:textId="77777777" w:rsidR="00EF7A60" w:rsidRPr="00EF7A60" w:rsidRDefault="00EF7A60" w:rsidP="00EF7A60">
      <w:pPr>
        <w:spacing w:line="480" w:lineRule="auto"/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</w:pPr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 xml:space="preserve">Email: </w:t>
      </w:r>
      <w:hyperlink r:id="rId4" w:history="1">
        <w:r w:rsidRPr="00EF7A60">
          <w:rPr>
            <w:rFonts w:asciiTheme="majorBidi" w:eastAsia="Calibri" w:hAnsiTheme="majorBidi" w:cstheme="majorBidi"/>
            <w:kern w:val="0"/>
            <w:sz w:val="16"/>
            <w:szCs w:val="16"/>
            <w:u w:val="single"/>
            <w:lang w:val="en-US"/>
            <w14:ligatures w14:val="none"/>
          </w:rPr>
          <w:t>afashahri@uqu.edu.sa</w:t>
        </w:r>
      </w:hyperlink>
      <w:r w:rsidRPr="00EF7A60">
        <w:rPr>
          <w:rFonts w:asciiTheme="majorBidi" w:eastAsia="Calibri" w:hAnsiTheme="majorBidi" w:cstheme="majorBidi"/>
          <w:kern w:val="0"/>
          <w:sz w:val="16"/>
          <w:szCs w:val="16"/>
          <w:u w:val="single"/>
          <w:lang w:val="en-US"/>
          <w14:ligatures w14:val="none"/>
        </w:rPr>
        <w:t>;</w:t>
      </w:r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 xml:space="preserve"> </w:t>
      </w:r>
      <w:hyperlink r:id="rId5" w:history="1">
        <w:r w:rsidRPr="00EF7A60">
          <w:rPr>
            <w:rFonts w:asciiTheme="majorBidi" w:eastAsia="Calibri" w:hAnsiTheme="majorBidi" w:cstheme="majorBidi"/>
            <w:kern w:val="0"/>
            <w:sz w:val="16"/>
            <w:szCs w:val="16"/>
            <w:u w:val="single"/>
            <w:lang w:val="en-US"/>
            <w14:ligatures w14:val="none"/>
          </w:rPr>
          <w:t>abrar.f.alshehri</w:t>
        </w:r>
        <w:r w:rsidRPr="00EF7A60">
          <w:rPr>
            <w:rFonts w:asciiTheme="majorBidi" w:eastAsia="Calibri" w:hAnsiTheme="majorBidi" w:cstheme="majorBidi"/>
            <w:kern w:val="0"/>
            <w:sz w:val="16"/>
            <w:szCs w:val="16"/>
            <w:u w:val="single"/>
            <w:rtl/>
            <w:lang w:val="en-US"/>
            <w14:ligatures w14:val="none"/>
          </w:rPr>
          <w:t>@</w:t>
        </w:r>
        <w:r w:rsidRPr="00EF7A60">
          <w:rPr>
            <w:rFonts w:asciiTheme="majorBidi" w:eastAsia="Calibri" w:hAnsiTheme="majorBidi" w:cstheme="majorBidi"/>
            <w:kern w:val="0"/>
            <w:sz w:val="16"/>
            <w:szCs w:val="16"/>
            <w:u w:val="single"/>
            <w:lang w:val="en-US"/>
            <w14:ligatures w14:val="none"/>
          </w:rPr>
          <w:t>gmail.com</w:t>
        </w:r>
      </w:hyperlink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 xml:space="preserve">  </w:t>
      </w:r>
    </w:p>
    <w:p w14:paraId="12CDC462" w14:textId="77777777" w:rsidR="00EF7A60" w:rsidRPr="00EF7A60" w:rsidRDefault="00EF7A60" w:rsidP="00EF7A60">
      <w:pPr>
        <w:spacing w:line="480" w:lineRule="auto"/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</w:pPr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>Mobile Number: 00966563693616</w:t>
      </w:r>
    </w:p>
    <w:p w14:paraId="7AF39726" w14:textId="77777777" w:rsidR="00EF7A60" w:rsidRPr="00EF7A60" w:rsidRDefault="00EF7A60" w:rsidP="00EF7A60">
      <w:pPr>
        <w:spacing w:line="480" w:lineRule="auto"/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</w:pPr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 xml:space="preserve">ORCID: </w:t>
      </w:r>
      <w:hyperlink r:id="rId6" w:history="1">
        <w:r w:rsidRPr="00EF7A60">
          <w:rPr>
            <w:rFonts w:asciiTheme="majorBidi" w:eastAsia="Calibri" w:hAnsiTheme="majorBidi" w:cstheme="majorBidi"/>
            <w:kern w:val="0"/>
            <w:sz w:val="16"/>
            <w:szCs w:val="16"/>
            <w:u w:val="single"/>
            <w:lang w:val="en-US"/>
            <w14:ligatures w14:val="none"/>
          </w:rPr>
          <w:t>0000-0001-6311-3721</w:t>
        </w:r>
      </w:hyperlink>
      <w:r w:rsidRPr="00EF7A60">
        <w:rPr>
          <w:rFonts w:asciiTheme="majorBidi" w:eastAsia="Calibri" w:hAnsiTheme="majorBidi" w:cstheme="majorBidi"/>
          <w:kern w:val="0"/>
          <w:sz w:val="16"/>
          <w:szCs w:val="16"/>
          <w:lang w:val="en-US"/>
          <w14:ligatures w14:val="none"/>
        </w:rPr>
        <w:t xml:space="preserve"> </w:t>
      </w:r>
    </w:p>
    <w:p w14:paraId="5B158D18" w14:textId="77777777" w:rsidR="00EF7A60" w:rsidRPr="00EF7A60" w:rsidRDefault="00EF7A60" w:rsidP="00EF7A60">
      <w:pPr>
        <w:spacing w:after="0" w:line="260" w:lineRule="atLeast"/>
        <w:ind w:left="2608"/>
        <w:jc w:val="both"/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zh-CN"/>
          <w14:ligatures w14:val="none"/>
        </w:rPr>
      </w:pPr>
      <w:r w:rsidRPr="00EF7A60"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zh-CN"/>
          <w14:ligatures w14:val="none"/>
        </w:rPr>
        <w:t>Supplementary Figures</w:t>
      </w:r>
    </w:p>
    <w:p w14:paraId="64D2B3B9" w14:textId="77777777" w:rsidR="00EF7A60" w:rsidRPr="00EF7A60" w:rsidRDefault="00EF7A60" w:rsidP="00EF7A60">
      <w:pPr>
        <w:spacing w:after="0" w:line="260" w:lineRule="atLeast"/>
        <w:ind w:left="2608"/>
        <w:jc w:val="both"/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de-DE" w:bidi="en-US"/>
          <w14:ligatures w14:val="none"/>
        </w:rPr>
      </w:pPr>
      <w:r w:rsidRPr="00EF7A60">
        <w:rPr>
          <w:rFonts w:ascii="Times New Roman" w:eastAsia="SimSun" w:hAnsi="Times New Roman" w:cs="Times New Roman"/>
          <w:noProof/>
          <w:color w:val="000000"/>
          <w:kern w:val="0"/>
          <w:sz w:val="24"/>
          <w:szCs w:val="24"/>
          <w:lang w:val="en-US" w:eastAsia="zh-CN"/>
          <w14:ligatures w14:val="none"/>
        </w:rPr>
        <w:drawing>
          <wp:inline distT="0" distB="0" distL="0" distR="0" wp14:anchorId="77764D98" wp14:editId="108BBA94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692E791-0E87-4DC1-8F37-95A4E448D6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245B087" w14:textId="26EB6856" w:rsidR="00EF7A60" w:rsidRPr="00EF7A60" w:rsidRDefault="00EF7A60" w:rsidP="00EF7A60">
      <w:pPr>
        <w:spacing w:after="0" w:line="260" w:lineRule="atLeast"/>
        <w:ind w:left="2608"/>
        <w:jc w:val="both"/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zh-CN"/>
          <w14:ligatures w14:val="none"/>
        </w:rPr>
      </w:pPr>
      <w:r w:rsidRPr="00EF7A60"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zh-CN"/>
          <w14:ligatures w14:val="none"/>
        </w:rPr>
        <w:t>Figure S1. Percentage of risk factors of acute kidney injury in elderly patients. CKD: Chronic Kidney Disease, IHD: Ischemic Heart Disease, BPH: Benign Prostatic Hypertrophy, PHTN: Pulmonary hypertension, VTE: Venous Thromboembolism, PAD: Peripheral Arterial Disease.</w:t>
      </w:r>
    </w:p>
    <w:p w14:paraId="4691E93C" w14:textId="77777777" w:rsidR="00EF7A60" w:rsidRPr="00EF7A60" w:rsidRDefault="00EF7A60" w:rsidP="00EF7A60">
      <w:pPr>
        <w:spacing w:after="0" w:line="260" w:lineRule="atLeast"/>
        <w:ind w:left="2608"/>
        <w:jc w:val="both"/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zh-CN"/>
          <w14:ligatures w14:val="none"/>
        </w:rPr>
      </w:pPr>
    </w:p>
    <w:p w14:paraId="66AD737F" w14:textId="77777777" w:rsidR="00EF7A60" w:rsidRPr="00EF7A60" w:rsidRDefault="00EF7A60" w:rsidP="00EF7A60">
      <w:pPr>
        <w:spacing w:after="0" w:line="260" w:lineRule="atLeast"/>
        <w:ind w:left="2608"/>
        <w:jc w:val="both"/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zh-CN"/>
          <w14:ligatures w14:val="none"/>
        </w:rPr>
      </w:pPr>
    </w:p>
    <w:p w14:paraId="2734B1AB" w14:textId="77777777" w:rsidR="00EF7A60" w:rsidRPr="00EF7A60" w:rsidRDefault="00EF7A60" w:rsidP="00EF7A60">
      <w:pPr>
        <w:spacing w:after="0" w:line="260" w:lineRule="atLeast"/>
        <w:ind w:left="2608"/>
        <w:jc w:val="both"/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de-DE" w:bidi="en-US"/>
          <w14:ligatures w14:val="none"/>
        </w:rPr>
      </w:pPr>
    </w:p>
    <w:p w14:paraId="2B90C17E" w14:textId="77777777" w:rsidR="00EF7A60" w:rsidRPr="00EF7A60" w:rsidRDefault="00EF7A60" w:rsidP="00EF7A60">
      <w:pPr>
        <w:adjustRightInd w:val="0"/>
        <w:snapToGrid w:val="0"/>
        <w:spacing w:before="240" w:after="0" w:line="228" w:lineRule="auto"/>
        <w:ind w:left="2550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18"/>
          <w:szCs w:val="20"/>
          <w:lang w:val="en-US" w:bidi="en-US"/>
          <w14:ligatures w14:val="none"/>
        </w:rPr>
      </w:pPr>
      <w:r w:rsidRPr="00EF7A60">
        <w:rPr>
          <w:rFonts w:ascii="Palatino Linotype" w:eastAsia="SimSun" w:hAnsi="Palatino Linotype" w:cs="Times New Roman"/>
          <w:noProof/>
          <w:snapToGrid w:val="0"/>
          <w:color w:val="000000"/>
          <w:kern w:val="0"/>
          <w:sz w:val="18"/>
          <w:szCs w:val="20"/>
          <w:lang w:val="en-US" w:bidi="en-US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18B11" wp14:editId="13C0FA13">
                <wp:simplePos x="0" y="0"/>
                <wp:positionH relativeFrom="column">
                  <wp:posOffset>356870</wp:posOffset>
                </wp:positionH>
                <wp:positionV relativeFrom="paragraph">
                  <wp:posOffset>939938</wp:posOffset>
                </wp:positionV>
                <wp:extent cx="56197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C4B6D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EF7A60"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(a)</w:t>
                            </w:r>
                          </w:p>
                          <w:p w14:paraId="6CE68AC2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63661F79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5FD24D7B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21F3506F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textFill>
                                  <w14:noFill/>
                                </w14:textFill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0E61899E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4EE93D53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EF7A60"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(b)</w:t>
                            </w:r>
                          </w:p>
                          <w:p w14:paraId="64E28B91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62112186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46400871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2190AD12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464C5318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  <w:p w14:paraId="791CAB76" w14:textId="77777777" w:rsidR="00EF7A60" w:rsidRPr="00EF7A60" w:rsidRDefault="00EF7A60" w:rsidP="00EF7A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EF7A60">
                              <w:rPr>
                                <w:b/>
                                <w:bCs/>
                                <w:sz w:val="28"/>
                                <w:szCs w:val="28"/>
                                <w14:glow w14:rad="0">
                                  <w14:srgbClr w14:val="FFFFFF"/>
                                </w14:glow>
                                <w14:props3d w14:extrusionH="0" w14:contourW="12700" w14:prstMaterial="none"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 xml:space="preserve">(c)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818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1pt;margin-top:74pt;width:4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" filled="f" stroked="f">
                <v:textbox style="mso-fit-shape-to-text:t">
                  <w:txbxContent>
                    <w:p w14:paraId="5FFC4B6D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EF7A60"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  <w:t>(a)</w:t>
                      </w:r>
                    </w:p>
                    <w:p w14:paraId="6CE68AC2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63661F79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5FD24D7B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21F3506F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textFill>
                            <w14:noFill/>
                          </w14:textFill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0E61899E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4EE93D53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EF7A60"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  <w:t>(b)</w:t>
                      </w:r>
                    </w:p>
                    <w:p w14:paraId="64E28B91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62112186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46400871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2190AD12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464C5318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  <w:p w14:paraId="791CAB76" w14:textId="77777777" w:rsidR="00EF7A60" w:rsidRPr="00EF7A60" w:rsidRDefault="00EF7A60" w:rsidP="00EF7A60">
                      <w:pPr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EF7A60">
                        <w:rPr>
                          <w:b/>
                          <w:bCs/>
                          <w:sz w:val="28"/>
                          <w:szCs w:val="28"/>
                          <w14:glow w14:rad="0">
                            <w14:srgbClr w14:val="FFFFFF"/>
                          </w14:glow>
                          <w14:props3d w14:extrusionH="0" w14:contourW="12700" w14:prstMaterial="none">
                            <w14:contourClr>
                              <w14:srgbClr w14:val="FFFFFF"/>
                            </w14:contourClr>
                          </w14:props3d>
                        </w:rPr>
                        <w:t xml:space="preserve">(c) </w:t>
                      </w:r>
                    </w:p>
                  </w:txbxContent>
                </v:textbox>
              </v:shape>
            </w:pict>
          </mc:Fallback>
        </mc:AlternateContent>
      </w:r>
      <w:r w:rsidRPr="00EF7A60">
        <w:rPr>
          <w:rFonts w:ascii="Palatino Linotype" w:eastAsia="SimSun" w:hAnsi="Palatino Linotype" w:cs="Times New Roman"/>
          <w:noProof/>
          <w:snapToGrid w:val="0"/>
          <w:color w:val="000000"/>
          <w:kern w:val="0"/>
          <w:sz w:val="18"/>
          <w:szCs w:val="20"/>
          <w:lang w:val="en-US" w:eastAsia="de-DE" w:bidi="en-US"/>
          <w14:ligatures w14:val="none"/>
        </w:rPr>
        <w:drawing>
          <wp:inline distT="0" distB="0" distL="0" distR="0" wp14:anchorId="6D4657C8" wp14:editId="3EA28C4B">
            <wp:extent cx="4857750" cy="2362200"/>
            <wp:effectExtent l="0" t="0" r="0" b="0"/>
            <wp:docPr id="254120224" name="Chart 2541202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5BC67A" w14:textId="77777777" w:rsidR="00EF7A60" w:rsidRPr="00EF7A60" w:rsidRDefault="00EF7A60" w:rsidP="00EF7A60">
      <w:pPr>
        <w:adjustRightInd w:val="0"/>
        <w:snapToGrid w:val="0"/>
        <w:spacing w:before="240" w:after="0" w:line="228" w:lineRule="auto"/>
        <w:ind w:left="2550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18"/>
          <w:szCs w:val="20"/>
          <w:lang w:val="en-US" w:bidi="en-US"/>
          <w14:ligatures w14:val="none"/>
        </w:rPr>
      </w:pPr>
      <w:r w:rsidRPr="00EF7A60">
        <w:rPr>
          <w:rFonts w:ascii="Palatino Linotype" w:eastAsia="SimSun" w:hAnsi="Palatino Linotype" w:cs="Times New Roman"/>
          <w:noProof/>
          <w:snapToGrid w:val="0"/>
          <w:color w:val="000000"/>
          <w:kern w:val="0"/>
          <w:sz w:val="18"/>
          <w:szCs w:val="20"/>
          <w:lang w:val="en-US" w:eastAsia="de-DE" w:bidi="en-US"/>
          <w14:ligatures w14:val="none"/>
        </w:rPr>
        <w:drawing>
          <wp:inline distT="0" distB="0" distL="0" distR="0" wp14:anchorId="7CECDDCD" wp14:editId="26060965">
            <wp:extent cx="4857750" cy="2300288"/>
            <wp:effectExtent l="0" t="0" r="0" b="5080"/>
            <wp:docPr id="1264650620" name="Chart 12646506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DA3001" w14:textId="77777777" w:rsidR="00EF7A60" w:rsidRPr="00EF7A60" w:rsidRDefault="00EF7A60" w:rsidP="00EF7A60">
      <w:pPr>
        <w:adjustRightInd w:val="0"/>
        <w:snapToGrid w:val="0"/>
        <w:spacing w:before="240" w:after="0" w:line="228" w:lineRule="auto"/>
        <w:ind w:left="2550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18"/>
          <w:szCs w:val="20"/>
          <w:lang w:val="en-US" w:bidi="en-US"/>
          <w14:ligatures w14:val="none"/>
        </w:rPr>
      </w:pPr>
      <w:r w:rsidRPr="00EF7A60">
        <w:rPr>
          <w:rFonts w:ascii="Palatino Linotype" w:eastAsia="SimSun" w:hAnsi="Palatino Linotype" w:cs="Times New Roman"/>
          <w:noProof/>
          <w:snapToGrid w:val="0"/>
          <w:color w:val="000000"/>
          <w:kern w:val="0"/>
          <w:sz w:val="18"/>
          <w:szCs w:val="20"/>
          <w:lang w:val="en-US" w:eastAsia="de-DE" w:bidi="en-US"/>
          <w14:ligatures w14:val="none"/>
        </w:rPr>
        <w:drawing>
          <wp:inline distT="0" distB="0" distL="0" distR="0" wp14:anchorId="50A32E59" wp14:editId="1F35F130">
            <wp:extent cx="4857750" cy="2581275"/>
            <wp:effectExtent l="0" t="0" r="0" b="9525"/>
            <wp:docPr id="35933607" name="Chart 359336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706F9A" w14:textId="338F98F3" w:rsidR="00EF7A60" w:rsidRPr="00EF7A60" w:rsidRDefault="00EF7A60" w:rsidP="00EF7A60">
      <w:pPr>
        <w:adjustRightInd w:val="0"/>
        <w:snapToGrid w:val="0"/>
        <w:spacing w:before="240" w:after="0" w:line="228" w:lineRule="auto"/>
        <w:ind w:left="2550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18"/>
          <w:szCs w:val="20"/>
          <w:lang w:val="en-US" w:bidi="en-US"/>
          <w14:ligatures w14:val="none"/>
        </w:rPr>
      </w:pPr>
      <w:r w:rsidRPr="00EF7A60">
        <w:rPr>
          <w:rFonts w:ascii="Palatino Linotype" w:eastAsia="SimSun" w:hAnsi="Palatino Linotype" w:cs="Times New Roman"/>
          <w:snapToGrid w:val="0"/>
          <w:color w:val="000000"/>
          <w:kern w:val="0"/>
          <w:sz w:val="18"/>
          <w:szCs w:val="20"/>
          <w:lang w:val="en-US" w:bidi="en-US"/>
          <w14:ligatures w14:val="none"/>
        </w:rPr>
        <w:t>Figure S2. Reason categories of acute kidney injury in the elderly: (a) Number of overall causes of acute kidney injury in elderly patients. (b) Number of causes of hospital-acquired acute kidney injury in elderly patients. (c) Number of causes of community acute kidney injury in elderly patients.</w:t>
      </w:r>
    </w:p>
    <w:p w14:paraId="4FA146D5" w14:textId="77777777" w:rsidR="002A1337" w:rsidRPr="00EF7A60" w:rsidRDefault="002A1337">
      <w:pPr>
        <w:rPr>
          <w:lang w:val="en-US"/>
        </w:rPr>
      </w:pPr>
    </w:p>
    <w:sectPr w:rsidR="002A1337" w:rsidRPr="00EF7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60"/>
    <w:rsid w:val="002A1337"/>
    <w:rsid w:val="005600D4"/>
    <w:rsid w:val="006462F4"/>
    <w:rsid w:val="007400EC"/>
    <w:rsid w:val="00831347"/>
    <w:rsid w:val="00917F6C"/>
    <w:rsid w:val="009906E4"/>
    <w:rsid w:val="00C046F2"/>
    <w:rsid w:val="00C24C43"/>
    <w:rsid w:val="00CC0A4D"/>
    <w:rsid w:val="00E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EF6A"/>
  <w15:chartTrackingRefBased/>
  <w15:docId w15:val="{7D83000A-6195-47BF-B85B-1737D0A8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60"/>
  </w:style>
  <w:style w:type="paragraph" w:styleId="Heading1">
    <w:name w:val="heading 1"/>
    <w:basedOn w:val="Normal"/>
    <w:next w:val="Normal"/>
    <w:link w:val="Heading1Char"/>
    <w:uiPriority w:val="9"/>
    <w:qFormat/>
    <w:rsid w:val="00EF7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A60"/>
    <w:rPr>
      <w:b/>
      <w:bCs/>
      <w:smallCaps/>
      <w:color w:val="0F4761" w:themeColor="accent1" w:themeShade="BF"/>
      <w:spacing w:val="5"/>
    </w:rPr>
  </w:style>
  <w:style w:type="paragraph" w:customStyle="1" w:styleId="MDPI13authornames">
    <w:name w:val="MDPI_1.3_authornames"/>
    <w:next w:val="Normal"/>
    <w:qFormat/>
    <w:rsid w:val="00EF7A6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6311-372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brar.f.alshehri@gmail.com" TargetMode="External"/><Relationship Id="rId10" Type="http://schemas.openxmlformats.org/officeDocument/2006/relationships/chart" Target="charts/chart4.xml"/><Relationship Id="rId4" Type="http://schemas.openxmlformats.org/officeDocument/2006/relationships/hyperlink" Target="mailto:afashahri@uqu.edu.sa" TargetMode="Externa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200" b="0" i="0" u="none" strike="noStrike" cap="none" normalizeH="0" baseline="0">
                <a:effectLst/>
              </a:rPr>
              <a:t>Percentage of risk factors of acute kidney injury in elderly patients</a:t>
            </a:r>
            <a:endParaRPr lang="en-US" sz="1200"/>
          </a:p>
        </c:rich>
      </c:tx>
      <c:layout>
        <c:manualLayout>
          <c:xMode val="edge"/>
          <c:yMode val="edge"/>
          <c:x val="0.13997900262467192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9358705161854772E-2"/>
          <c:y val="0.18763888888888891"/>
          <c:w val="0.90286351706036749"/>
          <c:h val="0.451651720618256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Sheet2!$A$2:$A$23</c:f>
              <c:strCache>
                <c:ptCount val="22"/>
                <c:pt idx="0">
                  <c:v>Hypertension</c:v>
                </c:pt>
                <c:pt idx="1">
                  <c:v>Anemia</c:v>
                </c:pt>
                <c:pt idx="2">
                  <c:v>Diabetes mellitus</c:v>
                </c:pt>
                <c:pt idx="3">
                  <c:v>Hypocalcemia</c:v>
                </c:pt>
                <c:pt idx="4">
                  <c:v>CKD</c:v>
                </c:pt>
                <c:pt idx="5">
                  <c:v>IHD</c:v>
                </c:pt>
                <c:pt idx="6">
                  <c:v>Heart failure</c:v>
                </c:pt>
                <c:pt idx="7">
                  <c:v>Dyslipidaemia </c:v>
                </c:pt>
                <c:pt idx="8">
                  <c:v>CVA</c:v>
                </c:pt>
                <c:pt idx="9">
                  <c:v>Cancer</c:v>
                </c:pt>
                <c:pt idx="10">
                  <c:v>Atrial fibrillation</c:v>
                </c:pt>
                <c:pt idx="11">
                  <c:v>Medication</c:v>
                </c:pt>
                <c:pt idx="12">
                  <c:v>Hypercalcemia</c:v>
                </c:pt>
                <c:pt idx="13">
                  <c:v>Liver disease</c:v>
                </c:pt>
                <c:pt idx="14">
                  <c:v>BPH</c:v>
                </c:pt>
                <c:pt idx="15">
                  <c:v>Hypothyroidism</c:v>
                </c:pt>
                <c:pt idx="16">
                  <c:v>Smoking</c:v>
                </c:pt>
                <c:pt idx="17">
                  <c:v>PHTN</c:v>
                </c:pt>
                <c:pt idx="18">
                  <c:v>Gout</c:v>
                </c:pt>
                <c:pt idx="19">
                  <c:v>VTE</c:v>
                </c:pt>
                <c:pt idx="20">
                  <c:v>Valvular disease</c:v>
                </c:pt>
                <c:pt idx="21">
                  <c:v>PAD</c:v>
                </c:pt>
              </c:strCache>
            </c:strRef>
          </c:cat>
          <c:val>
            <c:numRef>
              <c:f>Sheet2!$B$2:$B$23</c:f>
              <c:numCache>
                <c:formatCode>General</c:formatCode>
                <c:ptCount val="22"/>
                <c:pt idx="0">
                  <c:v>80.41</c:v>
                </c:pt>
                <c:pt idx="1">
                  <c:v>75.260000000000005</c:v>
                </c:pt>
                <c:pt idx="2">
                  <c:v>70.099999999999994</c:v>
                </c:pt>
                <c:pt idx="3">
                  <c:v>35.049999999999997</c:v>
                </c:pt>
                <c:pt idx="4">
                  <c:v>32.99</c:v>
                </c:pt>
                <c:pt idx="5">
                  <c:v>27.84</c:v>
                </c:pt>
                <c:pt idx="6">
                  <c:v>26.8</c:v>
                </c:pt>
                <c:pt idx="7">
                  <c:v>19.59</c:v>
                </c:pt>
                <c:pt idx="8">
                  <c:v>14.43</c:v>
                </c:pt>
                <c:pt idx="9">
                  <c:v>13.4</c:v>
                </c:pt>
                <c:pt idx="10">
                  <c:v>12.37</c:v>
                </c:pt>
                <c:pt idx="11">
                  <c:v>10.31</c:v>
                </c:pt>
                <c:pt idx="12">
                  <c:v>9.2799999999999994</c:v>
                </c:pt>
                <c:pt idx="13">
                  <c:v>7.22</c:v>
                </c:pt>
                <c:pt idx="14">
                  <c:v>7.22</c:v>
                </c:pt>
                <c:pt idx="15">
                  <c:v>6.19</c:v>
                </c:pt>
                <c:pt idx="16">
                  <c:v>6.19</c:v>
                </c:pt>
                <c:pt idx="17">
                  <c:v>6.19</c:v>
                </c:pt>
                <c:pt idx="18">
                  <c:v>5.15</c:v>
                </c:pt>
                <c:pt idx="19">
                  <c:v>2.06</c:v>
                </c:pt>
                <c:pt idx="20">
                  <c:v>2.06</c:v>
                </c:pt>
                <c:pt idx="21">
                  <c:v>1.03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B-4E76-8940-E9BFDF34CD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607027167"/>
        <c:axId val="1483686335"/>
      </c:barChart>
      <c:catAx>
        <c:axId val="1607027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3686335"/>
        <c:crosses val="autoZero"/>
        <c:auto val="1"/>
        <c:lblAlgn val="ctr"/>
        <c:lblOffset val="100"/>
        <c:noMultiLvlLbl val="0"/>
      </c:catAx>
      <c:valAx>
        <c:axId val="1483686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0271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Number of overall causes of acute kidney injury </a:t>
            </a:r>
            <a:r>
              <a:rPr lang="en-US" sz="1400" b="0" i="0" u="none" strike="noStrike" baseline="0">
                <a:effectLst/>
              </a:rPr>
              <a:t>in elderly patients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Overall acute kidney injury reasons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Postrenal</c:v>
                </c:pt>
                <c:pt idx="1">
                  <c:v>postoperative</c:v>
                </c:pt>
                <c:pt idx="2">
                  <c:v>Medication</c:v>
                </c:pt>
                <c:pt idx="3">
                  <c:v>Infection</c:v>
                </c:pt>
                <c:pt idx="4">
                  <c:v>Hypovolemia</c:v>
                </c:pt>
                <c:pt idx="5">
                  <c:v>Contrast</c:v>
                </c:pt>
                <c:pt idx="6">
                  <c:v>Comorbidity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</c:v>
                </c:pt>
                <c:pt idx="1">
                  <c:v>7</c:v>
                </c:pt>
                <c:pt idx="2">
                  <c:v>18</c:v>
                </c:pt>
                <c:pt idx="3">
                  <c:v>24</c:v>
                </c:pt>
                <c:pt idx="4">
                  <c:v>13</c:v>
                </c:pt>
                <c:pt idx="5">
                  <c:v>4</c:v>
                </c:pt>
                <c:pt idx="6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01-410F-B433-36ECC3B999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95039"/>
        <c:axId val="1945837071"/>
      </c:barChart>
      <c:catAx>
        <c:axId val="19073950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5837071"/>
        <c:crosses val="autoZero"/>
        <c:auto val="1"/>
        <c:lblAlgn val="ctr"/>
        <c:lblOffset val="100"/>
        <c:noMultiLvlLbl val="0"/>
      </c:catAx>
      <c:valAx>
        <c:axId val="194583707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07395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Number of overall causes of acute kidney injury </a:t>
            </a:r>
            <a:r>
              <a:rPr lang="en-US" sz="1400" b="0" i="0" u="none" strike="noStrike" baseline="0">
                <a:effectLst/>
              </a:rPr>
              <a:t>in elderly patients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Overall acute kidney injury reasons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Postrenal</c:v>
                </c:pt>
                <c:pt idx="1">
                  <c:v>Medication</c:v>
                </c:pt>
                <c:pt idx="2">
                  <c:v>Infection</c:v>
                </c:pt>
                <c:pt idx="3">
                  <c:v>Hypovolemia</c:v>
                </c:pt>
                <c:pt idx="4">
                  <c:v>Comorbidity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17</c:v>
                </c:pt>
                <c:pt idx="3">
                  <c:v>11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59-40E5-BD08-6503479FD6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95039"/>
        <c:axId val="1945837071"/>
      </c:barChart>
      <c:catAx>
        <c:axId val="19073950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5837071"/>
        <c:crosses val="autoZero"/>
        <c:auto val="1"/>
        <c:lblAlgn val="ctr"/>
        <c:lblOffset val="100"/>
        <c:noMultiLvlLbl val="0"/>
      </c:catAx>
      <c:valAx>
        <c:axId val="194583707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07395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Number of causes of </a:t>
            </a:r>
            <a:r>
              <a:rPr lang="en-US" sz="1400" b="0" i="0" u="none" strike="noStrike" baseline="0">
                <a:effectLst/>
              </a:rPr>
              <a:t>community </a:t>
            </a:r>
            <a:r>
              <a:rPr lang="en-US"/>
              <a:t>acute kidney injury </a:t>
            </a:r>
            <a:r>
              <a:rPr lang="en-US" sz="1400" b="0" i="0" u="none" strike="noStrike" baseline="0">
                <a:effectLst/>
              </a:rPr>
              <a:t>in elderly patients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Overall acute kidney injury reasons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Postrenal</c:v>
                </c:pt>
                <c:pt idx="1">
                  <c:v>postoperative</c:v>
                </c:pt>
                <c:pt idx="2">
                  <c:v>Medication</c:v>
                </c:pt>
                <c:pt idx="3">
                  <c:v>Infection</c:v>
                </c:pt>
                <c:pt idx="4">
                  <c:v>Hypovolemia</c:v>
                </c:pt>
                <c:pt idx="5">
                  <c:v>Contrast</c:v>
                </c:pt>
                <c:pt idx="6">
                  <c:v>Comorbidity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</c:v>
                </c:pt>
                <c:pt idx="1">
                  <c:v>7</c:v>
                </c:pt>
                <c:pt idx="2">
                  <c:v>18</c:v>
                </c:pt>
                <c:pt idx="3">
                  <c:v>24</c:v>
                </c:pt>
                <c:pt idx="4">
                  <c:v>13</c:v>
                </c:pt>
                <c:pt idx="5">
                  <c:v>4</c:v>
                </c:pt>
                <c:pt idx="6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D2-4810-9D8A-618C8F4931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95039"/>
        <c:axId val="1945837071"/>
      </c:barChart>
      <c:catAx>
        <c:axId val="19073950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5837071"/>
        <c:crosses val="autoZero"/>
        <c:auto val="1"/>
        <c:lblAlgn val="ctr"/>
        <c:lblOffset val="100"/>
        <c:noMultiLvlLbl val="0"/>
      </c:catAx>
      <c:valAx>
        <c:axId val="194583707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07395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Abrar Alshehri</dc:creator>
  <cp:keywords/>
  <dc:description/>
  <cp:lastModifiedBy>Abrar Alshehri</cp:lastModifiedBy>
  <cp:revision>1</cp:revision>
  <dcterms:created xsi:type="dcterms:W3CDTF">2025-07-10T11:20:00Z</dcterms:created>
  <dcterms:modified xsi:type="dcterms:W3CDTF">2025-07-10T11:23:00Z</dcterms:modified>
</cp:coreProperties>
</file>