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6B80" w14:textId="77777777" w:rsidR="00F90FA5" w:rsidRPr="004037AB" w:rsidRDefault="00F90FA5" w:rsidP="00F90FA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682B548D">
        <w:rPr>
          <w:rFonts w:ascii="Arial" w:hAnsi="Arial" w:cs="Arial"/>
          <w:sz w:val="28"/>
          <w:szCs w:val="28"/>
        </w:rPr>
        <w:t xml:space="preserve">Title: </w:t>
      </w:r>
      <w:r w:rsidRPr="682B548D">
        <w:rPr>
          <w:rFonts w:ascii="Arial" w:hAnsi="Arial" w:cs="Arial"/>
          <w:b/>
          <w:bCs/>
          <w:sz w:val="28"/>
          <w:szCs w:val="28"/>
        </w:rPr>
        <w:t xml:space="preserve">Taurine, glycine, tryptophan and kynurenine are </w:t>
      </w:r>
      <w:r>
        <w:rPr>
          <w:rFonts w:ascii="Arial" w:hAnsi="Arial" w:cs="Arial"/>
          <w:b/>
          <w:bCs/>
          <w:sz w:val="28"/>
          <w:szCs w:val="28"/>
        </w:rPr>
        <w:t>key</w:t>
      </w:r>
      <w:r w:rsidRPr="682B548D">
        <w:rPr>
          <w:rFonts w:ascii="Arial" w:hAnsi="Arial" w:cs="Arial"/>
          <w:b/>
          <w:bCs/>
          <w:sz w:val="28"/>
          <w:szCs w:val="28"/>
        </w:rPr>
        <w:t xml:space="preserve"> metabolic </w:t>
      </w:r>
      <w:r>
        <w:rPr>
          <w:rFonts w:ascii="Arial" w:hAnsi="Arial" w:cs="Arial"/>
          <w:b/>
          <w:bCs/>
          <w:sz w:val="28"/>
          <w:szCs w:val="28"/>
        </w:rPr>
        <w:t>signatures</w:t>
      </w:r>
      <w:r w:rsidRPr="682B548D">
        <w:rPr>
          <w:rFonts w:ascii="Arial" w:hAnsi="Arial" w:cs="Arial"/>
          <w:b/>
          <w:bCs/>
          <w:sz w:val="28"/>
          <w:szCs w:val="28"/>
        </w:rPr>
        <w:t xml:space="preserve"> for differentiation of extrapulmonary pleural tuberculosis</w:t>
      </w:r>
    </w:p>
    <w:p w14:paraId="6238C94B" w14:textId="77777777" w:rsidR="00F90FA5" w:rsidRDefault="00F90FA5" w:rsidP="00F90FA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037AB">
        <w:rPr>
          <w:rFonts w:ascii="Arial" w:hAnsi="Arial" w:cs="Arial"/>
          <w:sz w:val="28"/>
          <w:szCs w:val="28"/>
        </w:rPr>
        <w:t xml:space="preserve">Running title: </w:t>
      </w:r>
      <w:r w:rsidRPr="004037AB">
        <w:rPr>
          <w:rFonts w:ascii="Arial" w:hAnsi="Arial" w:cs="Arial"/>
          <w:b/>
          <w:bCs/>
          <w:sz w:val="28"/>
          <w:szCs w:val="28"/>
        </w:rPr>
        <w:t xml:space="preserve">Metabolic </w:t>
      </w:r>
      <w:r>
        <w:rPr>
          <w:rFonts w:ascii="Arial" w:hAnsi="Arial" w:cs="Arial"/>
          <w:b/>
          <w:bCs/>
          <w:sz w:val="28"/>
          <w:szCs w:val="28"/>
        </w:rPr>
        <w:t>classifiers</w:t>
      </w:r>
      <w:r w:rsidRPr="004037AB">
        <w:rPr>
          <w:rFonts w:ascii="Arial" w:hAnsi="Arial" w:cs="Arial"/>
          <w:b/>
          <w:bCs/>
          <w:sz w:val="28"/>
          <w:szCs w:val="28"/>
        </w:rPr>
        <w:t xml:space="preserve"> for pleural TB </w:t>
      </w:r>
    </w:p>
    <w:p w14:paraId="50922043" w14:textId="77777777" w:rsidR="0007097F" w:rsidRDefault="0007097F" w:rsidP="0007097F">
      <w:pPr>
        <w:spacing w:line="360" w:lineRule="auto"/>
        <w:rPr>
          <w:rFonts w:ascii="Arial" w:hAnsi="Arial" w:cs="Arial"/>
          <w:sz w:val="22"/>
          <w:szCs w:val="22"/>
        </w:rPr>
      </w:pPr>
      <w:r w:rsidRPr="56C57894">
        <w:rPr>
          <w:rFonts w:ascii="Arial" w:hAnsi="Arial" w:cs="Arial"/>
          <w:b/>
          <w:bCs/>
          <w:sz w:val="22"/>
          <w:szCs w:val="22"/>
        </w:rPr>
        <w:t>Authors:</w:t>
      </w:r>
      <w:r w:rsidRPr="56C57894">
        <w:rPr>
          <w:rFonts w:ascii="Arial" w:hAnsi="Arial" w:cs="Arial"/>
          <w:sz w:val="22"/>
          <w:szCs w:val="22"/>
        </w:rPr>
        <w:t xml:space="preserve"> Khushboo Borah Slater</w:t>
      </w:r>
      <w:r w:rsidRPr="56C57894">
        <w:rPr>
          <w:rFonts w:ascii="Arial" w:hAnsi="Arial" w:cs="Arial"/>
          <w:sz w:val="22"/>
          <w:szCs w:val="22"/>
          <w:vertAlign w:val="superscript"/>
        </w:rPr>
        <w:t>1*</w:t>
      </w:r>
      <w:r w:rsidRPr="56C57894">
        <w:rPr>
          <w:rFonts w:ascii="Arial" w:hAnsi="Arial" w:cs="Arial"/>
          <w:sz w:val="22"/>
          <w:szCs w:val="22"/>
        </w:rPr>
        <w:t>,</w:t>
      </w:r>
      <w:r w:rsidRPr="56C57894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56C57894">
        <w:rPr>
          <w:rFonts w:ascii="Arial" w:hAnsi="Arial" w:cs="Arial"/>
          <w:sz w:val="22"/>
          <w:szCs w:val="22"/>
        </w:rPr>
        <w:t>Shagun Shagun</w:t>
      </w:r>
      <w:r w:rsidRPr="56C57894">
        <w:rPr>
          <w:rFonts w:ascii="Arial" w:hAnsi="Arial" w:cs="Arial"/>
          <w:sz w:val="22"/>
          <w:szCs w:val="22"/>
          <w:vertAlign w:val="superscript"/>
        </w:rPr>
        <w:t>1</w:t>
      </w:r>
      <w:r w:rsidRPr="56C57894">
        <w:rPr>
          <w:rFonts w:ascii="Arial" w:hAnsi="Arial" w:cs="Arial"/>
          <w:sz w:val="22"/>
          <w:szCs w:val="22"/>
        </w:rPr>
        <w:t>, Holly May-Lewis</w:t>
      </w:r>
      <w:r w:rsidRPr="56C57894">
        <w:rPr>
          <w:rFonts w:ascii="Arial" w:hAnsi="Arial" w:cs="Arial"/>
          <w:sz w:val="22"/>
          <w:szCs w:val="22"/>
          <w:vertAlign w:val="superscript"/>
        </w:rPr>
        <w:t>2</w:t>
      </w:r>
      <w:r w:rsidRPr="56C57894">
        <w:rPr>
          <w:rFonts w:ascii="Arial" w:hAnsi="Arial" w:cs="Arial"/>
          <w:sz w:val="22"/>
          <w:szCs w:val="22"/>
        </w:rPr>
        <w:t>, Ye Xu</w:t>
      </w:r>
      <w:r w:rsidRPr="56C57894">
        <w:rPr>
          <w:rFonts w:ascii="Arial" w:hAnsi="Arial" w:cs="Arial"/>
          <w:sz w:val="22"/>
          <w:szCs w:val="22"/>
          <w:vertAlign w:val="superscript"/>
        </w:rPr>
        <w:t>3</w:t>
      </w:r>
      <w:r w:rsidRPr="56C57894">
        <w:rPr>
          <w:rFonts w:ascii="Arial" w:hAnsi="Arial" w:cs="Arial"/>
          <w:sz w:val="22"/>
          <w:szCs w:val="22"/>
        </w:rPr>
        <w:t xml:space="preserve">, Roberto Stefan </w:t>
      </w:r>
      <w:r w:rsidRPr="00A34B2E">
        <w:rPr>
          <w:rFonts w:ascii="Arial" w:hAnsi="Arial" w:cs="Arial"/>
          <w:sz w:val="22"/>
          <w:szCs w:val="22"/>
        </w:rPr>
        <w:t>Almeida Ribeiro</w:t>
      </w:r>
      <w:r w:rsidRPr="00A34B2E">
        <w:rPr>
          <w:rFonts w:ascii="Arial" w:hAnsi="Arial" w:cs="Arial"/>
          <w:sz w:val="22"/>
          <w:szCs w:val="22"/>
          <w:vertAlign w:val="superscript"/>
        </w:rPr>
        <w:t>4</w:t>
      </w:r>
      <w:r>
        <w:rPr>
          <w:rFonts w:ascii="Arial" w:hAnsi="Arial" w:cs="Arial"/>
          <w:sz w:val="22"/>
          <w:szCs w:val="22"/>
        </w:rPr>
        <w:t xml:space="preserve">, </w:t>
      </w:r>
      <w:r w:rsidRPr="56C57894">
        <w:rPr>
          <w:rFonts w:ascii="Arial" w:hAnsi="Arial" w:cs="Arial"/>
          <w:sz w:val="22"/>
          <w:szCs w:val="22"/>
        </w:rPr>
        <w:t xml:space="preserve">Raquel </w:t>
      </w:r>
      <w:r w:rsidRPr="00D102E4">
        <w:rPr>
          <w:rFonts w:ascii="Arial" w:hAnsi="Arial" w:cs="Arial"/>
          <w:sz w:val="22"/>
          <w:szCs w:val="22"/>
        </w:rPr>
        <w:t xml:space="preserve">da Silva </w:t>
      </w:r>
      <w:r w:rsidRPr="56C57894">
        <w:rPr>
          <w:rFonts w:ascii="Arial" w:hAnsi="Arial" w:cs="Arial"/>
          <w:sz w:val="22"/>
          <w:szCs w:val="22"/>
        </w:rPr>
        <w:t>Correa</w:t>
      </w:r>
      <w:r w:rsidRPr="56C57894">
        <w:rPr>
          <w:rFonts w:ascii="Arial" w:hAnsi="Arial" w:cs="Arial"/>
          <w:sz w:val="22"/>
          <w:szCs w:val="22"/>
          <w:vertAlign w:val="superscript"/>
        </w:rPr>
        <w:t>4</w:t>
      </w:r>
      <w:r w:rsidRPr="56C57894">
        <w:rPr>
          <w:rFonts w:ascii="Arial" w:hAnsi="Arial" w:cs="Arial"/>
          <w:sz w:val="22"/>
          <w:szCs w:val="22"/>
        </w:rPr>
        <w:t xml:space="preserve">, </w:t>
      </w:r>
      <w:r w:rsidRPr="00373442">
        <w:rPr>
          <w:rFonts w:ascii="Arial" w:hAnsi="Arial" w:cs="Arial"/>
          <w:sz w:val="22"/>
          <w:szCs w:val="22"/>
        </w:rPr>
        <w:t>Thiago Thomaz Mafort</w:t>
      </w:r>
      <w:r w:rsidRPr="00373442">
        <w:rPr>
          <w:rFonts w:ascii="Arial" w:hAnsi="Arial" w:cs="Arial"/>
          <w:sz w:val="22"/>
          <w:szCs w:val="22"/>
          <w:vertAlign w:val="superscript"/>
        </w:rPr>
        <w:t>5</w:t>
      </w:r>
      <w:r w:rsidRPr="00373442">
        <w:rPr>
          <w:rFonts w:ascii="Arial" w:hAnsi="Arial" w:cs="Arial"/>
          <w:sz w:val="22"/>
          <w:szCs w:val="22"/>
        </w:rPr>
        <w:t>, Ana Paula Santos</w:t>
      </w:r>
      <w:r w:rsidRPr="00373442">
        <w:rPr>
          <w:rFonts w:ascii="Arial" w:hAnsi="Arial" w:cs="Arial"/>
          <w:sz w:val="22"/>
          <w:szCs w:val="22"/>
          <w:vertAlign w:val="superscript"/>
        </w:rPr>
        <w:t>5</w:t>
      </w:r>
      <w:r w:rsidRPr="00373442">
        <w:rPr>
          <w:rFonts w:ascii="Arial" w:hAnsi="Arial" w:cs="Arial"/>
          <w:sz w:val="22"/>
          <w:szCs w:val="22"/>
        </w:rPr>
        <w:t>, Rogério Rufino</w:t>
      </w:r>
      <w:r w:rsidRPr="00373442">
        <w:rPr>
          <w:rFonts w:ascii="Arial" w:hAnsi="Arial" w:cs="Arial"/>
          <w:sz w:val="22"/>
          <w:szCs w:val="22"/>
          <w:vertAlign w:val="superscript"/>
        </w:rPr>
        <w:t>5</w:t>
      </w:r>
      <w:r w:rsidRPr="00373442">
        <w:rPr>
          <w:rFonts w:ascii="Arial" w:hAnsi="Arial" w:cs="Arial"/>
          <w:sz w:val="22"/>
          <w:szCs w:val="22"/>
        </w:rPr>
        <w:t xml:space="preserve">, </w:t>
      </w:r>
      <w:r w:rsidRPr="56C57894">
        <w:rPr>
          <w:rFonts w:ascii="Arial" w:hAnsi="Arial" w:cs="Arial"/>
          <w:sz w:val="22"/>
          <w:szCs w:val="22"/>
        </w:rPr>
        <w:t>Luciana Rodrigues</w:t>
      </w:r>
      <w:r w:rsidRPr="56C57894">
        <w:rPr>
          <w:rFonts w:ascii="Arial" w:hAnsi="Arial" w:cs="Arial"/>
          <w:sz w:val="22"/>
          <w:szCs w:val="22"/>
          <w:vertAlign w:val="superscript"/>
        </w:rPr>
        <w:t>4</w:t>
      </w:r>
    </w:p>
    <w:p w14:paraId="10EC9052" w14:textId="77777777" w:rsidR="0007097F" w:rsidRDefault="0007097F" w:rsidP="0007097F">
      <w:pPr>
        <w:spacing w:line="360" w:lineRule="auto"/>
        <w:rPr>
          <w:rFonts w:ascii="Arial" w:hAnsi="Arial" w:cs="Arial"/>
          <w:sz w:val="22"/>
          <w:szCs w:val="22"/>
        </w:rPr>
      </w:pPr>
    </w:p>
    <w:p w14:paraId="5E69556E" w14:textId="77777777" w:rsidR="0007097F" w:rsidRPr="004037AB" w:rsidRDefault="0007097F" w:rsidP="0007097F">
      <w:pPr>
        <w:spacing w:line="360" w:lineRule="auto"/>
        <w:rPr>
          <w:rFonts w:ascii="Arial" w:hAnsi="Arial" w:cs="Arial"/>
          <w:sz w:val="22"/>
          <w:szCs w:val="22"/>
        </w:rPr>
      </w:pPr>
      <w:r w:rsidRPr="004037AB">
        <w:rPr>
          <w:rFonts w:ascii="Arial" w:hAnsi="Arial" w:cs="Arial"/>
          <w:sz w:val="22"/>
          <w:szCs w:val="22"/>
          <w:vertAlign w:val="superscript"/>
        </w:rPr>
        <w:t>1</w:t>
      </w:r>
      <w:r w:rsidRPr="004037AB">
        <w:rPr>
          <w:rFonts w:ascii="Arial" w:hAnsi="Arial" w:cs="Arial"/>
          <w:sz w:val="22"/>
          <w:szCs w:val="22"/>
        </w:rPr>
        <w:t>Department of Biosciences, Faculty of Health and Life Sciences, University of Exeter, EX4 4QD</w:t>
      </w:r>
    </w:p>
    <w:p w14:paraId="09FF4D48" w14:textId="77777777" w:rsidR="0007097F" w:rsidRPr="004037AB" w:rsidRDefault="0007097F" w:rsidP="0007097F">
      <w:pPr>
        <w:spacing w:line="360" w:lineRule="auto"/>
        <w:rPr>
          <w:rFonts w:ascii="Arial" w:hAnsi="Arial" w:cs="Arial"/>
          <w:sz w:val="22"/>
          <w:szCs w:val="22"/>
        </w:rPr>
      </w:pPr>
      <w:r w:rsidRPr="004037AB">
        <w:rPr>
          <w:rFonts w:ascii="Arial" w:hAnsi="Arial" w:cs="Arial"/>
          <w:sz w:val="22"/>
          <w:szCs w:val="22"/>
          <w:vertAlign w:val="superscript"/>
        </w:rPr>
        <w:t>2</w:t>
      </w:r>
      <w:r w:rsidRPr="004037AB">
        <w:rPr>
          <w:rFonts w:ascii="Arial" w:hAnsi="Arial" w:cs="Arial"/>
          <w:sz w:val="22"/>
          <w:szCs w:val="22"/>
        </w:rPr>
        <w:t xml:space="preserve"> School of Biosciences, University of Surrey, Guildford, United Kingdom</w:t>
      </w:r>
    </w:p>
    <w:p w14:paraId="22448159" w14:textId="77777777" w:rsidR="0007097F" w:rsidRPr="004037AB" w:rsidRDefault="0007097F" w:rsidP="0007097F">
      <w:pPr>
        <w:spacing w:line="360" w:lineRule="auto"/>
        <w:rPr>
          <w:rFonts w:ascii="Arial" w:hAnsi="Arial" w:cs="Arial"/>
          <w:sz w:val="22"/>
          <w:szCs w:val="22"/>
        </w:rPr>
      </w:pPr>
      <w:r w:rsidRPr="004037AB">
        <w:rPr>
          <w:rFonts w:ascii="Arial" w:hAnsi="Arial" w:cs="Arial"/>
          <w:sz w:val="22"/>
          <w:szCs w:val="22"/>
          <w:vertAlign w:val="superscript"/>
        </w:rPr>
        <w:t>3</w:t>
      </w:r>
      <w:r w:rsidRPr="004037AB">
        <w:rPr>
          <w:rFonts w:ascii="Arial" w:hAnsi="Arial" w:cs="Arial"/>
          <w:sz w:val="22"/>
          <w:szCs w:val="22"/>
        </w:rPr>
        <w:t xml:space="preserve"> Department of Clinical Laboratory, Shanghai Ninth People’s Hospital, Shanghai Jiao Tong University School of Medicine, Shanghai, China</w:t>
      </w:r>
    </w:p>
    <w:p w14:paraId="39230408" w14:textId="77777777" w:rsidR="0007097F" w:rsidRDefault="0007097F" w:rsidP="0007097F">
      <w:pPr>
        <w:spacing w:line="360" w:lineRule="auto"/>
        <w:rPr>
          <w:rFonts w:ascii="Arial" w:hAnsi="Arial" w:cs="Arial"/>
          <w:sz w:val="22"/>
          <w:szCs w:val="22"/>
        </w:rPr>
      </w:pPr>
      <w:r w:rsidRPr="004037AB">
        <w:rPr>
          <w:rFonts w:ascii="Arial" w:hAnsi="Arial" w:cs="Arial"/>
          <w:sz w:val="22"/>
          <w:szCs w:val="22"/>
          <w:vertAlign w:val="superscript"/>
        </w:rPr>
        <w:t>4</w:t>
      </w:r>
      <w:r w:rsidRPr="004037AB">
        <w:rPr>
          <w:rFonts w:ascii="Arial" w:hAnsi="Arial" w:cs="Arial"/>
          <w:sz w:val="22"/>
          <w:szCs w:val="22"/>
        </w:rPr>
        <w:t>Depart</w:t>
      </w:r>
      <w:r>
        <w:rPr>
          <w:rFonts w:ascii="Arial" w:hAnsi="Arial" w:cs="Arial"/>
          <w:sz w:val="22"/>
          <w:szCs w:val="22"/>
        </w:rPr>
        <w:t>ment of Pathology and Laboratories</w:t>
      </w:r>
      <w:r w:rsidRPr="004037A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Laboratory of Immunopathology, Medical Sciences Faculty (</w:t>
      </w:r>
      <w:r w:rsidRPr="004037AB">
        <w:rPr>
          <w:rFonts w:ascii="Arial" w:hAnsi="Arial" w:cs="Arial"/>
          <w:sz w:val="22"/>
          <w:szCs w:val="22"/>
        </w:rPr>
        <w:t>FCM</w:t>
      </w:r>
      <w:r>
        <w:rPr>
          <w:rFonts w:ascii="Arial" w:hAnsi="Arial" w:cs="Arial"/>
          <w:sz w:val="22"/>
          <w:szCs w:val="22"/>
        </w:rPr>
        <w:t>)</w:t>
      </w:r>
      <w:r w:rsidRPr="004037A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Rio de Janeiro State University (</w:t>
      </w:r>
      <w:r w:rsidRPr="004037AB">
        <w:rPr>
          <w:rFonts w:ascii="Arial" w:hAnsi="Arial" w:cs="Arial"/>
          <w:sz w:val="22"/>
          <w:szCs w:val="22"/>
        </w:rPr>
        <w:t>UERJ</w:t>
      </w:r>
      <w:r>
        <w:rPr>
          <w:rFonts w:ascii="Arial" w:hAnsi="Arial" w:cs="Arial"/>
          <w:sz w:val="22"/>
          <w:szCs w:val="22"/>
        </w:rPr>
        <w:t>), Rio de Janeiro, RJ, Brazil.</w:t>
      </w:r>
    </w:p>
    <w:p w14:paraId="0F5E7270" w14:textId="77777777" w:rsidR="0007097F" w:rsidRDefault="0007097F" w:rsidP="0007097F">
      <w:pPr>
        <w:spacing w:line="360" w:lineRule="auto"/>
        <w:rPr>
          <w:rFonts w:ascii="Arial" w:hAnsi="Arial" w:cs="Arial"/>
          <w:sz w:val="22"/>
          <w:szCs w:val="22"/>
        </w:rPr>
      </w:pPr>
      <w:r w:rsidRPr="00856D2F">
        <w:rPr>
          <w:rFonts w:ascii="Arial" w:hAnsi="Arial" w:cs="Arial"/>
          <w:sz w:val="22"/>
          <w:szCs w:val="22"/>
          <w:vertAlign w:val="superscript"/>
        </w:rPr>
        <w:t xml:space="preserve">5 </w:t>
      </w:r>
      <w:r>
        <w:rPr>
          <w:rFonts w:ascii="Arial" w:hAnsi="Arial" w:cs="Arial"/>
          <w:sz w:val="22"/>
          <w:szCs w:val="22"/>
        </w:rPr>
        <w:t>Department of Pulmonary Care, Pedro Ernesto University Hospital (HUPE), UERJ, Rio de Janeiro, RJ, Brazil.</w:t>
      </w:r>
    </w:p>
    <w:p w14:paraId="3558E9C3" w14:textId="77777777" w:rsidR="0007097F" w:rsidRPr="004037AB" w:rsidRDefault="0007097F" w:rsidP="0007097F">
      <w:pPr>
        <w:jc w:val="both"/>
        <w:rPr>
          <w:rFonts w:ascii="Arial" w:hAnsi="Arial" w:cs="Arial"/>
          <w:sz w:val="22"/>
          <w:szCs w:val="22"/>
        </w:rPr>
      </w:pPr>
    </w:p>
    <w:p w14:paraId="2F0CA4B9" w14:textId="77777777" w:rsidR="0007097F" w:rsidRPr="004037AB" w:rsidRDefault="0007097F" w:rsidP="0007097F">
      <w:pPr>
        <w:jc w:val="both"/>
        <w:rPr>
          <w:rFonts w:ascii="Arial" w:hAnsi="Arial" w:cs="Arial"/>
          <w:sz w:val="22"/>
          <w:szCs w:val="22"/>
        </w:rPr>
      </w:pPr>
      <w:r w:rsidRPr="004037AB">
        <w:rPr>
          <w:rFonts w:ascii="Arial" w:hAnsi="Arial" w:cs="Arial"/>
          <w:sz w:val="22"/>
          <w:szCs w:val="22"/>
          <w:vertAlign w:val="superscript"/>
        </w:rPr>
        <w:t>*</w:t>
      </w:r>
      <w:r w:rsidRPr="004037AB">
        <w:rPr>
          <w:rFonts w:ascii="Arial" w:hAnsi="Arial" w:cs="Arial"/>
          <w:sz w:val="22"/>
          <w:szCs w:val="22"/>
        </w:rPr>
        <w:t>Corresponding</w:t>
      </w:r>
      <w:r w:rsidRPr="004037AB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4037AB">
        <w:rPr>
          <w:rFonts w:ascii="Arial" w:hAnsi="Arial" w:cs="Arial"/>
          <w:sz w:val="22"/>
          <w:szCs w:val="22"/>
        </w:rPr>
        <w:t xml:space="preserve">author email: </w:t>
      </w:r>
      <w:hyperlink r:id="rId4" w:history="1">
        <w:r w:rsidRPr="004037AB">
          <w:rPr>
            <w:rStyle w:val="Hyperlink"/>
            <w:rFonts w:ascii="Arial" w:hAnsi="Arial" w:cs="Arial"/>
            <w:sz w:val="22"/>
            <w:szCs w:val="22"/>
          </w:rPr>
          <w:t>k.borah-slater@exeter.ac.uk</w:t>
        </w:r>
      </w:hyperlink>
      <w:r w:rsidRPr="004037AB">
        <w:rPr>
          <w:rFonts w:ascii="Arial" w:hAnsi="Arial" w:cs="Arial"/>
          <w:sz w:val="22"/>
          <w:szCs w:val="22"/>
        </w:rPr>
        <w:t xml:space="preserve"> </w:t>
      </w:r>
    </w:p>
    <w:p w14:paraId="00015B21" w14:textId="24D51550" w:rsidR="00886620" w:rsidRPr="00C5236B" w:rsidRDefault="00886620" w:rsidP="004E1FF0">
      <w:pPr>
        <w:rPr>
          <w:rFonts w:ascii="Arial" w:hAnsi="Arial" w:cs="Arial"/>
        </w:rPr>
      </w:pPr>
    </w:p>
    <w:p w14:paraId="5767FCB5" w14:textId="77777777" w:rsidR="00B8151B" w:rsidRPr="00C5236B" w:rsidRDefault="00B8151B" w:rsidP="004330CE">
      <w:pPr>
        <w:jc w:val="center"/>
        <w:rPr>
          <w:rFonts w:ascii="Arial" w:hAnsi="Arial" w:cs="Arial"/>
        </w:rPr>
      </w:pPr>
    </w:p>
    <w:p w14:paraId="2BF69CB7" w14:textId="77777777" w:rsidR="007F3C1A" w:rsidRPr="00C5236B" w:rsidRDefault="007F3C1A" w:rsidP="007F3C1A">
      <w:pPr>
        <w:rPr>
          <w:rFonts w:ascii="Arial" w:hAnsi="Arial" w:cs="Arial"/>
        </w:rPr>
      </w:pPr>
    </w:p>
    <w:p w14:paraId="3B696C98" w14:textId="77777777" w:rsidR="001E504D" w:rsidRDefault="001E504D" w:rsidP="007F3C1A">
      <w:pPr>
        <w:rPr>
          <w:rFonts w:ascii="Arial" w:hAnsi="Arial" w:cs="Arial"/>
        </w:rPr>
      </w:pPr>
    </w:p>
    <w:p w14:paraId="4D6E70E2" w14:textId="77777777" w:rsidR="001E504D" w:rsidRDefault="001E504D" w:rsidP="007F3C1A">
      <w:pPr>
        <w:rPr>
          <w:rFonts w:ascii="Arial" w:hAnsi="Arial" w:cs="Arial"/>
        </w:rPr>
      </w:pPr>
    </w:p>
    <w:p w14:paraId="4E1E2135" w14:textId="77777777" w:rsidR="001E504D" w:rsidRDefault="001E504D" w:rsidP="007F3C1A">
      <w:pPr>
        <w:rPr>
          <w:rFonts w:ascii="Arial" w:hAnsi="Arial" w:cs="Arial"/>
        </w:rPr>
      </w:pPr>
    </w:p>
    <w:p w14:paraId="398EA05C" w14:textId="77777777" w:rsidR="001E504D" w:rsidRDefault="001E504D" w:rsidP="007F3C1A">
      <w:pPr>
        <w:rPr>
          <w:rFonts w:ascii="Arial" w:hAnsi="Arial" w:cs="Arial"/>
        </w:rPr>
      </w:pPr>
    </w:p>
    <w:p w14:paraId="42BBCDE9" w14:textId="77777777" w:rsidR="001E504D" w:rsidRDefault="001E504D" w:rsidP="007F3C1A">
      <w:pPr>
        <w:rPr>
          <w:rFonts w:ascii="Arial" w:hAnsi="Arial" w:cs="Arial"/>
        </w:rPr>
      </w:pPr>
    </w:p>
    <w:p w14:paraId="134739BD" w14:textId="77777777" w:rsidR="001E504D" w:rsidRDefault="001E504D" w:rsidP="007F3C1A">
      <w:pPr>
        <w:rPr>
          <w:rFonts w:ascii="Arial" w:hAnsi="Arial" w:cs="Arial"/>
        </w:rPr>
      </w:pPr>
    </w:p>
    <w:p w14:paraId="4D4B917E" w14:textId="77777777" w:rsidR="001E504D" w:rsidRDefault="001E504D" w:rsidP="007F3C1A">
      <w:pPr>
        <w:rPr>
          <w:rFonts w:ascii="Arial" w:hAnsi="Arial" w:cs="Arial"/>
        </w:rPr>
      </w:pPr>
    </w:p>
    <w:p w14:paraId="54F75EE5" w14:textId="77777777" w:rsidR="001E504D" w:rsidRDefault="001E504D" w:rsidP="007F3C1A">
      <w:pPr>
        <w:rPr>
          <w:rFonts w:ascii="Arial" w:hAnsi="Arial" w:cs="Arial"/>
        </w:rPr>
      </w:pPr>
    </w:p>
    <w:p w14:paraId="76FA5181" w14:textId="77777777" w:rsidR="001E504D" w:rsidRDefault="001E504D" w:rsidP="007F3C1A">
      <w:pPr>
        <w:rPr>
          <w:rFonts w:ascii="Arial" w:hAnsi="Arial" w:cs="Arial"/>
        </w:rPr>
      </w:pPr>
    </w:p>
    <w:p w14:paraId="6602C31E" w14:textId="77777777" w:rsidR="001E504D" w:rsidRDefault="001E504D" w:rsidP="007F3C1A">
      <w:pPr>
        <w:rPr>
          <w:rFonts w:ascii="Arial" w:hAnsi="Arial" w:cs="Arial"/>
        </w:rPr>
      </w:pPr>
    </w:p>
    <w:p w14:paraId="22F2F3F9" w14:textId="77777777" w:rsidR="001E504D" w:rsidRDefault="001E504D" w:rsidP="007F3C1A">
      <w:pPr>
        <w:rPr>
          <w:rFonts w:ascii="Arial" w:hAnsi="Arial" w:cs="Arial"/>
        </w:rPr>
      </w:pPr>
    </w:p>
    <w:p w14:paraId="0514F791" w14:textId="77777777" w:rsidR="001E504D" w:rsidRDefault="001E504D" w:rsidP="007F3C1A">
      <w:pPr>
        <w:rPr>
          <w:rFonts w:ascii="Arial" w:hAnsi="Arial" w:cs="Arial"/>
        </w:rPr>
      </w:pPr>
    </w:p>
    <w:p w14:paraId="5523BE8B" w14:textId="77777777" w:rsidR="001E504D" w:rsidRDefault="001E504D" w:rsidP="007F3C1A">
      <w:pPr>
        <w:rPr>
          <w:rFonts w:ascii="Arial" w:hAnsi="Arial" w:cs="Arial"/>
        </w:rPr>
      </w:pPr>
    </w:p>
    <w:p w14:paraId="771AFAE8" w14:textId="77777777" w:rsidR="001E504D" w:rsidRDefault="001E504D" w:rsidP="007F3C1A">
      <w:pPr>
        <w:rPr>
          <w:rFonts w:ascii="Arial" w:hAnsi="Arial" w:cs="Arial"/>
        </w:rPr>
      </w:pPr>
    </w:p>
    <w:p w14:paraId="07B3A066" w14:textId="77777777" w:rsidR="001E504D" w:rsidRDefault="001E504D" w:rsidP="007F3C1A">
      <w:pPr>
        <w:rPr>
          <w:rFonts w:ascii="Arial" w:hAnsi="Arial" w:cs="Arial"/>
        </w:rPr>
      </w:pPr>
    </w:p>
    <w:p w14:paraId="27D61CCF" w14:textId="77777777" w:rsidR="001E504D" w:rsidRDefault="001E504D" w:rsidP="007F3C1A">
      <w:pPr>
        <w:rPr>
          <w:rFonts w:ascii="Arial" w:hAnsi="Arial" w:cs="Arial"/>
        </w:rPr>
      </w:pPr>
    </w:p>
    <w:p w14:paraId="38200FFE" w14:textId="77777777" w:rsidR="001E504D" w:rsidRDefault="001E504D" w:rsidP="007F3C1A">
      <w:pPr>
        <w:rPr>
          <w:rFonts w:ascii="Arial" w:hAnsi="Arial" w:cs="Arial"/>
        </w:rPr>
      </w:pPr>
    </w:p>
    <w:p w14:paraId="748E811D" w14:textId="77777777" w:rsidR="001E504D" w:rsidRDefault="001E504D" w:rsidP="007F3C1A">
      <w:pPr>
        <w:rPr>
          <w:rFonts w:ascii="Arial" w:hAnsi="Arial" w:cs="Arial"/>
        </w:rPr>
      </w:pPr>
    </w:p>
    <w:p w14:paraId="7C5B7D55" w14:textId="77777777" w:rsidR="001E504D" w:rsidRDefault="001E504D" w:rsidP="007F3C1A">
      <w:pPr>
        <w:rPr>
          <w:rFonts w:ascii="Arial" w:hAnsi="Arial" w:cs="Arial"/>
        </w:rPr>
      </w:pPr>
    </w:p>
    <w:p w14:paraId="353180FF" w14:textId="77777777" w:rsidR="001E504D" w:rsidRDefault="001E504D" w:rsidP="007F3C1A">
      <w:pPr>
        <w:rPr>
          <w:rFonts w:ascii="Arial" w:hAnsi="Arial" w:cs="Arial"/>
        </w:rPr>
      </w:pPr>
    </w:p>
    <w:p w14:paraId="61BF7A9A" w14:textId="77777777" w:rsidR="001E504D" w:rsidRDefault="001E504D" w:rsidP="007F3C1A">
      <w:pPr>
        <w:rPr>
          <w:rFonts w:ascii="Arial" w:hAnsi="Arial" w:cs="Arial"/>
        </w:rPr>
      </w:pPr>
    </w:p>
    <w:p w14:paraId="6FFCA61C" w14:textId="77777777" w:rsidR="001E504D" w:rsidRDefault="001E504D" w:rsidP="007F3C1A">
      <w:pPr>
        <w:rPr>
          <w:rFonts w:ascii="Arial" w:hAnsi="Arial" w:cs="Arial"/>
        </w:rPr>
      </w:pPr>
    </w:p>
    <w:p w14:paraId="4AACF808" w14:textId="4A7D7536" w:rsidR="00B8151B" w:rsidRPr="00C5236B" w:rsidRDefault="00B8151B" w:rsidP="007F3C1A">
      <w:pPr>
        <w:rPr>
          <w:rFonts w:ascii="Arial" w:hAnsi="Arial" w:cs="Arial"/>
        </w:rPr>
      </w:pPr>
      <w:r w:rsidRPr="00C5236B">
        <w:rPr>
          <w:rFonts w:ascii="Arial" w:hAnsi="Arial" w:cs="Arial"/>
        </w:rPr>
        <w:lastRenderedPageBreak/>
        <w:t>Fig</w:t>
      </w:r>
      <w:r w:rsidR="007F3C1A" w:rsidRPr="00C5236B">
        <w:rPr>
          <w:rFonts w:ascii="Arial" w:hAnsi="Arial" w:cs="Arial"/>
        </w:rPr>
        <w:t>ure</w:t>
      </w:r>
      <w:r w:rsidRPr="00C5236B">
        <w:rPr>
          <w:rFonts w:ascii="Arial" w:hAnsi="Arial" w:cs="Arial"/>
        </w:rPr>
        <w:t>. S</w:t>
      </w:r>
      <w:r w:rsidR="00A0113D">
        <w:rPr>
          <w:rFonts w:ascii="Arial" w:hAnsi="Arial" w:cs="Arial"/>
        </w:rPr>
        <w:t>1</w:t>
      </w:r>
    </w:p>
    <w:p w14:paraId="6558294E" w14:textId="6FA13E04" w:rsidR="001E504D" w:rsidRPr="001E504D" w:rsidRDefault="001E504D" w:rsidP="001E504D">
      <w:pPr>
        <w:jc w:val="center"/>
        <w:rPr>
          <w:rFonts w:ascii="Arial" w:hAnsi="Arial" w:cs="Arial"/>
        </w:rPr>
      </w:pPr>
      <w:r w:rsidRPr="001E504D">
        <w:rPr>
          <w:rFonts w:ascii="Arial" w:hAnsi="Arial" w:cs="Arial"/>
        </w:rPr>
        <w:drawing>
          <wp:inline distT="0" distB="0" distL="0" distR="0" wp14:anchorId="5E0E4ACB" wp14:editId="419E30BA">
            <wp:extent cx="5731510" cy="3907155"/>
            <wp:effectExtent l="0" t="0" r="2540" b="0"/>
            <wp:docPr id="1264411162" name="Picture 2" descr="A diagram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411162" name="Picture 2" descr="A diagram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0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F09C7" w14:textId="2DAA38CF" w:rsidR="00991023" w:rsidRPr="00C5236B" w:rsidRDefault="00991023" w:rsidP="00B8151B">
      <w:pPr>
        <w:jc w:val="center"/>
        <w:rPr>
          <w:rFonts w:ascii="Arial" w:hAnsi="Arial" w:cs="Arial"/>
        </w:rPr>
      </w:pPr>
    </w:p>
    <w:p w14:paraId="33A0CB86" w14:textId="51E24268" w:rsidR="007F3C1A" w:rsidRPr="00C5236B" w:rsidRDefault="007F3C1A" w:rsidP="007F3C1A">
      <w:pPr>
        <w:jc w:val="both"/>
        <w:rPr>
          <w:rFonts w:ascii="Arial" w:hAnsi="Arial" w:cs="Arial"/>
        </w:rPr>
      </w:pPr>
      <w:r w:rsidRPr="00C5236B">
        <w:rPr>
          <w:rFonts w:ascii="Arial" w:hAnsi="Arial" w:cs="Arial"/>
        </w:rPr>
        <w:t>Figure. S</w:t>
      </w:r>
      <w:r w:rsidR="004E1FF0">
        <w:rPr>
          <w:rFonts w:ascii="Arial" w:hAnsi="Arial" w:cs="Arial"/>
        </w:rPr>
        <w:t>1</w:t>
      </w:r>
      <w:r w:rsidRPr="00C5236B">
        <w:rPr>
          <w:rFonts w:ascii="Arial" w:hAnsi="Arial" w:cs="Arial"/>
        </w:rPr>
        <w:t xml:space="preserve">. </w:t>
      </w:r>
      <w:r w:rsidR="00CD7A04" w:rsidRPr="00CD7A04">
        <w:rPr>
          <w:rFonts w:ascii="Arial" w:hAnsi="Arial" w:cs="Arial"/>
          <w:b/>
          <w:bCs/>
        </w:rPr>
        <w:t>Metabolite features for differentiation of pleural TB from healthy controls (HC)</w:t>
      </w:r>
      <w:r w:rsidRPr="00C5236B">
        <w:rPr>
          <w:rFonts w:ascii="Arial" w:hAnsi="Arial" w:cs="Arial"/>
        </w:rPr>
        <w:t xml:space="preserve">. </w:t>
      </w:r>
      <w:r w:rsidR="00DB7012" w:rsidRPr="00714D1C">
        <w:rPr>
          <w:rFonts w:ascii="Arial" w:hAnsi="Arial" w:cs="Arial"/>
          <w:b/>
          <w:bCs/>
        </w:rPr>
        <w:t>A.</w:t>
      </w:r>
      <w:r w:rsidR="00DB7012">
        <w:rPr>
          <w:rFonts w:ascii="Arial" w:hAnsi="Arial" w:cs="Arial"/>
        </w:rPr>
        <w:t xml:space="preserve"> </w:t>
      </w:r>
      <w:r w:rsidR="00DB7012" w:rsidRPr="00DB7012">
        <w:rPr>
          <w:rFonts w:ascii="Arial" w:hAnsi="Arial" w:cs="Arial"/>
        </w:rPr>
        <w:t xml:space="preserve">OPLS-DA plot showing the separation of PlTB from HC. </w:t>
      </w:r>
      <w:r w:rsidR="00714D1C" w:rsidRPr="00714D1C">
        <w:rPr>
          <w:rFonts w:ascii="Arial" w:hAnsi="Arial" w:cs="Arial"/>
          <w:b/>
          <w:bCs/>
        </w:rPr>
        <w:t>B.</w:t>
      </w:r>
      <w:r w:rsidR="00714D1C">
        <w:rPr>
          <w:rFonts w:ascii="Arial" w:hAnsi="Arial" w:cs="Arial"/>
        </w:rPr>
        <w:t xml:space="preserve"> </w:t>
      </w:r>
      <w:r w:rsidR="00714D1C" w:rsidRPr="00714D1C">
        <w:rPr>
          <w:rFonts w:ascii="Arial" w:hAnsi="Arial" w:cs="Arial"/>
        </w:rPr>
        <w:t xml:space="preserve">VIP scores showing 15 ranked metabolites that separated PlTB from </w:t>
      </w:r>
      <w:r w:rsidR="00843FE0">
        <w:rPr>
          <w:rFonts w:ascii="Arial" w:hAnsi="Arial" w:cs="Arial"/>
        </w:rPr>
        <w:t>HC</w:t>
      </w:r>
      <w:r w:rsidR="00714D1C" w:rsidRPr="00714D1C">
        <w:rPr>
          <w:rFonts w:ascii="Arial" w:hAnsi="Arial" w:cs="Arial"/>
        </w:rPr>
        <w:t xml:space="preserve">. </w:t>
      </w:r>
      <w:r w:rsidR="00DB7012" w:rsidRPr="00DB7012">
        <w:rPr>
          <w:rFonts w:ascii="Arial" w:hAnsi="Arial" w:cs="Arial"/>
        </w:rPr>
        <w:t>OPLS</w:t>
      </w:r>
      <w:r w:rsidR="00843FE0">
        <w:rPr>
          <w:rFonts w:ascii="Arial" w:hAnsi="Arial" w:cs="Arial"/>
        </w:rPr>
        <w:t xml:space="preserve">-DA and VIP plots were generated </w:t>
      </w:r>
      <w:r w:rsidR="00DB7012" w:rsidRPr="00DB7012">
        <w:rPr>
          <w:rFonts w:ascii="Arial" w:hAnsi="Arial" w:cs="Arial"/>
        </w:rPr>
        <w:t xml:space="preserve">using </w:t>
      </w:r>
      <w:proofErr w:type="spellStart"/>
      <w:r w:rsidR="00DB7012" w:rsidRPr="00DB7012">
        <w:rPr>
          <w:rFonts w:ascii="Arial" w:hAnsi="Arial" w:cs="Arial"/>
        </w:rPr>
        <w:t>nM</w:t>
      </w:r>
      <w:proofErr w:type="spellEnd"/>
      <w:r w:rsidR="00DB7012" w:rsidRPr="00DB7012">
        <w:rPr>
          <w:rFonts w:ascii="Arial" w:hAnsi="Arial" w:cs="Arial"/>
        </w:rPr>
        <w:t xml:space="preserve"> concentrations </w:t>
      </w:r>
      <w:r w:rsidR="00843FE0">
        <w:rPr>
          <w:rFonts w:ascii="Arial" w:hAnsi="Arial" w:cs="Arial"/>
        </w:rPr>
        <w:t>of the metabolite features</w:t>
      </w:r>
      <w:r w:rsidR="00DB7012" w:rsidRPr="00DB7012">
        <w:rPr>
          <w:rFonts w:ascii="Arial" w:hAnsi="Arial" w:cs="Arial"/>
        </w:rPr>
        <w:t xml:space="preserve">. </w:t>
      </w:r>
      <w:r w:rsidR="00F36819" w:rsidRPr="00F36819">
        <w:rPr>
          <w:rFonts w:ascii="Arial" w:hAnsi="Arial" w:cs="Arial"/>
          <w:b/>
          <w:bCs/>
        </w:rPr>
        <w:t>C.</w:t>
      </w:r>
      <w:r w:rsidR="00F36819">
        <w:rPr>
          <w:rFonts w:ascii="Arial" w:hAnsi="Arial" w:cs="Arial"/>
          <w:b/>
          <w:bCs/>
        </w:rPr>
        <w:t xml:space="preserve"> </w:t>
      </w:r>
      <w:r w:rsidR="00F36819" w:rsidRPr="00F36819">
        <w:rPr>
          <w:rFonts w:ascii="Arial" w:hAnsi="Arial" w:cs="Arial"/>
        </w:rPr>
        <w:t>Box plot showing methionine sulfoxide (Met-SO)</w:t>
      </w:r>
      <w:r w:rsidR="00F36819">
        <w:rPr>
          <w:rFonts w:ascii="Arial" w:hAnsi="Arial" w:cs="Arial"/>
        </w:rPr>
        <w:t xml:space="preserve"> </w:t>
      </w:r>
      <w:r w:rsidR="005B3E9A">
        <w:rPr>
          <w:rFonts w:ascii="Arial" w:hAnsi="Arial" w:cs="Arial"/>
        </w:rPr>
        <w:t xml:space="preserve">abundances </w:t>
      </w:r>
      <w:r w:rsidR="00F36819">
        <w:rPr>
          <w:rFonts w:ascii="Arial" w:hAnsi="Arial" w:cs="Arial"/>
        </w:rPr>
        <w:t xml:space="preserve">in </w:t>
      </w:r>
      <w:r w:rsidR="005B3E9A" w:rsidRPr="00F36819">
        <w:rPr>
          <w:rFonts w:ascii="Arial" w:hAnsi="Arial" w:cs="Arial"/>
        </w:rPr>
        <w:t>PlTB vs. HC</w:t>
      </w:r>
      <w:r w:rsidR="005B3E9A">
        <w:rPr>
          <w:rFonts w:ascii="Arial" w:hAnsi="Arial" w:cs="Arial"/>
        </w:rPr>
        <w:t xml:space="preserve">. </w:t>
      </w:r>
      <w:r w:rsidR="005B3E9A" w:rsidRPr="005B3E9A">
        <w:rPr>
          <w:rFonts w:ascii="Arial" w:hAnsi="Arial" w:cs="Arial"/>
          <w:b/>
          <w:bCs/>
        </w:rPr>
        <w:t>D.</w:t>
      </w:r>
      <w:r w:rsidR="005B3E9A">
        <w:rPr>
          <w:rFonts w:ascii="Arial" w:hAnsi="Arial" w:cs="Arial"/>
        </w:rPr>
        <w:t xml:space="preserve"> Box plot showing</w:t>
      </w:r>
      <w:r w:rsidR="00F36819">
        <w:rPr>
          <w:rFonts w:ascii="Arial" w:hAnsi="Arial" w:cs="Arial"/>
        </w:rPr>
        <w:t xml:space="preserve"> </w:t>
      </w:r>
      <w:r w:rsidR="00F36819" w:rsidRPr="00F36819">
        <w:rPr>
          <w:rFonts w:ascii="Arial" w:hAnsi="Arial" w:cs="Arial"/>
        </w:rPr>
        <w:t>histidine in</w:t>
      </w:r>
      <w:r w:rsidR="005B3E9A">
        <w:rPr>
          <w:rFonts w:ascii="Arial" w:hAnsi="Arial" w:cs="Arial"/>
        </w:rPr>
        <w:t xml:space="preserve"> </w:t>
      </w:r>
      <w:r w:rsidR="005B3E9A">
        <w:rPr>
          <w:rFonts w:ascii="Arial" w:hAnsi="Arial" w:cs="Arial"/>
        </w:rPr>
        <w:t xml:space="preserve">in </w:t>
      </w:r>
      <w:r w:rsidR="005B3E9A" w:rsidRPr="00F36819">
        <w:rPr>
          <w:rFonts w:ascii="Arial" w:hAnsi="Arial" w:cs="Arial"/>
        </w:rPr>
        <w:t>PlTB vs. HC</w:t>
      </w:r>
      <w:r w:rsidR="005B3E9A">
        <w:rPr>
          <w:rFonts w:ascii="Arial" w:hAnsi="Arial" w:cs="Arial"/>
        </w:rPr>
        <w:t xml:space="preserve">. </w:t>
      </w:r>
      <w:r w:rsidR="005B3E9A" w:rsidRPr="005B3E9A">
        <w:rPr>
          <w:rFonts w:ascii="Arial" w:hAnsi="Arial" w:cs="Arial"/>
          <w:b/>
          <w:bCs/>
        </w:rPr>
        <w:t>E</w:t>
      </w:r>
      <w:r w:rsidR="005A2C6C">
        <w:rPr>
          <w:rFonts w:ascii="Arial" w:hAnsi="Arial" w:cs="Arial"/>
          <w:b/>
          <w:bCs/>
        </w:rPr>
        <w:t>, F.</w:t>
      </w:r>
      <w:r w:rsidR="005B3E9A">
        <w:rPr>
          <w:rFonts w:ascii="Arial" w:hAnsi="Arial" w:cs="Arial"/>
        </w:rPr>
        <w:t xml:space="preserve"> Receiver operating characteristic (ROC) curves</w:t>
      </w:r>
      <w:r w:rsidR="00857D2D" w:rsidRPr="00C5236B">
        <w:rPr>
          <w:rFonts w:ascii="Arial" w:hAnsi="Arial" w:cs="Arial"/>
        </w:rPr>
        <w:t xml:space="preserve"> </w:t>
      </w:r>
      <w:r w:rsidR="005B3E9A">
        <w:rPr>
          <w:rFonts w:ascii="Arial" w:hAnsi="Arial" w:cs="Arial"/>
        </w:rPr>
        <w:t>showing</w:t>
      </w:r>
      <w:r w:rsidR="00857D2D" w:rsidRPr="00C5236B">
        <w:rPr>
          <w:rFonts w:ascii="Arial" w:hAnsi="Arial" w:cs="Arial"/>
        </w:rPr>
        <w:t xml:space="preserve"> </w:t>
      </w:r>
      <w:r w:rsidR="00255DD4" w:rsidRPr="00C5236B">
        <w:rPr>
          <w:rFonts w:ascii="Arial" w:hAnsi="Arial" w:cs="Arial"/>
        </w:rPr>
        <w:t xml:space="preserve">sensitivity and specificity </w:t>
      </w:r>
      <w:r w:rsidR="00C958E7">
        <w:rPr>
          <w:rFonts w:ascii="Arial" w:hAnsi="Arial" w:cs="Arial"/>
        </w:rPr>
        <w:t xml:space="preserve">of Met-SO and histidine as models to classify PlTB from HC. </w:t>
      </w:r>
      <w:r w:rsidR="00EC53F4" w:rsidRPr="00EC53F4">
        <w:rPr>
          <w:rFonts w:ascii="Arial" w:hAnsi="Arial" w:cs="Arial"/>
        </w:rPr>
        <w:t xml:space="preserve">Values are mean ± S.D. (N=10). * Indicates statistically significant differences, p ≤0.05. </w:t>
      </w:r>
      <w:r w:rsidR="00370273" w:rsidRPr="00C5236B">
        <w:rPr>
          <w:rFonts w:ascii="Arial" w:hAnsi="Arial" w:cs="Arial"/>
        </w:rPr>
        <w:t>HC: healthy control; PlTB: pleural TB</w:t>
      </w:r>
      <w:r w:rsidR="005A2C6C">
        <w:rPr>
          <w:rFonts w:ascii="Arial" w:hAnsi="Arial" w:cs="Arial"/>
        </w:rPr>
        <w:t>;</w:t>
      </w:r>
      <w:r w:rsidR="00C958E7" w:rsidRPr="00C958E7">
        <w:rPr>
          <w:rFonts w:ascii="Arial" w:hAnsi="Arial" w:cs="Arial"/>
        </w:rPr>
        <w:t xml:space="preserve"> </w:t>
      </w:r>
      <w:r w:rsidR="00C958E7" w:rsidRPr="00C5236B">
        <w:rPr>
          <w:rFonts w:ascii="Arial" w:hAnsi="Arial" w:cs="Arial"/>
        </w:rPr>
        <w:t>area under the curve (AUC)</w:t>
      </w:r>
      <w:r w:rsidR="005A2C6C">
        <w:rPr>
          <w:rFonts w:ascii="Arial" w:hAnsi="Arial" w:cs="Arial"/>
        </w:rPr>
        <w:t>.</w:t>
      </w:r>
    </w:p>
    <w:p w14:paraId="3AAC9983" w14:textId="77777777" w:rsidR="007F3C1A" w:rsidRPr="00C5236B" w:rsidRDefault="007F3C1A" w:rsidP="007F3C1A">
      <w:pPr>
        <w:jc w:val="center"/>
        <w:rPr>
          <w:rFonts w:ascii="Arial" w:hAnsi="Arial" w:cs="Arial"/>
        </w:rPr>
      </w:pPr>
    </w:p>
    <w:p w14:paraId="02BB6684" w14:textId="199E4355" w:rsidR="00241C9A" w:rsidRPr="00C5236B" w:rsidRDefault="00241C9A" w:rsidP="00241C9A">
      <w:pPr>
        <w:rPr>
          <w:rFonts w:ascii="Arial" w:hAnsi="Arial" w:cs="Arial"/>
          <w:noProof/>
        </w:rPr>
      </w:pPr>
      <w:r w:rsidRPr="00C5236B">
        <w:rPr>
          <w:rFonts w:ascii="Arial" w:hAnsi="Arial" w:cs="Arial"/>
          <w:noProof/>
        </w:rPr>
        <w:t>Fig</w:t>
      </w:r>
      <w:r w:rsidR="001A1C90" w:rsidRPr="00C5236B">
        <w:rPr>
          <w:rFonts w:ascii="Arial" w:hAnsi="Arial" w:cs="Arial"/>
          <w:noProof/>
        </w:rPr>
        <w:t>ure</w:t>
      </w:r>
      <w:r w:rsidRPr="00C5236B">
        <w:rPr>
          <w:rFonts w:ascii="Arial" w:hAnsi="Arial" w:cs="Arial"/>
          <w:noProof/>
        </w:rPr>
        <w:t>.S</w:t>
      </w:r>
      <w:r w:rsidR="004E1FF0">
        <w:rPr>
          <w:rFonts w:ascii="Arial" w:hAnsi="Arial" w:cs="Arial"/>
          <w:noProof/>
        </w:rPr>
        <w:t>2</w:t>
      </w:r>
    </w:p>
    <w:p w14:paraId="5EFA3723" w14:textId="0F58EF53" w:rsidR="00241C9A" w:rsidRPr="00C5236B" w:rsidRDefault="00241C9A" w:rsidP="00B8151B">
      <w:pPr>
        <w:jc w:val="center"/>
        <w:rPr>
          <w:rFonts w:ascii="Arial" w:hAnsi="Arial" w:cs="Arial"/>
        </w:rPr>
      </w:pPr>
      <w:r w:rsidRPr="00C5236B">
        <w:rPr>
          <w:rFonts w:ascii="Arial" w:hAnsi="Arial" w:cs="Arial"/>
          <w:noProof/>
        </w:rPr>
        <w:drawing>
          <wp:inline distT="0" distB="0" distL="0" distR="0" wp14:anchorId="6C81CD81" wp14:editId="1E13F43B">
            <wp:extent cx="3856621" cy="1878330"/>
            <wp:effectExtent l="0" t="0" r="0" b="7620"/>
            <wp:docPr id="990826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39"/>
                    <a:stretch/>
                  </pic:blipFill>
                  <pic:spPr bwMode="auto">
                    <a:xfrm>
                      <a:off x="0" y="0"/>
                      <a:ext cx="3892012" cy="189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B9E957" w14:textId="7E8D49F4" w:rsidR="001A1C90" w:rsidRPr="00C5236B" w:rsidRDefault="001A1C90" w:rsidP="001A1C90">
      <w:pPr>
        <w:jc w:val="both"/>
        <w:rPr>
          <w:rFonts w:ascii="Arial" w:hAnsi="Arial" w:cs="Arial"/>
        </w:rPr>
      </w:pPr>
      <w:r w:rsidRPr="00C5236B">
        <w:rPr>
          <w:rFonts w:ascii="Arial" w:hAnsi="Arial" w:cs="Arial"/>
        </w:rPr>
        <w:t>Figure. S</w:t>
      </w:r>
      <w:r w:rsidR="001200DC">
        <w:rPr>
          <w:rFonts w:ascii="Arial" w:hAnsi="Arial" w:cs="Arial"/>
        </w:rPr>
        <w:t>2</w:t>
      </w:r>
      <w:r w:rsidRPr="00C5236B">
        <w:rPr>
          <w:rFonts w:ascii="Arial" w:hAnsi="Arial" w:cs="Arial"/>
        </w:rPr>
        <w:t xml:space="preserve">. </w:t>
      </w:r>
      <w:r w:rsidRPr="00C5236B">
        <w:rPr>
          <w:rFonts w:ascii="Arial" w:hAnsi="Arial" w:cs="Arial"/>
          <w:b/>
          <w:bCs/>
        </w:rPr>
        <w:t>ROC analysis of taurine and tryptophan as metabolic classifiers of PlTB vs PTB</w:t>
      </w:r>
      <w:r w:rsidRPr="00C5236B">
        <w:rPr>
          <w:rFonts w:ascii="Arial" w:hAnsi="Arial" w:cs="Arial"/>
        </w:rPr>
        <w:t>. Graph shows area under the curve (AUC) and sensitivity and specificity on X- and Y-axis respectively.</w:t>
      </w:r>
      <w:r w:rsidR="00370273" w:rsidRPr="00C5236B">
        <w:rPr>
          <w:rFonts w:ascii="Arial" w:hAnsi="Arial" w:cs="Arial"/>
        </w:rPr>
        <w:t xml:space="preserve"> PTB: pulmonary TB; PlTB: pleural TB.</w:t>
      </w:r>
    </w:p>
    <w:p w14:paraId="256F8E16" w14:textId="32636733" w:rsidR="001200DC" w:rsidRPr="00C5236B" w:rsidRDefault="001200DC" w:rsidP="001200DC">
      <w:pPr>
        <w:rPr>
          <w:rFonts w:ascii="Arial" w:hAnsi="Arial" w:cs="Arial"/>
          <w:noProof/>
        </w:rPr>
      </w:pPr>
      <w:r w:rsidRPr="00C5236B">
        <w:rPr>
          <w:rFonts w:ascii="Arial" w:hAnsi="Arial" w:cs="Arial"/>
          <w:noProof/>
        </w:rPr>
        <w:lastRenderedPageBreak/>
        <w:t>Figure.S</w:t>
      </w:r>
      <w:r>
        <w:rPr>
          <w:rFonts w:ascii="Arial" w:hAnsi="Arial" w:cs="Arial"/>
          <w:noProof/>
        </w:rPr>
        <w:t>3</w:t>
      </w:r>
    </w:p>
    <w:p w14:paraId="37714E68" w14:textId="4927AABB" w:rsidR="009819A9" w:rsidRDefault="00FA3698" w:rsidP="00D85AB4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760A22A1" wp14:editId="2739210F">
            <wp:extent cx="5659350" cy="2062483"/>
            <wp:effectExtent l="0" t="0" r="0" b="0"/>
            <wp:docPr id="5818788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910" cy="207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CD29F7" w14:textId="69C47339" w:rsidR="009819A9" w:rsidRDefault="009819A9" w:rsidP="001200DC">
      <w:pPr>
        <w:jc w:val="center"/>
        <w:rPr>
          <w:rFonts w:ascii="Arial" w:hAnsi="Arial" w:cs="Arial"/>
          <w:noProof/>
        </w:rPr>
      </w:pPr>
    </w:p>
    <w:p w14:paraId="09F76F71" w14:textId="4DA34A33" w:rsidR="001200DC" w:rsidRPr="00C5236B" w:rsidRDefault="001200DC" w:rsidP="001200DC">
      <w:pPr>
        <w:jc w:val="both"/>
        <w:rPr>
          <w:rFonts w:ascii="Arial" w:hAnsi="Arial" w:cs="Arial"/>
        </w:rPr>
      </w:pPr>
      <w:r w:rsidRPr="00C5236B">
        <w:rPr>
          <w:rFonts w:ascii="Arial" w:hAnsi="Arial" w:cs="Arial"/>
        </w:rPr>
        <w:t>Figure. S</w:t>
      </w:r>
      <w:r>
        <w:rPr>
          <w:rFonts w:ascii="Arial" w:hAnsi="Arial" w:cs="Arial"/>
        </w:rPr>
        <w:t>3</w:t>
      </w:r>
      <w:r w:rsidRPr="00C5236B">
        <w:rPr>
          <w:rFonts w:ascii="Arial" w:hAnsi="Arial" w:cs="Arial"/>
        </w:rPr>
        <w:t xml:space="preserve">. </w:t>
      </w:r>
      <w:r w:rsidR="0067662B" w:rsidRPr="0067662B">
        <w:rPr>
          <w:rFonts w:ascii="Arial" w:hAnsi="Arial" w:cs="Arial"/>
          <w:b/>
          <w:bCs/>
        </w:rPr>
        <w:t xml:space="preserve">Clinical quantification of </w:t>
      </w:r>
      <w:r w:rsidR="00FC292B">
        <w:rPr>
          <w:rFonts w:ascii="Arial" w:hAnsi="Arial" w:cs="Arial"/>
          <w:b/>
          <w:bCs/>
        </w:rPr>
        <w:t xml:space="preserve">tryptophan and </w:t>
      </w:r>
      <w:r w:rsidR="0067662B" w:rsidRPr="0067662B">
        <w:rPr>
          <w:rFonts w:ascii="Arial" w:hAnsi="Arial" w:cs="Arial"/>
          <w:b/>
          <w:bCs/>
        </w:rPr>
        <w:t>kynurenine levels</w:t>
      </w:r>
      <w:r w:rsidRPr="00C5236B">
        <w:rPr>
          <w:rFonts w:ascii="Arial" w:hAnsi="Arial" w:cs="Arial"/>
        </w:rPr>
        <w:t xml:space="preserve">. </w:t>
      </w:r>
      <w:r w:rsidR="00072CAE">
        <w:rPr>
          <w:rFonts w:ascii="Arial" w:hAnsi="Arial" w:cs="Arial"/>
        </w:rPr>
        <w:t xml:space="preserve">Amounts of </w:t>
      </w:r>
      <w:r w:rsidR="00EF577D">
        <w:rPr>
          <w:rFonts w:ascii="Arial" w:hAnsi="Arial" w:cs="Arial"/>
        </w:rPr>
        <w:t xml:space="preserve">tryptophan (T) and </w:t>
      </w:r>
      <w:r w:rsidR="00072CAE">
        <w:rPr>
          <w:rFonts w:ascii="Arial" w:hAnsi="Arial" w:cs="Arial"/>
        </w:rPr>
        <w:t xml:space="preserve">kynurenine </w:t>
      </w:r>
      <w:r w:rsidR="00EF577D">
        <w:rPr>
          <w:rFonts w:ascii="Arial" w:hAnsi="Arial" w:cs="Arial"/>
        </w:rPr>
        <w:t xml:space="preserve">(K) </w:t>
      </w:r>
      <w:r w:rsidR="00072CAE">
        <w:rPr>
          <w:rFonts w:ascii="Arial" w:hAnsi="Arial" w:cs="Arial"/>
        </w:rPr>
        <w:t>quantified in HC, PTB and PlTB groups</w:t>
      </w:r>
      <w:r w:rsidRPr="00C5236B">
        <w:rPr>
          <w:rFonts w:ascii="Arial" w:hAnsi="Arial" w:cs="Arial"/>
        </w:rPr>
        <w:t>.</w:t>
      </w:r>
      <w:r w:rsidR="00072CAE">
        <w:rPr>
          <w:rFonts w:ascii="Arial" w:hAnsi="Arial" w:cs="Arial"/>
        </w:rPr>
        <w:t xml:space="preserve"> Serum levels were measured for HC and PTB groups</w:t>
      </w:r>
      <w:r w:rsidR="00443234">
        <w:rPr>
          <w:rFonts w:ascii="Arial" w:hAnsi="Arial" w:cs="Arial"/>
        </w:rPr>
        <w:t>,</w:t>
      </w:r>
      <w:r w:rsidR="006505BB">
        <w:rPr>
          <w:rFonts w:ascii="Arial" w:hAnsi="Arial" w:cs="Arial"/>
        </w:rPr>
        <w:t xml:space="preserve"> and both serum and</w:t>
      </w:r>
      <w:r w:rsidR="00072CAE">
        <w:rPr>
          <w:rFonts w:ascii="Arial" w:hAnsi="Arial" w:cs="Arial"/>
        </w:rPr>
        <w:t xml:space="preserve"> pleural fluid levels </w:t>
      </w:r>
      <w:r w:rsidR="006505BB">
        <w:rPr>
          <w:rFonts w:ascii="Arial" w:hAnsi="Arial" w:cs="Arial"/>
        </w:rPr>
        <w:t>were measured for PlTB groups.</w:t>
      </w:r>
      <w:r w:rsidRPr="00C5236B">
        <w:rPr>
          <w:rFonts w:ascii="Arial" w:hAnsi="Arial" w:cs="Arial"/>
        </w:rPr>
        <w:t xml:space="preserve"> </w:t>
      </w:r>
      <w:r w:rsidR="008909B3">
        <w:rPr>
          <w:rFonts w:ascii="Arial" w:hAnsi="Arial" w:cs="Arial"/>
        </w:rPr>
        <w:t>K/T ratio was highest in pleural fluid of PlTB and OD</w:t>
      </w:r>
      <w:r w:rsidR="00310082">
        <w:rPr>
          <w:rFonts w:ascii="Arial" w:hAnsi="Arial" w:cs="Arial"/>
        </w:rPr>
        <w:t xml:space="preserve"> and in serum of PTB</w:t>
      </w:r>
      <w:r w:rsidR="0066653D">
        <w:rPr>
          <w:rFonts w:ascii="Arial" w:hAnsi="Arial" w:cs="Arial"/>
        </w:rPr>
        <w:t>. One-way Anova was used to compare the four groups,</w:t>
      </w:r>
      <w:r w:rsidR="00677A6F">
        <w:rPr>
          <w:rFonts w:ascii="Arial" w:hAnsi="Arial" w:cs="Arial"/>
        </w:rPr>
        <w:t xml:space="preserve"> and multiple comparisons were performed using </w:t>
      </w:r>
      <w:r w:rsidR="002249D8">
        <w:rPr>
          <w:rFonts w:ascii="Arial" w:hAnsi="Arial" w:cs="Arial"/>
        </w:rPr>
        <w:t>uncorrected Fisher’s LSD test;</w:t>
      </w:r>
      <w:r w:rsidR="0066653D">
        <w:rPr>
          <w:rFonts w:ascii="Arial" w:hAnsi="Arial" w:cs="Arial"/>
        </w:rPr>
        <w:t xml:space="preserve"> * indicates statistically significant differences. </w:t>
      </w:r>
      <w:r w:rsidR="0067662B">
        <w:rPr>
          <w:rFonts w:ascii="Arial" w:hAnsi="Arial" w:cs="Arial"/>
        </w:rPr>
        <w:t>HC: healthy control</w:t>
      </w:r>
      <w:r w:rsidR="00CD11A1">
        <w:rPr>
          <w:rFonts w:ascii="Arial" w:hAnsi="Arial" w:cs="Arial"/>
        </w:rPr>
        <w:t xml:space="preserve">; </w:t>
      </w:r>
      <w:r w:rsidRPr="00C5236B">
        <w:rPr>
          <w:rFonts w:ascii="Arial" w:hAnsi="Arial" w:cs="Arial"/>
        </w:rPr>
        <w:t xml:space="preserve">PTB: pulmonary TB; </w:t>
      </w:r>
      <w:bookmarkStart w:id="0" w:name="OLE_LINK2"/>
      <w:r w:rsidRPr="00C5236B">
        <w:rPr>
          <w:rFonts w:ascii="Arial" w:hAnsi="Arial" w:cs="Arial"/>
        </w:rPr>
        <w:t>PlTB</w:t>
      </w:r>
      <w:r w:rsidR="00CD11A1">
        <w:rPr>
          <w:rFonts w:ascii="Arial" w:hAnsi="Arial" w:cs="Arial"/>
        </w:rPr>
        <w:t xml:space="preserve"> (s)</w:t>
      </w:r>
      <w:r w:rsidRPr="00C5236B">
        <w:rPr>
          <w:rFonts w:ascii="Arial" w:hAnsi="Arial" w:cs="Arial"/>
        </w:rPr>
        <w:t xml:space="preserve">: </w:t>
      </w:r>
      <w:r w:rsidR="00CD11A1">
        <w:rPr>
          <w:rFonts w:ascii="Arial" w:hAnsi="Arial" w:cs="Arial"/>
        </w:rPr>
        <w:t xml:space="preserve">serum from </w:t>
      </w:r>
      <w:r w:rsidRPr="00C5236B">
        <w:rPr>
          <w:rFonts w:ascii="Arial" w:hAnsi="Arial" w:cs="Arial"/>
        </w:rPr>
        <w:t>pleural TB</w:t>
      </w:r>
      <w:bookmarkEnd w:id="0"/>
      <w:r w:rsidR="00CD11A1">
        <w:rPr>
          <w:rFonts w:ascii="Arial" w:hAnsi="Arial" w:cs="Arial"/>
        </w:rPr>
        <w:t xml:space="preserve">; </w:t>
      </w:r>
      <w:proofErr w:type="spellStart"/>
      <w:r w:rsidR="00CD11A1" w:rsidRPr="00C5236B">
        <w:rPr>
          <w:rFonts w:ascii="Arial" w:hAnsi="Arial" w:cs="Arial"/>
        </w:rPr>
        <w:t>PlTB</w:t>
      </w:r>
      <w:r w:rsidR="00CD11A1">
        <w:rPr>
          <w:rFonts w:ascii="Arial" w:hAnsi="Arial" w:cs="Arial"/>
        </w:rPr>
        <w:t>_pl</w:t>
      </w:r>
      <w:proofErr w:type="spellEnd"/>
      <w:r w:rsidR="00CD11A1" w:rsidRPr="00C5236B">
        <w:rPr>
          <w:rFonts w:ascii="Arial" w:hAnsi="Arial" w:cs="Arial"/>
        </w:rPr>
        <w:t xml:space="preserve">: </w:t>
      </w:r>
      <w:r w:rsidR="00CD11A1">
        <w:rPr>
          <w:rFonts w:ascii="Arial" w:hAnsi="Arial" w:cs="Arial"/>
        </w:rPr>
        <w:t xml:space="preserve">pleural fluid from </w:t>
      </w:r>
      <w:r w:rsidR="00CD11A1" w:rsidRPr="00C5236B">
        <w:rPr>
          <w:rFonts w:ascii="Arial" w:hAnsi="Arial" w:cs="Arial"/>
        </w:rPr>
        <w:t>pleural TB</w:t>
      </w:r>
      <w:r w:rsidR="00CD11A1">
        <w:rPr>
          <w:rFonts w:ascii="Arial" w:hAnsi="Arial" w:cs="Arial"/>
        </w:rPr>
        <w:t>.</w:t>
      </w:r>
    </w:p>
    <w:p w14:paraId="30DC0117" w14:textId="77777777" w:rsidR="009819A9" w:rsidRDefault="009819A9" w:rsidP="003D403D">
      <w:pPr>
        <w:rPr>
          <w:rFonts w:ascii="Arial" w:hAnsi="Arial" w:cs="Arial"/>
          <w:noProof/>
        </w:rPr>
      </w:pPr>
    </w:p>
    <w:p w14:paraId="60D93654" w14:textId="77777777" w:rsidR="009819A9" w:rsidRDefault="009819A9" w:rsidP="003D403D">
      <w:pPr>
        <w:rPr>
          <w:rFonts w:ascii="Arial" w:hAnsi="Arial" w:cs="Arial"/>
          <w:noProof/>
        </w:rPr>
      </w:pPr>
    </w:p>
    <w:p w14:paraId="1F8E6314" w14:textId="77777777" w:rsidR="0029457A" w:rsidRDefault="0029457A" w:rsidP="003D403D">
      <w:pPr>
        <w:rPr>
          <w:rFonts w:ascii="Arial" w:hAnsi="Arial" w:cs="Arial"/>
          <w:noProof/>
        </w:rPr>
      </w:pPr>
    </w:p>
    <w:p w14:paraId="08F1DB44" w14:textId="77777777" w:rsidR="0029457A" w:rsidRDefault="0029457A" w:rsidP="003D403D">
      <w:pPr>
        <w:rPr>
          <w:rFonts w:ascii="Arial" w:hAnsi="Arial" w:cs="Arial"/>
          <w:noProof/>
        </w:rPr>
      </w:pPr>
    </w:p>
    <w:p w14:paraId="332BC870" w14:textId="559AFD94" w:rsidR="003D403D" w:rsidRPr="00C5236B" w:rsidRDefault="003D403D" w:rsidP="003D403D">
      <w:pPr>
        <w:rPr>
          <w:rFonts w:ascii="Arial" w:hAnsi="Arial" w:cs="Arial"/>
          <w:noProof/>
        </w:rPr>
      </w:pPr>
      <w:r w:rsidRPr="00C5236B">
        <w:rPr>
          <w:rFonts w:ascii="Arial" w:hAnsi="Arial" w:cs="Arial"/>
          <w:noProof/>
        </w:rPr>
        <w:t>Fig</w:t>
      </w:r>
      <w:r w:rsidR="00370273" w:rsidRPr="00C5236B">
        <w:rPr>
          <w:rFonts w:ascii="Arial" w:hAnsi="Arial" w:cs="Arial"/>
          <w:noProof/>
        </w:rPr>
        <w:t>ure</w:t>
      </w:r>
      <w:r w:rsidRPr="00C5236B">
        <w:rPr>
          <w:rFonts w:ascii="Arial" w:hAnsi="Arial" w:cs="Arial"/>
          <w:noProof/>
        </w:rPr>
        <w:t>.S4</w:t>
      </w:r>
    </w:p>
    <w:p w14:paraId="12B111F3" w14:textId="1340758C" w:rsidR="003D403D" w:rsidRPr="00C5236B" w:rsidRDefault="003D403D" w:rsidP="003D403D">
      <w:pPr>
        <w:rPr>
          <w:rFonts w:ascii="Arial" w:hAnsi="Arial" w:cs="Arial"/>
        </w:rPr>
      </w:pPr>
      <w:r w:rsidRPr="00C5236B">
        <w:rPr>
          <w:rFonts w:ascii="Arial" w:hAnsi="Arial" w:cs="Arial"/>
          <w:noProof/>
        </w:rPr>
        <w:drawing>
          <wp:inline distT="0" distB="0" distL="0" distR="0" wp14:anchorId="5FC2532B" wp14:editId="7652219B">
            <wp:extent cx="5738884" cy="1790778"/>
            <wp:effectExtent l="0" t="0" r="0" b="0"/>
            <wp:docPr id="6654662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664" cy="1812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24C7CE" w14:textId="77777777" w:rsidR="001019C7" w:rsidRPr="00C5236B" w:rsidRDefault="001019C7" w:rsidP="003D403D">
      <w:pPr>
        <w:rPr>
          <w:rFonts w:ascii="Arial" w:hAnsi="Arial" w:cs="Arial"/>
        </w:rPr>
      </w:pPr>
    </w:p>
    <w:p w14:paraId="7FF1700F" w14:textId="7018D7A7" w:rsidR="00370273" w:rsidRPr="00C5236B" w:rsidRDefault="00370273" w:rsidP="00370273">
      <w:pPr>
        <w:jc w:val="both"/>
        <w:rPr>
          <w:rFonts w:ascii="Arial" w:hAnsi="Arial" w:cs="Arial"/>
        </w:rPr>
      </w:pPr>
      <w:r w:rsidRPr="00C5236B">
        <w:rPr>
          <w:rFonts w:ascii="Arial" w:hAnsi="Arial" w:cs="Arial"/>
        </w:rPr>
        <w:t xml:space="preserve">Figure. S4. </w:t>
      </w:r>
      <w:r w:rsidRPr="00C5236B">
        <w:rPr>
          <w:rFonts w:ascii="Arial" w:hAnsi="Arial" w:cs="Arial"/>
          <w:b/>
          <w:bCs/>
        </w:rPr>
        <w:t>ROC analysis of kynurenine, taurine and tryptophan as metabolic classifiers of PlTB vs PTB</w:t>
      </w:r>
      <w:r w:rsidRPr="00C5236B">
        <w:rPr>
          <w:rFonts w:ascii="Arial" w:hAnsi="Arial" w:cs="Arial"/>
        </w:rPr>
        <w:t>. Graph shows area under the curve (AUC) and sensitivity and specificity on X- and Y-axis respectively. PlTB: pleural TB</w:t>
      </w:r>
      <w:r w:rsidR="00DD47B6" w:rsidRPr="00C5236B">
        <w:rPr>
          <w:rFonts w:ascii="Arial" w:hAnsi="Arial" w:cs="Arial"/>
        </w:rPr>
        <w:t>; OD: non-TB pleural effusions.</w:t>
      </w:r>
    </w:p>
    <w:p w14:paraId="59050884" w14:textId="30C490BD" w:rsidR="001019C7" w:rsidRPr="00C5236B" w:rsidRDefault="001019C7" w:rsidP="00370273">
      <w:pPr>
        <w:rPr>
          <w:rFonts w:ascii="Arial" w:hAnsi="Arial" w:cs="Arial"/>
        </w:rPr>
      </w:pPr>
    </w:p>
    <w:sectPr w:rsidR="001019C7" w:rsidRPr="00C523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05"/>
    <w:rsid w:val="00021F05"/>
    <w:rsid w:val="0007097F"/>
    <w:rsid w:val="00072CAE"/>
    <w:rsid w:val="000A3549"/>
    <w:rsid w:val="001019C7"/>
    <w:rsid w:val="00106E4E"/>
    <w:rsid w:val="001200DC"/>
    <w:rsid w:val="001858CB"/>
    <w:rsid w:val="001A1C90"/>
    <w:rsid w:val="001A7516"/>
    <w:rsid w:val="001E504D"/>
    <w:rsid w:val="002249D8"/>
    <w:rsid w:val="00227AD5"/>
    <w:rsid w:val="00241C9A"/>
    <w:rsid w:val="00255040"/>
    <w:rsid w:val="00255DD4"/>
    <w:rsid w:val="0029457A"/>
    <w:rsid w:val="00310082"/>
    <w:rsid w:val="00325016"/>
    <w:rsid w:val="00330BB5"/>
    <w:rsid w:val="00370273"/>
    <w:rsid w:val="003D403D"/>
    <w:rsid w:val="004330CE"/>
    <w:rsid w:val="00443234"/>
    <w:rsid w:val="004B4FB9"/>
    <w:rsid w:val="004B5957"/>
    <w:rsid w:val="004E1FF0"/>
    <w:rsid w:val="00533265"/>
    <w:rsid w:val="005A2C6C"/>
    <w:rsid w:val="005B3E9A"/>
    <w:rsid w:val="005C49C9"/>
    <w:rsid w:val="0064662B"/>
    <w:rsid w:val="006505BB"/>
    <w:rsid w:val="006659AF"/>
    <w:rsid w:val="0066653D"/>
    <w:rsid w:val="00673A0D"/>
    <w:rsid w:val="0067662B"/>
    <w:rsid w:val="00677A6F"/>
    <w:rsid w:val="006C14CB"/>
    <w:rsid w:val="00714D1C"/>
    <w:rsid w:val="00761CB2"/>
    <w:rsid w:val="007D7C1F"/>
    <w:rsid w:val="007F3C1A"/>
    <w:rsid w:val="00843FE0"/>
    <w:rsid w:val="00857D2D"/>
    <w:rsid w:val="00886620"/>
    <w:rsid w:val="008909B3"/>
    <w:rsid w:val="009819A9"/>
    <w:rsid w:val="00991023"/>
    <w:rsid w:val="009E7B56"/>
    <w:rsid w:val="009F7F1E"/>
    <w:rsid w:val="00A0113D"/>
    <w:rsid w:val="00A2572F"/>
    <w:rsid w:val="00B503B1"/>
    <w:rsid w:val="00B5244A"/>
    <w:rsid w:val="00B8151B"/>
    <w:rsid w:val="00C32C8F"/>
    <w:rsid w:val="00C5236B"/>
    <w:rsid w:val="00C57D64"/>
    <w:rsid w:val="00C958E7"/>
    <w:rsid w:val="00CD11A1"/>
    <w:rsid w:val="00CD7A04"/>
    <w:rsid w:val="00CE51F8"/>
    <w:rsid w:val="00D2184C"/>
    <w:rsid w:val="00D6617D"/>
    <w:rsid w:val="00D85AB4"/>
    <w:rsid w:val="00DA6B63"/>
    <w:rsid w:val="00DB7012"/>
    <w:rsid w:val="00DD47B6"/>
    <w:rsid w:val="00DE0E57"/>
    <w:rsid w:val="00E10773"/>
    <w:rsid w:val="00E52FFC"/>
    <w:rsid w:val="00EC53F4"/>
    <w:rsid w:val="00EF577D"/>
    <w:rsid w:val="00F319BA"/>
    <w:rsid w:val="00F36819"/>
    <w:rsid w:val="00F90FA5"/>
    <w:rsid w:val="00FA3698"/>
    <w:rsid w:val="00FA5D83"/>
    <w:rsid w:val="00FC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D54C97"/>
  <w15:chartTrackingRefBased/>
  <w15:docId w15:val="{DB248505-F8FC-46AB-BB9A-38EBE253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FFC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F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F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F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F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F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F0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F0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F0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F0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F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F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F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1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F0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1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F0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1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F05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1F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F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F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2FF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10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k.borah-slater@exeter.ac.u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Borah Slater, Khushboo</dc:creator>
  <cp:keywords/>
  <dc:description/>
  <cp:lastModifiedBy>Borah Slater, Khushboo</cp:lastModifiedBy>
  <cp:revision>2</cp:revision>
  <dcterms:created xsi:type="dcterms:W3CDTF">2025-07-10T12:04:00Z</dcterms:created>
  <dcterms:modified xsi:type="dcterms:W3CDTF">2025-07-10T12:04:00Z</dcterms:modified>
</cp:coreProperties>
</file>