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CF129" w14:textId="77777777" w:rsidR="0006738F" w:rsidRDefault="0006738F" w:rsidP="0006738F">
      <w:pPr>
        <w:ind w:right="-20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Table S1 “Baseline characteristics and the clinical score of participants in the observational experiment”</w:t>
      </w:r>
    </w:p>
    <w:tbl>
      <w:tblPr>
        <w:tblStyle w:val="TableGrid"/>
        <w:tblW w:w="857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63"/>
        <w:gridCol w:w="1840"/>
        <w:gridCol w:w="1718"/>
        <w:gridCol w:w="992"/>
        <w:gridCol w:w="1062"/>
      </w:tblGrid>
      <w:tr w:rsidR="0006738F" w14:paraId="5C9D1D3A" w14:textId="77777777" w:rsidTr="00E72FDD">
        <w:trPr>
          <w:trHeight w:val="557"/>
        </w:trPr>
        <w:tc>
          <w:tcPr>
            <w:tcW w:w="29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53C6F9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bookmarkStart w:id="0" w:name="OLE_LINK13"/>
            <w:bookmarkEnd w:id="0"/>
            <w:r>
              <w:rPr>
                <w:rFonts w:eastAsia="Calibri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8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A90AD9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Control group (n=29)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B60889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VLS group (n=30)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1650A0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t/Z/ X2</w:t>
            </w:r>
          </w:p>
        </w:tc>
        <w:tc>
          <w:tcPr>
            <w:tcW w:w="106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C3EB47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p-Value</w:t>
            </w:r>
          </w:p>
        </w:tc>
      </w:tr>
      <w:tr w:rsidR="0006738F" w14:paraId="759E2278" w14:textId="77777777" w:rsidTr="00E72FDD">
        <w:trPr>
          <w:trHeight w:val="345"/>
        </w:trPr>
        <w:tc>
          <w:tcPr>
            <w:tcW w:w="296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77338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Ages (years)</w:t>
            </w:r>
          </w:p>
        </w:tc>
        <w:tc>
          <w:tcPr>
            <w:tcW w:w="18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00ACB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43.24 ± 11.48</w:t>
            </w: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EEFC1AC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44.97 ± 11.60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EE5DCB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− 0.615</w:t>
            </w:r>
          </w:p>
        </w:tc>
        <w:tc>
          <w:tcPr>
            <w:tcW w:w="106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3516BB7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0.539</w:t>
            </w:r>
          </w:p>
        </w:tc>
      </w:tr>
      <w:tr w:rsidR="0006738F" w14:paraId="1D1CC763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4E9D516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Weight (kg)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0447AC6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56.44 ± 6.35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4CAE1E7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56.35 ± 5.27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D4CC9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− 0.114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4BACB79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0.909</w:t>
            </w:r>
          </w:p>
        </w:tc>
      </w:tr>
      <w:tr w:rsidR="0006738F" w14:paraId="404D7052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7419E00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BMI (kg/m2)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1FB550A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21.82 ± 2.02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09E4E3B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22.07 ± 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01191C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− 0.553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E2D060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0.580</w:t>
            </w:r>
          </w:p>
        </w:tc>
      </w:tr>
      <w:tr w:rsidR="0006738F" w14:paraId="2F48BA57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75DAC69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Vaginal PH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65016FA9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4.03 ± 0.25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03259A5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4.08 ± 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9DA27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− 0.390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3E6E79F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0.696</w:t>
            </w:r>
          </w:p>
        </w:tc>
      </w:tr>
      <w:tr w:rsidR="0006738F" w14:paraId="5FD1F6D5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14216065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bookmarkStart w:id="1" w:name="OLE_LINK4"/>
            <w:r>
              <w:rPr>
                <w:rFonts w:eastAsia="Calibri"/>
                <w:color w:val="000000"/>
                <w:sz w:val="24"/>
                <w:szCs w:val="24"/>
              </w:rPr>
              <w:t>HPV</w:t>
            </w:r>
            <w:bookmarkEnd w:id="1"/>
            <w:r>
              <w:rPr>
                <w:rFonts w:eastAsia="Calibri"/>
                <w:color w:val="000000"/>
                <w:sz w:val="24"/>
                <w:szCs w:val="24"/>
              </w:rPr>
              <w:t xml:space="preserve"> infection,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5F7BAC6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</w:t>
            </w:r>
            <w:r>
              <w:rPr>
                <w:rFonts w:ascii="SimSun" w:eastAsia="SimSun" w:hAnsi="SimSun" w:cs="SimSun" w:hint="eastAsia"/>
                <w:color w:val="000000"/>
                <w:sz w:val="24"/>
                <w:szCs w:val="24"/>
              </w:rPr>
              <w:t>（</w:t>
            </w:r>
            <w:r>
              <w:rPr>
                <w:rFonts w:eastAsia="Calibri"/>
                <w:color w:val="000000"/>
                <w:sz w:val="24"/>
                <w:szCs w:val="24"/>
              </w:rPr>
              <w:t>6.90</w:t>
            </w:r>
            <w:r>
              <w:rPr>
                <w:rFonts w:ascii="SimSun" w:eastAsia="SimSun" w:hAnsi="SimSun" w:cs="SimSu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2692B21B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 (6.67)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C78DD9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 0.002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699A814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0.972</w:t>
            </w:r>
          </w:p>
        </w:tc>
      </w:tr>
      <w:tr w:rsidR="0006738F" w14:paraId="72C0A0AC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14F734FB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Hypertension,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6AB82E5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 (13.80)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6D793E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 (20.00)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52EBC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− 0.063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32AF9D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0.525</w:t>
            </w:r>
          </w:p>
        </w:tc>
      </w:tr>
      <w:tr w:rsidR="0006738F" w14:paraId="3FEDC960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62E0DD52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Diabetes,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67976FEC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 (3.45)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7ADA87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 (6.67)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24E77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− 0.033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ED0EBA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0.574</w:t>
            </w:r>
          </w:p>
        </w:tc>
      </w:tr>
      <w:tr w:rsidR="0006738F" w14:paraId="6946F824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205341F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Currently smoking,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5157AC4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 (13.80)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4137E3B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 (6.67)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DE6CC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 0.072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52001C35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0.365</w:t>
            </w:r>
          </w:p>
        </w:tc>
      </w:tr>
      <w:tr w:rsidR="0006738F" w14:paraId="571F2BC0" w14:textId="77777777" w:rsidTr="00E72FDD">
        <w:trPr>
          <w:trHeight w:val="283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62AA6394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Consumed alcohol,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DBB113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 (20.68)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4C8F31E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 (16.67)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7A787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 0.041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16BFEE9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0.692</w:t>
            </w:r>
          </w:p>
        </w:tc>
      </w:tr>
      <w:tr w:rsidR="0006738F" w14:paraId="692F55EA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61DE4F5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Ever pregnant, n (%)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2897DB8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24 (82.76)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64CED3F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26 (86.67)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A599F7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− 0.039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5109BA2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0.676</w:t>
            </w:r>
          </w:p>
        </w:tc>
      </w:tr>
      <w:tr w:rsidR="0006738F" w14:paraId="2B478B66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57FFD77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Skin color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0CF9A17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0.52 ± 0.83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5FB3EC4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2.03 ± 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7D4E45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− 5.162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2630700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2731E0D6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72BB986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Skin elasticity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21D1904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0.38 ± 0.68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7F9932A2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1.63 ± 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38633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− 4.900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5422FD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3EC8F77A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3F8B3F25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Pruritus degree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5C023A44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0.62 ± 0.86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5C823C03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1.80 ± 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451BDB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− 4.418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754A4F1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046D4439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3ECAE028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Lesion scope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08063A66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0.28 ± 0.59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71FB02B0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2.00 ± 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A31D83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− 5.786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1DB002E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00CB63DD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6EDEF76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bookmarkStart w:id="2" w:name="OLE_LINK14"/>
            <w:r>
              <w:rPr>
                <w:rFonts w:eastAsia="Calibri"/>
                <w:color w:val="000000"/>
                <w:sz w:val="24"/>
                <w:szCs w:val="24"/>
              </w:rPr>
              <w:t>Dyspareunia</w:t>
            </w:r>
            <w:bookmarkEnd w:id="2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7AC6FDB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0.03 ± 0.59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3EFF5B1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0.07 ± 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579CC9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− 0.558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6D26B3C4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0.577</w:t>
            </w:r>
          </w:p>
        </w:tc>
      </w:tr>
      <w:tr w:rsidR="0006738F" w14:paraId="77F69220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15C2B9E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IGA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6A638C1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0.28 ± 0.45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08034A22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3.50 ± 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3FB373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− 6.829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03D405FE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3D2B1E38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</w:tcPr>
          <w:p w14:paraId="4950CB72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DLQI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B99ABB5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0.34 ± 0.67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</w:tcPr>
          <w:p w14:paraId="115D09A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15.83 ± 3.71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494AA1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− 6.783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 w14:paraId="4BC0C3F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  <w:tr w:rsidR="0006738F" w14:paraId="67D9A449" w14:textId="77777777" w:rsidTr="00E72FDD">
        <w:trPr>
          <w:trHeight w:val="272"/>
        </w:trPr>
        <w:tc>
          <w:tcPr>
            <w:tcW w:w="29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33205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VQLI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6D5757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0.66 ± 1.20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BC905A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24.03± 3.21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FAAE2D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− 6.757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F8DA3F" w14:textId="77777777" w:rsidR="0006738F" w:rsidRDefault="0006738F" w:rsidP="00E72FDD">
            <w:pPr>
              <w:ind w:right="-20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0.000</w:t>
            </w:r>
          </w:p>
        </w:tc>
      </w:tr>
    </w:tbl>
    <w:p w14:paraId="23807909" w14:textId="77777777" w:rsidR="0006738F" w:rsidRDefault="0006738F" w:rsidP="0006738F">
      <w:pPr>
        <w:ind w:right="-20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C: health control; VLS: Vulvar lichen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sclerosus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BMI: Body Mass Index; HPV: Human papillomavirus; </w:t>
      </w:r>
      <w:proofErr w:type="spellStart"/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IGA:Investigator’s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global assessment; </w:t>
      </w:r>
      <w:proofErr w:type="spellStart"/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DLQL:Dermatology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life quality index; </w:t>
      </w:r>
      <w:proofErr w:type="spellStart"/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VQLI:Vulvar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quality of life index.</w:t>
      </w:r>
    </w:p>
    <w:p w14:paraId="12B0130F" w14:textId="77777777" w:rsidR="0006738F" w:rsidRDefault="0006738F" w:rsidP="0006738F">
      <w:pPr>
        <w:ind w:right="-20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</w:p>
    <w:p w14:paraId="07D7D030" w14:textId="77777777" w:rsidR="0006738F" w:rsidRDefault="0006738F" w:rsidP="0006738F">
      <w:pPr>
        <w:ind w:right="-20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</w:rPr>
        <w:t>S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2 “Bacteria isolated from</w:t>
      </w:r>
      <w:r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</w:rPr>
        <w:t xml:space="preserve"> vaginal swaps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 xml:space="preserve"> samples”</w:t>
      </w:r>
    </w:p>
    <w:tbl>
      <w:tblPr>
        <w:tblStyle w:val="TableGrid"/>
        <w:tblW w:w="851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2123"/>
        <w:gridCol w:w="1357"/>
        <w:gridCol w:w="2355"/>
      </w:tblGrid>
      <w:tr w:rsidR="0006738F" w14:paraId="6EB11616" w14:textId="77777777" w:rsidTr="00E72FDD">
        <w:trPr>
          <w:trHeight w:val="407"/>
        </w:trPr>
        <w:tc>
          <w:tcPr>
            <w:tcW w:w="267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5A7B94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</w:p>
          <w:p w14:paraId="1343DB2C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Bacteria Genus</w:t>
            </w:r>
          </w:p>
        </w:tc>
        <w:tc>
          <w:tcPr>
            <w:tcW w:w="583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3BEAF2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ab/>
              <w:t xml:space="preserve"> Frequency</w:t>
            </w:r>
          </w:p>
        </w:tc>
      </w:tr>
      <w:tr w:rsidR="0006738F" w14:paraId="4A8FC58E" w14:textId="77777777" w:rsidTr="00E72FDD">
        <w:trPr>
          <w:trHeight w:val="243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A93179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DB9C96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131815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 xml:space="preserve">   V</w:t>
            </w:r>
          </w:p>
        </w:tc>
      </w:tr>
      <w:tr w:rsidR="0006738F" w14:paraId="1EE4D93E" w14:textId="77777777" w:rsidTr="00E72FDD">
        <w:trPr>
          <w:trHeight w:val="260"/>
        </w:trPr>
        <w:tc>
          <w:tcPr>
            <w:tcW w:w="26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89AB008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Lactobacillus</w:t>
            </w:r>
            <w:r>
              <w:rPr>
                <w:rFonts w:eastAsia="SimSu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15FD569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71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48AE0F4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37</w:t>
            </w:r>
          </w:p>
        </w:tc>
      </w:tr>
      <w:tr w:rsidR="0006738F" w14:paraId="153AD5D0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C6EE8E1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Gardnerella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8D2E8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FFFF2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23</w:t>
            </w:r>
          </w:p>
        </w:tc>
      </w:tr>
      <w:tr w:rsidR="0006738F" w14:paraId="7005B9F3" w14:textId="77777777" w:rsidTr="00E72FDD">
        <w:trPr>
          <w:trHeight w:val="28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93973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Streptococcus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D9CB1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0D059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13</w:t>
            </w:r>
          </w:p>
        </w:tc>
      </w:tr>
      <w:tr w:rsidR="0006738F" w14:paraId="5A5DC8F4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B9FE5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bookmarkStart w:id="3" w:name="OLE_LINK2"/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 xml:space="preserve">Staphylococcus </w:t>
            </w:r>
            <w:bookmarkEnd w:id="3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1D2C3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F29A8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2</w:t>
            </w:r>
          </w:p>
        </w:tc>
      </w:tr>
      <w:tr w:rsidR="0006738F" w14:paraId="73808ECD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317F3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Escherichia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AA0EA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C1077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4</w:t>
            </w:r>
          </w:p>
        </w:tc>
      </w:tr>
      <w:tr w:rsidR="0006738F" w14:paraId="2A8CF5E3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34C0E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Ligilactobacillus</w:t>
            </w:r>
            <w:proofErr w:type="spellEnd"/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 xml:space="preserve"> salivarius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790D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59188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1</w:t>
            </w:r>
          </w:p>
        </w:tc>
      </w:tr>
      <w:tr w:rsidR="0006738F" w14:paraId="49124E47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1CA05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bookmarkStart w:id="4" w:name="OLE_LINK7"/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 xml:space="preserve">Corynebacterium </w:t>
            </w:r>
            <w:proofErr w:type="spellStart"/>
            <w:r>
              <w:rPr>
                <w:rFonts w:eastAsia="SimSun"/>
                <w:i/>
                <w:iCs/>
                <w:color w:val="000000"/>
                <w:sz w:val="24"/>
                <w:szCs w:val="24"/>
              </w:rPr>
              <w:t>callunae</w:t>
            </w:r>
            <w:bookmarkEnd w:id="4"/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029BD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DFE52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1</w:t>
            </w:r>
          </w:p>
        </w:tc>
      </w:tr>
      <w:tr w:rsidR="0006738F" w14:paraId="5A294074" w14:textId="77777777" w:rsidTr="00E72FDD">
        <w:trPr>
          <w:trHeight w:val="272"/>
        </w:trPr>
        <w:tc>
          <w:tcPr>
            <w:tcW w:w="26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51E65D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FF5F32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71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F3B9BD" w14:textId="77777777" w:rsidR="0006738F" w:rsidRDefault="0006738F" w:rsidP="00E72FDD">
            <w:pPr>
              <w:ind w:right="-20"/>
              <w:rPr>
                <w:rFonts w:eastAsia="SimSun"/>
                <w:color w:val="000000"/>
                <w:sz w:val="24"/>
                <w:szCs w:val="24"/>
              </w:rPr>
            </w:pPr>
            <w:r>
              <w:rPr>
                <w:rFonts w:eastAsia="SimSun"/>
                <w:color w:val="000000"/>
                <w:sz w:val="24"/>
                <w:szCs w:val="24"/>
              </w:rPr>
              <w:t>81</w:t>
            </w:r>
          </w:p>
        </w:tc>
      </w:tr>
    </w:tbl>
    <w:p w14:paraId="7B9A9634" w14:textId="77777777" w:rsidR="0006738F" w:rsidRDefault="0006738F" w:rsidP="0006738F">
      <w:pPr>
        <w:ind w:right="-20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C: Health control; V: Vulvar lichen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sclerosus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>.</w:t>
      </w:r>
    </w:p>
    <w:p w14:paraId="74813097" w14:textId="77777777" w:rsidR="0006738F" w:rsidRDefault="0006738F" w:rsidP="0006738F">
      <w:pPr>
        <w:rPr>
          <w:rFonts w:ascii="Times New Roman" w:eastAsia="Microsoft YaHei" w:hAnsi="Times New Roman" w:cs="Times New Roman"/>
          <w:color w:val="000000"/>
          <w:spacing w:val="15"/>
          <w:szCs w:val="21"/>
        </w:rPr>
      </w:pPr>
    </w:p>
    <w:p w14:paraId="0C5D7E1E" w14:textId="77777777" w:rsidR="00A91650" w:rsidRDefault="00A91650"/>
    <w:p w14:paraId="189464CB" w14:textId="77777777" w:rsidR="0006738F" w:rsidRDefault="0006738F" w:rsidP="0006738F">
      <w:pPr>
        <w:rPr>
          <w:rFonts w:ascii="Times New Roman" w:eastAsia="DengXian" w:hAnsi="Times New Roman" w:cs="SimSun"/>
          <w:b/>
          <w:sz w:val="24"/>
          <w:szCs w:val="24"/>
        </w:rPr>
      </w:pPr>
      <w:r>
        <w:rPr>
          <w:rFonts w:ascii="DengXian" w:eastAsia="DengXian" w:hAnsi="DengXian" w:cs="SimSun"/>
          <w:noProof/>
          <w:szCs w:val="21"/>
        </w:rPr>
        <w:lastRenderedPageBreak/>
        <w:drawing>
          <wp:inline distT="0" distB="0" distL="0" distR="0" wp14:anchorId="07A31CBE" wp14:editId="1B95F22C">
            <wp:extent cx="5264150" cy="4984750"/>
            <wp:effectExtent l="0" t="0" r="0" b="6350"/>
            <wp:docPr id="37" name="图片 37" descr="A collage of different types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A collage of different types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DengXian" w:hAnsi="Times New Roman" w:cs="SimSun" w:hint="eastAsia"/>
          <w:b/>
          <w:sz w:val="24"/>
          <w:szCs w:val="24"/>
        </w:rPr>
        <w:t xml:space="preserve"> </w:t>
      </w:r>
    </w:p>
    <w:p w14:paraId="0FEB8655" w14:textId="77777777" w:rsidR="0006738F" w:rsidRDefault="0006738F" w:rsidP="0006738F">
      <w:pPr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S1.</w:t>
      </w:r>
      <w:r>
        <w:rPr>
          <w:rFonts w:ascii="Times New Roman" w:eastAsia="DengXian" w:hAnsi="Times New Roman" w:cs="Times New Roman"/>
          <w:sz w:val="24"/>
          <w:szCs w:val="24"/>
        </w:rPr>
        <w:t xml:space="preserve"> Evaluation of the probiotic properties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i/>
          <w:sz w:val="24"/>
          <w:szCs w:val="24"/>
        </w:rPr>
        <w:t xml:space="preserve"> in vitro</w:t>
      </w:r>
      <w:r>
        <w:rPr>
          <w:rFonts w:ascii="Times New Roman" w:eastAsia="DengXian" w:hAnsi="Times New Roman" w:cs="Times New Roman"/>
          <w:sz w:val="24"/>
          <w:szCs w:val="24"/>
        </w:rPr>
        <w:t xml:space="preserve">. (A) Images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 xml:space="preserve"> plates. (B) Gram stain images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 xml:space="preserve">. (C) Growth characteristic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>. (D)</w:t>
      </w:r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szCs w:val="24"/>
        </w:rPr>
        <w:t>A</w:t>
      </w:r>
      <w:r>
        <w:rPr>
          <w:rFonts w:ascii="Times New Roman" w:eastAsia="DengXian" w:hAnsi="Times New Roman" w:cs="Times New Roman"/>
          <w:sz w:val="24"/>
          <w:szCs w:val="24"/>
        </w:rPr>
        <w:t xml:space="preserve">cid </w:t>
      </w:r>
      <w:r>
        <w:rPr>
          <w:rFonts w:ascii="Times New Roman" w:eastAsia="DengXian" w:hAnsi="Times New Roman" w:cs="Times New Roman" w:hint="eastAsia"/>
          <w:sz w:val="24"/>
          <w:szCs w:val="24"/>
        </w:rPr>
        <w:t>tolerance</w:t>
      </w:r>
      <w:r>
        <w:rPr>
          <w:rFonts w:ascii="Times New Roman" w:eastAsia="DengXian" w:hAnsi="Times New Roman" w:cs="Times New Roman"/>
          <w:sz w:val="24"/>
          <w:szCs w:val="24"/>
        </w:rPr>
        <w:t xml:space="preserve">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 xml:space="preserve">. (E) Assessment of the antioxidant capacity of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sz w:val="24"/>
          <w:szCs w:val="24"/>
        </w:rPr>
        <w:t xml:space="preserve">postbiotics. (F) Evaluation of resistance properties in </w:t>
      </w:r>
      <w:r>
        <w:rPr>
          <w:rFonts w:ascii="Times New Roman" w:eastAsia="DengXian" w:hAnsi="Times New Roman" w:cs="Times New Roman"/>
          <w:i/>
          <w:sz w:val="24"/>
          <w:szCs w:val="24"/>
        </w:rPr>
        <w:t xml:space="preserve">L.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 xml:space="preserve">. (G) Inhibition of common pathogenic bacteria growth by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sz w:val="24"/>
          <w:szCs w:val="24"/>
        </w:rPr>
        <w:t xml:space="preserve">postbiotics. (H) Neighbor-Joining phylogenetic tree of strain </w:t>
      </w:r>
      <w:r>
        <w:rPr>
          <w:rFonts w:ascii="Times New Roman" w:eastAsia="DengXian" w:hAnsi="Times New Roman" w:cs="Times New Roman"/>
          <w:i/>
          <w:sz w:val="24"/>
          <w:szCs w:val="24"/>
        </w:rPr>
        <w:t>L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. </w:t>
      </w:r>
      <w:proofErr w:type="spellStart"/>
      <w:r>
        <w:rPr>
          <w:rFonts w:ascii="Times New Roman" w:eastAsia="DengXi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Times New Roman"/>
          <w:sz w:val="24"/>
          <w:szCs w:val="24"/>
        </w:rPr>
        <w:t>.</w:t>
      </w:r>
    </w:p>
    <w:p w14:paraId="598D2266" w14:textId="77777777" w:rsidR="0006738F" w:rsidRDefault="0006738F" w:rsidP="0006738F">
      <w:pPr>
        <w:rPr>
          <w:rFonts w:ascii="Times New Roman" w:eastAsia="DengXian" w:hAnsi="Times New Roman" w:cs="SimSun"/>
          <w:b/>
          <w:sz w:val="24"/>
          <w:szCs w:val="24"/>
        </w:rPr>
      </w:pPr>
      <w:r>
        <w:rPr>
          <w:rFonts w:ascii="DengXian" w:eastAsia="DengXian" w:hAnsi="DengXian" w:cs="SimSun"/>
          <w:noProof/>
          <w:szCs w:val="21"/>
        </w:rPr>
        <w:lastRenderedPageBreak/>
        <w:drawing>
          <wp:inline distT="0" distB="0" distL="0" distR="0" wp14:anchorId="6331E57E" wp14:editId="627834C9">
            <wp:extent cx="5276850" cy="4019550"/>
            <wp:effectExtent l="0" t="0" r="0" b="0"/>
            <wp:docPr id="38" name="图片 38" descr="A flowchart of a stu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A flowchart of a stu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DengXian" w:hAnsi="Times New Roman" w:cs="SimSun" w:hint="eastAsia"/>
          <w:b/>
          <w:sz w:val="24"/>
          <w:szCs w:val="24"/>
        </w:rPr>
        <w:t xml:space="preserve"> </w:t>
      </w:r>
    </w:p>
    <w:p w14:paraId="166D93C0" w14:textId="77777777" w:rsidR="0006738F" w:rsidRDefault="0006738F" w:rsidP="0006738F">
      <w:pPr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S2.</w:t>
      </w:r>
      <w:r>
        <w:rPr>
          <w:rFonts w:ascii="Times New Roman" w:eastAsia="DengXian" w:hAnsi="Times New Roman" w:cs="Times New Roman"/>
          <w:sz w:val="24"/>
          <w:szCs w:val="24"/>
        </w:rPr>
        <w:t xml:space="preserve"> Flow chart of patient recruitment and randomization.</w:t>
      </w:r>
    </w:p>
    <w:p w14:paraId="04C9E76C" w14:textId="77777777" w:rsidR="0006738F" w:rsidRDefault="0006738F" w:rsidP="0006738F">
      <w:pPr>
        <w:rPr>
          <w:rFonts w:ascii="Times New Roman" w:eastAsia="DengXian" w:hAnsi="Times New Roman" w:cs="SimSun"/>
          <w:b/>
          <w:sz w:val="24"/>
          <w:szCs w:val="24"/>
        </w:rPr>
      </w:pPr>
      <w:r>
        <w:rPr>
          <w:rFonts w:ascii="DengXian" w:eastAsia="DengXian" w:hAnsi="DengXian" w:cs="SimSun"/>
          <w:noProof/>
          <w:szCs w:val="21"/>
        </w:rPr>
        <w:lastRenderedPageBreak/>
        <w:drawing>
          <wp:inline distT="0" distB="0" distL="0" distR="0" wp14:anchorId="3EF8B137" wp14:editId="388DE2B4">
            <wp:extent cx="5276850" cy="4838700"/>
            <wp:effectExtent l="0" t="0" r="0" b="0"/>
            <wp:docPr id="39" name="图片 39" descr="A chart with blue and 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A chart with blue and re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DengXian" w:hAnsi="Times New Roman" w:cs="SimSun" w:hint="eastAsia"/>
          <w:b/>
          <w:sz w:val="24"/>
          <w:szCs w:val="24"/>
        </w:rPr>
        <w:t xml:space="preserve"> </w:t>
      </w:r>
    </w:p>
    <w:p w14:paraId="50BFD654" w14:textId="77777777" w:rsidR="0006738F" w:rsidRDefault="0006738F" w:rsidP="0006738F">
      <w:pPr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S3.</w:t>
      </w: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szCs w:val="24"/>
        </w:rPr>
        <w:t>S</w:t>
      </w:r>
      <w:r>
        <w:rPr>
          <w:rFonts w:ascii="Times New Roman" w:eastAsia="DengXian" w:hAnsi="Times New Roman" w:cs="Times New Roman"/>
          <w:sz w:val="24"/>
          <w:szCs w:val="24"/>
        </w:rPr>
        <w:t>pearman correlation analysis was conducted to examine the relationship between the vulvar skin microbiota and crucial clinical parameters, such as skin symptoms, signs,</w:t>
      </w:r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eastAsia="DengXian" w:hAnsi="Times New Roman" w:cs="Times New Roman"/>
          <w:sz w:val="24"/>
          <w:szCs w:val="24"/>
        </w:rPr>
        <w:t xml:space="preserve">vaginal pH in VLS patients. </w:t>
      </w:r>
      <w:r>
        <w:rPr>
          <w:rFonts w:ascii="Times New Roman" w:eastAsia="DengXian" w:hAnsi="Times New Roman" w:cs="Times New Roman" w:hint="eastAsia"/>
          <w:sz w:val="24"/>
          <w:szCs w:val="24"/>
        </w:rPr>
        <w:t>A</w:t>
      </w:r>
      <w:r>
        <w:rPr>
          <w:rFonts w:ascii="Times New Roman" w:eastAsia="DengXian" w:hAnsi="Times New Roman" w:cs="Times New Roman"/>
          <w:sz w:val="24"/>
          <w:szCs w:val="24"/>
        </w:rPr>
        <w:t xml:space="preserve"> red hue signifies a negative correlation, whereas blue signifies a positive correlation. * </w:t>
      </w:r>
      <w:r>
        <w:rPr>
          <w:rFonts w:ascii="Times New Roman" w:eastAsia="DengXian" w:hAnsi="Times New Roman" w:cs="Times New Roman"/>
          <w:i/>
          <w:sz w:val="24"/>
          <w:szCs w:val="24"/>
        </w:rPr>
        <w:t>p</w:t>
      </w:r>
      <w:r>
        <w:rPr>
          <w:rFonts w:ascii="Times New Roman" w:eastAsia="DengXian" w:hAnsi="Times New Roman" w:cs="Times New Roman"/>
          <w:sz w:val="24"/>
          <w:szCs w:val="24"/>
        </w:rPr>
        <w:t xml:space="preserve"> &lt; 0.05, ** </w:t>
      </w:r>
      <w:r>
        <w:rPr>
          <w:rFonts w:ascii="Times New Roman" w:eastAsia="DengXian" w:hAnsi="Times New Roman" w:cs="Times New Roman"/>
          <w:i/>
          <w:sz w:val="24"/>
          <w:szCs w:val="24"/>
        </w:rPr>
        <w:t>p</w:t>
      </w:r>
      <w:r>
        <w:rPr>
          <w:rFonts w:ascii="Times New Roman" w:eastAsia="DengXian" w:hAnsi="Times New Roman" w:cs="Times New Roman"/>
          <w:sz w:val="24"/>
          <w:szCs w:val="24"/>
        </w:rPr>
        <w:t xml:space="preserve"> &lt; 0.01.</w:t>
      </w:r>
    </w:p>
    <w:p w14:paraId="6A8E21EA" w14:textId="77777777" w:rsidR="0006738F" w:rsidRDefault="0006738F" w:rsidP="0006738F">
      <w:pPr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</w:p>
    <w:p w14:paraId="69B80032" w14:textId="77777777" w:rsidR="0006738F" w:rsidRDefault="0006738F" w:rsidP="0006738F">
      <w:pPr>
        <w:rPr>
          <w:rFonts w:ascii="Times New Roman" w:eastAsia="DengXian" w:hAnsi="Times New Roman" w:cs="SimSun"/>
          <w:b/>
          <w:sz w:val="24"/>
          <w:szCs w:val="24"/>
        </w:rPr>
      </w:pPr>
      <w:r>
        <w:rPr>
          <w:rFonts w:ascii="DengXian" w:eastAsia="DengXian" w:hAnsi="DengXian" w:cs="SimSun"/>
          <w:noProof/>
          <w:szCs w:val="21"/>
        </w:rPr>
        <w:drawing>
          <wp:inline distT="0" distB="0" distL="0" distR="0" wp14:anchorId="2EB0F825" wp14:editId="562C5CD6">
            <wp:extent cx="5264150" cy="266700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DengXian" w:hAnsi="Times New Roman" w:cs="SimSun" w:hint="eastAsia"/>
          <w:b/>
          <w:sz w:val="24"/>
          <w:szCs w:val="24"/>
        </w:rPr>
        <w:t xml:space="preserve"> </w:t>
      </w:r>
    </w:p>
    <w:p w14:paraId="52EC7779" w14:textId="77777777" w:rsidR="0006738F" w:rsidRDefault="0006738F" w:rsidP="0006738F">
      <w:pPr>
        <w:rPr>
          <w:rFonts w:ascii="Times New Roman" w:eastAsia="DengXian" w:hAnsi="Times New Roman" w:cs="SimSun"/>
          <w:sz w:val="24"/>
          <w:szCs w:val="24"/>
        </w:rPr>
      </w:pPr>
      <w:r>
        <w:rPr>
          <w:rFonts w:ascii="Times New Roman" w:eastAsia="DengXian" w:hAnsi="Times New Roman" w:cs="Times New Roman" w:hint="eastAsia"/>
          <w:b/>
          <w:sz w:val="24"/>
          <w:szCs w:val="24"/>
        </w:rPr>
        <w:lastRenderedPageBreak/>
        <w:t>Figure S4.</w:t>
      </w:r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szCs w:val="24"/>
        </w:rPr>
        <w:t xml:space="preserve">Schematic diagram of how </w:t>
      </w:r>
      <w:r>
        <w:rPr>
          <w:rFonts w:ascii="Times New Roman" w:eastAsia="DengXian" w:hAnsi="Times New Roman" w:cs="Times New Roman" w:hint="eastAsia"/>
          <w:i/>
          <w:sz w:val="24"/>
          <w:szCs w:val="24"/>
        </w:rPr>
        <w:t xml:space="preserve">L. </w:t>
      </w:r>
      <w:proofErr w:type="spellStart"/>
      <w:r>
        <w:rPr>
          <w:rFonts w:ascii="Times New Roman" w:eastAsia="DengXian" w:hAnsi="Times New Roman" w:cs="Times New Roman" w:hint="eastAsia"/>
          <w:i/>
          <w:sz w:val="24"/>
          <w:szCs w:val="24"/>
        </w:rPr>
        <w:t>crispatus</w:t>
      </w:r>
      <w:proofErr w:type="spellEnd"/>
      <w:r>
        <w:rPr>
          <w:rFonts w:ascii="Times New Roman" w:eastAsia="DengXian" w:hAnsi="Times New Roman" w:cs="SimSun" w:hint="eastAsia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szCs w:val="24"/>
        </w:rPr>
        <w:t>postbiotic influences the clinical skin symptoms of VLS patients and the associated imbalance of skin microbiota.</w:t>
      </w:r>
    </w:p>
    <w:p w14:paraId="54B039B8" w14:textId="77777777" w:rsidR="0006738F" w:rsidRDefault="0006738F" w:rsidP="0006738F">
      <w:pPr>
        <w:rPr>
          <w:rFonts w:ascii="Times New Roman" w:eastAsia="DengXian" w:hAnsi="Times New Roman" w:cs="SimSun"/>
          <w:sz w:val="24"/>
          <w:szCs w:val="24"/>
        </w:rPr>
      </w:pPr>
    </w:p>
    <w:p w14:paraId="40570324" w14:textId="77777777" w:rsidR="0006738F" w:rsidRDefault="0006738F"/>
    <w:sectPr w:rsidR="0006738F" w:rsidSect="0006738F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ED6A3" w14:textId="77777777" w:rsidR="0006738F" w:rsidRDefault="0006738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B71A04" wp14:editId="006E107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31F9AF" w14:textId="77777777" w:rsidR="0006738F" w:rsidRDefault="0006738F">
                          <w:pPr>
                            <w:pStyle w:val="Heading3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71A0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B31F9AF" w14:textId="77777777" w:rsidR="0006738F" w:rsidRDefault="0006738F">
                    <w:pPr>
                      <w:pStyle w:val="Heading3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8F"/>
    <w:rsid w:val="0006738F"/>
    <w:rsid w:val="000E2EDD"/>
    <w:rsid w:val="004A28B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ADFFB"/>
  <w15:chartTrackingRefBased/>
  <w15:docId w15:val="{FAECEB1C-FDB2-4F82-9F67-3B515249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38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738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38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38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38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38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38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38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38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38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3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3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3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3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3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3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3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3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3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38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73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38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73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38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73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38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73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38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3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38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067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6738F"/>
    <w:rPr>
      <w:rFonts w:eastAsiaTheme="minorEastAsia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uiPriority w:val="39"/>
    <w:qFormat/>
    <w:rsid w:val="0006738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67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2025-08-01T18:27:00Z</dcterms:created>
  <dcterms:modified xsi:type="dcterms:W3CDTF">2025-08-01T18:28:00Z</dcterms:modified>
</cp:coreProperties>
</file>