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0B7" w:rsidRPr="00362F30" w:rsidRDefault="00E840B7" w:rsidP="00E840B7">
      <w:pPr>
        <w:autoSpaceDE w:val="0"/>
        <w:autoSpaceDN w:val="0"/>
        <w:adjustRightInd w:val="0"/>
        <w:spacing w:line="480" w:lineRule="auto"/>
        <w:jc w:val="left"/>
        <w:rPr>
          <w:rFonts w:ascii="Times New Roman" w:hAnsi="Times New Roman" w:cs="Times New Roman"/>
          <w:b/>
          <w:sz w:val="24"/>
          <w:szCs w:val="24"/>
        </w:rPr>
      </w:pPr>
      <w:r w:rsidRPr="00362F30">
        <w:rPr>
          <w:rFonts w:ascii="Times New Roman" w:hAnsi="Times New Roman" w:cs="Times New Roman"/>
          <w:b/>
          <w:sz w:val="24"/>
          <w:szCs w:val="24"/>
        </w:rPr>
        <w:t>Supplementary Data</w:t>
      </w:r>
    </w:p>
    <w:p w:rsidR="00E840B7" w:rsidRPr="00362F30" w:rsidRDefault="00E840B7" w:rsidP="00E840B7">
      <w:pPr>
        <w:autoSpaceDE w:val="0"/>
        <w:autoSpaceDN w:val="0"/>
        <w:adjustRightInd w:val="0"/>
        <w:spacing w:line="480" w:lineRule="auto"/>
        <w:jc w:val="left"/>
        <w:rPr>
          <w:rFonts w:ascii="Times New Roman" w:hAnsi="Times New Roman" w:cs="Times New Roman"/>
          <w:b/>
          <w:sz w:val="24"/>
          <w:szCs w:val="24"/>
        </w:rPr>
      </w:pPr>
      <w:r w:rsidRPr="00362F30">
        <w:rPr>
          <w:rFonts w:ascii="Times New Roman" w:hAnsi="Times New Roman" w:cs="Times New Roman"/>
          <w:b/>
          <w:sz w:val="24"/>
          <w:szCs w:val="24"/>
        </w:rPr>
        <w:t>Supplementary Figure 1: AUC to estimate the accuracy of the LASSO regression model</w:t>
      </w:r>
    </w:p>
    <w:p w:rsidR="00E840B7" w:rsidRPr="00362F30" w:rsidRDefault="00E840B7" w:rsidP="00E840B7">
      <w:pPr>
        <w:autoSpaceDE w:val="0"/>
        <w:autoSpaceDN w:val="0"/>
        <w:adjustRightInd w:val="0"/>
        <w:spacing w:line="480" w:lineRule="auto"/>
        <w:jc w:val="left"/>
        <w:rPr>
          <w:rFonts w:ascii="Times New Roman" w:hAnsi="Times New Roman" w:cs="Times New Roman"/>
          <w:color w:val="000000"/>
          <w:kern w:val="0"/>
          <w:sz w:val="24"/>
          <w:szCs w:val="24"/>
        </w:rPr>
      </w:pPr>
      <w:r w:rsidRPr="00362F30">
        <w:rPr>
          <w:rFonts w:ascii="Times New Roman" w:hAnsi="Times New Roman" w:cs="Times New Roman"/>
          <w:sz w:val="24"/>
          <w:szCs w:val="24"/>
        </w:rPr>
        <w:t xml:space="preserve">AUC in training set (n= 324) (A), and AUC in </w:t>
      </w:r>
      <w:r w:rsidRPr="00362F30">
        <w:rPr>
          <w:rFonts w:ascii="Times New Roman" w:hAnsi="Times New Roman" w:cs="Times New Roman"/>
          <w:color w:val="000000"/>
          <w:kern w:val="0"/>
          <w:sz w:val="24"/>
          <w:szCs w:val="24"/>
        </w:rPr>
        <w:t>validation set (n=139)</w:t>
      </w:r>
      <w:r w:rsidRPr="00362F30">
        <w:rPr>
          <w:rFonts w:ascii="Times New Roman" w:hAnsi="Times New Roman" w:cs="Times New Roman"/>
          <w:sz w:val="24"/>
          <w:szCs w:val="24"/>
        </w:rPr>
        <w:t xml:space="preserve"> (B), both of two models showed high accuracy. AUC=area under curve. CI=</w:t>
      </w:r>
      <w:r w:rsidRPr="00362F30">
        <w:rPr>
          <w:rFonts w:ascii="Times New Roman" w:hAnsi="Times New Roman" w:cs="Times New Roman"/>
          <w:color w:val="000000"/>
          <w:kern w:val="0"/>
          <w:sz w:val="24"/>
          <w:szCs w:val="24"/>
        </w:rPr>
        <w:t>confidence interval. LASSO=least absolute shrinkage and selection operator.</w:t>
      </w:r>
    </w:p>
    <w:p w:rsidR="00E840B7" w:rsidRPr="00362F30" w:rsidRDefault="00E840B7" w:rsidP="00E840B7">
      <w:pPr>
        <w:autoSpaceDE w:val="0"/>
        <w:autoSpaceDN w:val="0"/>
        <w:adjustRightInd w:val="0"/>
        <w:spacing w:line="480" w:lineRule="auto"/>
        <w:jc w:val="left"/>
        <w:rPr>
          <w:rFonts w:ascii="Times New Roman" w:hAnsi="Times New Roman" w:cs="Times New Roman"/>
          <w:b/>
          <w:sz w:val="24"/>
          <w:szCs w:val="24"/>
        </w:rPr>
      </w:pPr>
    </w:p>
    <w:p w:rsidR="00E840B7" w:rsidRPr="00362F30" w:rsidRDefault="00E840B7" w:rsidP="00E840B7">
      <w:pPr>
        <w:autoSpaceDE w:val="0"/>
        <w:autoSpaceDN w:val="0"/>
        <w:adjustRightInd w:val="0"/>
        <w:spacing w:line="480" w:lineRule="auto"/>
        <w:jc w:val="left"/>
        <w:rPr>
          <w:rFonts w:ascii="Times New Roman" w:hAnsi="Times New Roman" w:cs="Times New Roman"/>
          <w:b/>
          <w:sz w:val="24"/>
          <w:szCs w:val="24"/>
        </w:rPr>
      </w:pPr>
      <w:r w:rsidRPr="00362F30">
        <w:rPr>
          <w:rFonts w:ascii="Times New Roman" w:hAnsi="Times New Roman" w:cs="Times New Roman"/>
          <w:b/>
          <w:sz w:val="24"/>
          <w:szCs w:val="24"/>
        </w:rPr>
        <w:t>Supplementary Figure 2: Re-validation of the binary regression by adjusting for other confounders</w:t>
      </w:r>
    </w:p>
    <w:p w:rsidR="00E840B7" w:rsidRPr="00362F30" w:rsidRDefault="00E840B7" w:rsidP="00E840B7">
      <w:pPr>
        <w:autoSpaceDE w:val="0"/>
        <w:autoSpaceDN w:val="0"/>
        <w:adjustRightInd w:val="0"/>
        <w:spacing w:line="480" w:lineRule="auto"/>
        <w:jc w:val="left"/>
        <w:rPr>
          <w:rFonts w:ascii="Times New Roman" w:hAnsi="Times New Roman" w:cs="Times New Roman"/>
          <w:b/>
          <w:sz w:val="24"/>
          <w:szCs w:val="24"/>
        </w:rPr>
      </w:pPr>
      <w:r w:rsidRPr="00362F30">
        <w:rPr>
          <w:rFonts w:ascii="Times New Roman" w:hAnsi="Times New Roman" w:cs="Times New Roman"/>
          <w:color w:val="000000"/>
          <w:kern w:val="0"/>
          <w:sz w:val="24"/>
          <w:szCs w:val="24"/>
        </w:rPr>
        <w:t xml:space="preserve">17 variables were putted into the binary regression and four variables (haemoglobin, cTnI, blood urea nitrogen, and IL-6) were selected as the risk factors. </w:t>
      </w:r>
      <w:r w:rsidRPr="00362F30">
        <w:rPr>
          <w:rFonts w:ascii="Times New Roman" w:hAnsi="Times New Roman" w:cs="Times New Roman"/>
          <w:sz w:val="24"/>
          <w:szCs w:val="24"/>
        </w:rPr>
        <w:t>CI=</w:t>
      </w:r>
      <w:r w:rsidRPr="00362F30">
        <w:rPr>
          <w:rFonts w:ascii="Times New Roman" w:hAnsi="Times New Roman" w:cs="Times New Roman"/>
          <w:color w:val="000000"/>
          <w:kern w:val="0"/>
          <w:sz w:val="24"/>
          <w:szCs w:val="24"/>
        </w:rPr>
        <w:t xml:space="preserve">confidence interval. IL-6=interleukin-6. OR=odds ratio. </w:t>
      </w:r>
      <w:r w:rsidRPr="00362F30">
        <w:rPr>
          <w:rFonts w:ascii="Times New Roman" w:hAnsi="Times New Roman" w:cs="Times New Roman"/>
          <w:color w:val="000000"/>
          <w:kern w:val="0"/>
          <w:sz w:val="24"/>
          <w:szCs w:val="24"/>
          <w:vertAlign w:val="superscript"/>
        </w:rPr>
        <w:t>*</w:t>
      </w:r>
      <w:r w:rsidRPr="00362F30">
        <w:rPr>
          <w:rFonts w:ascii="Times New Roman" w:hAnsi="Times New Roman" w:cs="Times New Roman"/>
          <w:i/>
          <w:color w:val="000000"/>
          <w:kern w:val="0"/>
          <w:sz w:val="24"/>
          <w:szCs w:val="24"/>
        </w:rPr>
        <w:t>p</w:t>
      </w:r>
      <w:r w:rsidRPr="00362F30">
        <w:rPr>
          <w:rFonts w:ascii="Times New Roman" w:hAnsi="Times New Roman" w:cs="Times New Roman"/>
          <w:color w:val="000000"/>
          <w:kern w:val="0"/>
          <w:sz w:val="24"/>
          <w:szCs w:val="24"/>
        </w:rPr>
        <w:t xml:space="preserve">&lt;0.05, </w:t>
      </w:r>
      <w:r w:rsidRPr="00362F30">
        <w:rPr>
          <w:rFonts w:ascii="Times New Roman" w:hAnsi="Times New Roman" w:cs="Times New Roman"/>
          <w:color w:val="000000"/>
          <w:kern w:val="0"/>
          <w:sz w:val="24"/>
          <w:szCs w:val="24"/>
          <w:vertAlign w:val="superscript"/>
        </w:rPr>
        <w:t>†</w:t>
      </w:r>
      <w:r w:rsidRPr="00362F30">
        <w:rPr>
          <w:rFonts w:ascii="Times New Roman" w:hAnsi="Times New Roman" w:cs="Times New Roman"/>
          <w:i/>
          <w:color w:val="000000"/>
          <w:kern w:val="0"/>
          <w:sz w:val="24"/>
          <w:szCs w:val="24"/>
        </w:rPr>
        <w:t xml:space="preserve"> p</w:t>
      </w:r>
      <w:r w:rsidRPr="00362F30">
        <w:rPr>
          <w:rFonts w:ascii="Times New Roman" w:hAnsi="Times New Roman" w:cs="Times New Roman"/>
          <w:color w:val="000000"/>
          <w:kern w:val="0"/>
          <w:sz w:val="24"/>
          <w:szCs w:val="24"/>
        </w:rPr>
        <w:t xml:space="preserve">&lt;0.01. </w:t>
      </w:r>
    </w:p>
    <w:p w:rsidR="00E840B7" w:rsidRPr="00362F30" w:rsidRDefault="00E840B7" w:rsidP="00E840B7">
      <w:pPr>
        <w:autoSpaceDE w:val="0"/>
        <w:autoSpaceDN w:val="0"/>
        <w:adjustRightInd w:val="0"/>
        <w:spacing w:line="480" w:lineRule="auto"/>
        <w:jc w:val="left"/>
        <w:rPr>
          <w:rFonts w:ascii="Times New Roman" w:hAnsi="Times New Roman" w:cs="Times New Roman"/>
          <w:sz w:val="24"/>
          <w:szCs w:val="24"/>
        </w:rPr>
      </w:pPr>
    </w:p>
    <w:p w:rsidR="00E840B7" w:rsidRPr="00362F30" w:rsidRDefault="00E840B7" w:rsidP="00E840B7">
      <w:pPr>
        <w:autoSpaceDE w:val="0"/>
        <w:autoSpaceDN w:val="0"/>
        <w:adjustRightInd w:val="0"/>
        <w:spacing w:line="480" w:lineRule="auto"/>
        <w:jc w:val="left"/>
        <w:rPr>
          <w:rFonts w:ascii="Times New Roman" w:hAnsi="Times New Roman" w:cs="Times New Roman"/>
          <w:sz w:val="24"/>
          <w:szCs w:val="24"/>
        </w:rPr>
      </w:pPr>
      <w:r w:rsidRPr="00362F30">
        <w:rPr>
          <w:rFonts w:ascii="Times New Roman" w:hAnsi="Times New Roman" w:cs="Times New Roman"/>
          <w:b/>
          <w:sz w:val="24"/>
          <w:szCs w:val="24"/>
        </w:rPr>
        <w:t>Supplementary Figure 3: Nomogram to estimate the risk of critical-ill events in patients with COVID-19</w:t>
      </w:r>
    </w:p>
    <w:p w:rsidR="00E840B7" w:rsidRPr="00362F30" w:rsidRDefault="00E840B7" w:rsidP="00E840B7">
      <w:pPr>
        <w:autoSpaceDE w:val="0"/>
        <w:autoSpaceDN w:val="0"/>
        <w:adjustRightInd w:val="0"/>
        <w:spacing w:line="480" w:lineRule="auto"/>
        <w:jc w:val="left"/>
        <w:rPr>
          <w:rFonts w:ascii="Times New Roman" w:hAnsi="Times New Roman" w:cs="Times New Roman"/>
          <w:sz w:val="24"/>
          <w:szCs w:val="24"/>
        </w:rPr>
      </w:pPr>
      <w:r w:rsidRPr="00362F30">
        <w:rPr>
          <w:rFonts w:ascii="Times New Roman" w:hAnsi="Times New Roman" w:cs="Times New Roman"/>
          <w:sz w:val="24"/>
          <w:szCs w:val="24"/>
        </w:rPr>
        <w:t>Bars in blue display the distribution of patients in the training set (n=324). To calculate the total points of a specific patient, locate the value of each variable on the top point axis, add the points from all of the variables, and draw a vertical line from the total point axis to determine the probability at the lower line of the nomogram. Red track provided an example for the calculation of total-points-to-outcome. COVID-19=coronavirus disease 2019.</w:t>
      </w:r>
    </w:p>
    <w:p w:rsidR="00E840B7" w:rsidRPr="00362F30" w:rsidRDefault="00E840B7" w:rsidP="00E840B7">
      <w:pPr>
        <w:autoSpaceDE w:val="0"/>
        <w:autoSpaceDN w:val="0"/>
        <w:adjustRightInd w:val="0"/>
        <w:spacing w:line="480" w:lineRule="auto"/>
        <w:jc w:val="left"/>
        <w:rPr>
          <w:rFonts w:ascii="Times New Roman" w:hAnsi="Times New Roman" w:cs="Times New Roman"/>
          <w:sz w:val="24"/>
          <w:szCs w:val="24"/>
        </w:rPr>
      </w:pPr>
    </w:p>
    <w:p w:rsidR="00E840B7" w:rsidRPr="00362F30" w:rsidRDefault="00E840B7" w:rsidP="00E840B7">
      <w:pPr>
        <w:autoSpaceDE w:val="0"/>
        <w:autoSpaceDN w:val="0"/>
        <w:adjustRightInd w:val="0"/>
        <w:spacing w:line="480" w:lineRule="auto"/>
        <w:jc w:val="left"/>
        <w:rPr>
          <w:rFonts w:ascii="Times New Roman" w:hAnsi="Times New Roman" w:cs="Times New Roman"/>
          <w:b/>
          <w:sz w:val="24"/>
          <w:szCs w:val="24"/>
        </w:rPr>
      </w:pPr>
      <w:r w:rsidRPr="00362F30">
        <w:rPr>
          <w:rFonts w:ascii="Times New Roman" w:hAnsi="Times New Roman" w:cs="Times New Roman"/>
          <w:b/>
          <w:sz w:val="24"/>
          <w:szCs w:val="24"/>
        </w:rPr>
        <w:lastRenderedPageBreak/>
        <w:t>Supplementary Figure 4: Calibration for the nomogram</w:t>
      </w:r>
    </w:p>
    <w:p w:rsidR="00E840B7" w:rsidRPr="00362F30" w:rsidRDefault="00E840B7" w:rsidP="00E840B7">
      <w:pPr>
        <w:autoSpaceDE w:val="0"/>
        <w:autoSpaceDN w:val="0"/>
        <w:adjustRightInd w:val="0"/>
        <w:spacing w:line="480" w:lineRule="auto"/>
        <w:jc w:val="left"/>
        <w:rPr>
          <w:rFonts w:ascii="Times New Roman" w:hAnsi="Times New Roman" w:cs="Times New Roman"/>
          <w:sz w:val="24"/>
          <w:szCs w:val="24"/>
        </w:rPr>
      </w:pPr>
      <w:r w:rsidRPr="00362F30">
        <w:rPr>
          <w:rFonts w:ascii="Times New Roman" w:hAnsi="Times New Roman" w:cs="Times New Roman"/>
          <w:sz w:val="24"/>
          <w:szCs w:val="24"/>
        </w:rPr>
        <w:t xml:space="preserve">Validity of the predictive performance of the nomogram in the training set (A) and validation set (B). Nomogram-predicted probability of critical-ill events is plotted on the x-axis and actual probability of critical-ill events is plotted on the y-axis. The 45-degree dashed line represented an ideal performance of the nomogram, in which the predicted outcome perfectly corresponded with the actual outcome. Both of validation in the training set and validation set showed high calibration (Hosmer-Lemeshow test </w:t>
      </w:r>
      <w:r w:rsidRPr="00362F30">
        <w:rPr>
          <w:rFonts w:ascii="Times New Roman" w:hAnsi="Times New Roman" w:cs="Times New Roman"/>
          <w:i/>
          <w:sz w:val="24"/>
          <w:szCs w:val="24"/>
        </w:rPr>
        <w:t>p</w:t>
      </w:r>
      <w:r w:rsidRPr="00362F30">
        <w:rPr>
          <w:rFonts w:ascii="Times New Roman" w:hAnsi="Times New Roman" w:cs="Times New Roman"/>
          <w:sz w:val="24"/>
          <w:szCs w:val="24"/>
        </w:rPr>
        <w:t>=1).</w:t>
      </w:r>
    </w:p>
    <w:p w:rsidR="00E840B7" w:rsidRPr="00362F30" w:rsidRDefault="00E840B7" w:rsidP="00E840B7">
      <w:pPr>
        <w:autoSpaceDE w:val="0"/>
        <w:autoSpaceDN w:val="0"/>
        <w:adjustRightInd w:val="0"/>
        <w:spacing w:line="480" w:lineRule="auto"/>
        <w:jc w:val="left"/>
        <w:rPr>
          <w:rFonts w:ascii="Times New Roman" w:hAnsi="Times New Roman" w:cs="Times New Roman"/>
          <w:sz w:val="24"/>
          <w:szCs w:val="24"/>
        </w:rPr>
      </w:pPr>
    </w:p>
    <w:p w:rsidR="00E840B7" w:rsidRPr="00362F30" w:rsidRDefault="00E840B7" w:rsidP="00E840B7">
      <w:pPr>
        <w:autoSpaceDE w:val="0"/>
        <w:autoSpaceDN w:val="0"/>
        <w:adjustRightInd w:val="0"/>
        <w:spacing w:line="480" w:lineRule="auto"/>
        <w:jc w:val="left"/>
        <w:rPr>
          <w:rFonts w:ascii="Times New Roman" w:hAnsi="Times New Roman" w:cs="Times New Roman"/>
          <w:b/>
          <w:color w:val="000000"/>
          <w:kern w:val="0"/>
          <w:sz w:val="24"/>
          <w:szCs w:val="24"/>
        </w:rPr>
      </w:pPr>
      <w:r w:rsidRPr="00362F30">
        <w:rPr>
          <w:rFonts w:ascii="Times New Roman" w:hAnsi="Times New Roman" w:cs="Times New Roman"/>
          <w:b/>
          <w:sz w:val="24"/>
          <w:szCs w:val="24"/>
        </w:rPr>
        <w:t xml:space="preserve">Supplementary Figure 5: </w:t>
      </w:r>
      <w:r w:rsidRPr="00362F30">
        <w:rPr>
          <w:rFonts w:ascii="Times New Roman" w:hAnsi="Times New Roman" w:cs="Times New Roman"/>
          <w:b/>
          <w:color w:val="000000"/>
          <w:kern w:val="0"/>
          <w:sz w:val="24"/>
          <w:szCs w:val="24"/>
        </w:rPr>
        <w:t>Survival analyses in 66 critically ill patients stratified by cTnI, BUN, haemoglobin and IL-6</w:t>
      </w:r>
    </w:p>
    <w:p w:rsidR="00E840B7" w:rsidRPr="00362F30" w:rsidRDefault="00E840B7" w:rsidP="00E840B7">
      <w:pPr>
        <w:autoSpaceDE w:val="0"/>
        <w:autoSpaceDN w:val="0"/>
        <w:adjustRightInd w:val="0"/>
        <w:spacing w:line="480" w:lineRule="auto"/>
        <w:jc w:val="left"/>
        <w:rPr>
          <w:rFonts w:ascii="Times New Roman" w:hAnsi="Times New Roman" w:cs="Times New Roman"/>
          <w:color w:val="000000"/>
          <w:kern w:val="0"/>
          <w:sz w:val="24"/>
          <w:szCs w:val="24"/>
        </w:rPr>
      </w:pPr>
      <w:r w:rsidRPr="00362F30">
        <w:rPr>
          <w:rFonts w:ascii="Times New Roman" w:hAnsi="Times New Roman" w:cs="Times New Roman"/>
          <w:color w:val="000000"/>
          <w:kern w:val="0"/>
          <w:sz w:val="24"/>
          <w:szCs w:val="24"/>
        </w:rPr>
        <w:t>High levels of cTnI, BUN, IL-6 and decreased level of haemoglobin were found to be associated with poor survival probability. BUN=blood urea nitrogen. cTnI=cardiac troponin I. HGB=haemoglobin.</w:t>
      </w:r>
      <w:r w:rsidRPr="00362F30">
        <w:rPr>
          <w:rFonts w:ascii="Times New Roman" w:hAnsi="Times New Roman" w:cs="Times New Roman" w:hint="eastAsia"/>
          <w:color w:val="000000"/>
          <w:kern w:val="0"/>
          <w:sz w:val="24"/>
          <w:szCs w:val="24"/>
        </w:rPr>
        <w:t xml:space="preserve"> </w:t>
      </w:r>
      <w:r w:rsidRPr="00362F30">
        <w:rPr>
          <w:rFonts w:ascii="Times New Roman" w:hAnsi="Times New Roman" w:cs="Times New Roman"/>
          <w:color w:val="000000"/>
          <w:kern w:val="0"/>
          <w:sz w:val="24"/>
          <w:szCs w:val="24"/>
        </w:rPr>
        <w:t>ICU=</w:t>
      </w:r>
      <w:r w:rsidRPr="00362F30">
        <w:rPr>
          <w:rFonts w:ascii="Times New Roman" w:eastAsia="SimSun" w:hAnsi="Times New Roman" w:cs="Times New Roman"/>
          <w:sz w:val="24"/>
          <w:szCs w:val="24"/>
        </w:rPr>
        <w:t>intensive care unit.</w:t>
      </w:r>
      <w:r w:rsidRPr="00362F30">
        <w:rPr>
          <w:rFonts w:ascii="Times New Roman" w:hAnsi="Times New Roman" w:cs="Times New Roman"/>
          <w:sz w:val="24"/>
          <w:szCs w:val="24"/>
        </w:rPr>
        <w:t xml:space="preserve"> IL-6=</w:t>
      </w:r>
      <w:r w:rsidRPr="00362F30">
        <w:rPr>
          <w:rFonts w:ascii="Times New Roman" w:hAnsi="Times New Roman" w:cs="Times New Roman"/>
          <w:color w:val="000000"/>
          <w:kern w:val="0"/>
          <w:sz w:val="24"/>
          <w:szCs w:val="24"/>
        </w:rPr>
        <w:t>interleukin-6.</w:t>
      </w:r>
    </w:p>
    <w:p w:rsidR="003E0B80" w:rsidRDefault="003E0B80">
      <w:bookmarkStart w:id="0" w:name="_GoBack"/>
      <w:bookmarkEnd w:id="0"/>
    </w:p>
    <w:sectPr w:rsidR="003E0B80" w:rsidSect="00105DA9">
      <w:footerReference w:type="default" r:id="rId4"/>
      <w:pgSz w:w="11906" w:h="16838"/>
      <w:pgMar w:top="1440" w:right="1800" w:bottom="1440" w:left="1800" w:header="851" w:footer="992" w:gutter="0"/>
      <w:pgNumType w:start="1"/>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825"/>
      <w:docPartObj>
        <w:docPartGallery w:val="Page Numbers (Bottom of Page)"/>
        <w:docPartUnique/>
      </w:docPartObj>
    </w:sdtPr>
    <w:sdtEndPr>
      <w:rPr>
        <w:rFonts w:ascii="Times New Roman" w:hAnsi="Times New Roman" w:cs="Times New Roman"/>
        <w:color w:val="000000" w:themeColor="text1"/>
        <w:sz w:val="28"/>
      </w:rPr>
    </w:sdtEndPr>
    <w:sdtContent>
      <w:p w:rsidR="0027315C" w:rsidRPr="006F543E" w:rsidRDefault="00E840B7" w:rsidP="00AF5852">
        <w:pPr>
          <w:pStyle w:val="Footer"/>
          <w:jc w:val="center"/>
          <w:rPr>
            <w:rFonts w:ascii="Times New Roman" w:hAnsi="Times New Roman" w:cs="Times New Roman"/>
            <w:sz w:val="28"/>
          </w:rPr>
        </w:pPr>
        <w:r w:rsidRPr="006F543E">
          <w:rPr>
            <w:rFonts w:ascii="Times New Roman" w:hAnsi="Times New Roman" w:cs="Times New Roman"/>
            <w:color w:val="000000" w:themeColor="text1"/>
            <w:sz w:val="28"/>
          </w:rPr>
          <w:fldChar w:fldCharType="begin"/>
        </w:r>
        <w:r w:rsidRPr="006F543E">
          <w:rPr>
            <w:rFonts w:ascii="Times New Roman" w:hAnsi="Times New Roman" w:cs="Times New Roman"/>
            <w:color w:val="000000" w:themeColor="text1"/>
            <w:sz w:val="28"/>
          </w:rPr>
          <w:instrText xml:space="preserve"> PAGE   \* MERGEFORMAT </w:instrText>
        </w:r>
        <w:r w:rsidRPr="006F543E">
          <w:rPr>
            <w:rFonts w:ascii="Times New Roman" w:hAnsi="Times New Roman" w:cs="Times New Roman"/>
            <w:color w:val="000000" w:themeColor="text1"/>
            <w:sz w:val="28"/>
          </w:rPr>
          <w:fldChar w:fldCharType="separate"/>
        </w:r>
        <w:r w:rsidRPr="00E840B7">
          <w:rPr>
            <w:rFonts w:ascii="Times New Roman" w:hAnsi="Times New Roman" w:cs="Times New Roman"/>
            <w:noProof/>
            <w:color w:val="000000" w:themeColor="text1"/>
            <w:sz w:val="28"/>
            <w:lang w:val="zh-CN"/>
          </w:rPr>
          <w:t>2</w:t>
        </w:r>
        <w:r w:rsidRPr="006F543E">
          <w:rPr>
            <w:rFonts w:ascii="Times New Roman" w:hAnsi="Times New Roman" w:cs="Times New Roman"/>
            <w:color w:val="000000" w:themeColor="text1"/>
            <w:sz w:val="28"/>
          </w:rPr>
          <w:fldChar w:fldCharType="end"/>
        </w:r>
      </w:p>
    </w:sdtContent>
  </w:sdt>
  <w:p w:rsidR="0027315C" w:rsidRDefault="00E840B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0B7"/>
    <w:rsid w:val="003E0B80"/>
    <w:rsid w:val="00E84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3D2D5-973D-4E59-8B69-0FCD5212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0B7"/>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840B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840B7"/>
    <w:rPr>
      <w:rFonts w:eastAsiaTheme="minorEastAsia"/>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1826</Characters>
  <Application>Microsoft Office Word</Application>
  <DocSecurity>0</DocSecurity>
  <Lines>15</Lines>
  <Paragraphs>4</Paragraphs>
  <ScaleCrop>false</ScaleCrop>
  <Company>Springer Nature</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2020-10-01T06:33:00Z</dcterms:created>
  <dcterms:modified xsi:type="dcterms:W3CDTF">2020-10-01T06:33:00Z</dcterms:modified>
</cp:coreProperties>
</file>