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A5B9A3" w14:textId="77777777" w:rsidR="00211346" w:rsidRDefault="00211346" w:rsidP="00211346">
      <w:pPr>
        <w:jc w:val="both"/>
        <w:rPr>
          <w:rFonts w:asciiTheme="minorEastAsia" w:hAnsiTheme="minorEastAsia"/>
        </w:rPr>
      </w:pPr>
      <w:r>
        <w:rPr>
          <w:rFonts w:asciiTheme="minorEastAsia" w:hAnsiTheme="minorEastAsia"/>
        </w:rPr>
        <w:t>APPENDIX A</w:t>
      </w:r>
    </w:p>
    <w:p w14:paraId="46CF75FC" w14:textId="77777777" w:rsidR="00211346" w:rsidRDefault="00211346" w:rsidP="00211346">
      <w:pPr>
        <w:jc w:val="both"/>
        <w:rPr>
          <w:rFonts w:asciiTheme="minorEastAsia" w:hAnsiTheme="minorEastAsia"/>
        </w:rPr>
      </w:pPr>
      <w:r>
        <w:rPr>
          <w:rFonts w:asciiTheme="minorEastAsia" w:hAnsiTheme="minorEastAsia"/>
        </w:rPr>
        <w:t>BES basic indicators selection:</w:t>
      </w:r>
    </w:p>
    <w:p w14:paraId="1FEE213C" w14:textId="77777777" w:rsidR="00211346" w:rsidRDefault="00211346" w:rsidP="00211346">
      <w:pPr>
        <w:jc w:val="both"/>
        <w:rPr>
          <w:rFonts w:asciiTheme="minorEastAsia" w:hAnsiTheme="minorEastAsia"/>
          <w:lang w:val="en-GB"/>
        </w:rPr>
      </w:pPr>
      <w:r w:rsidRPr="00696EA9">
        <w:rPr>
          <w:rFonts w:asciiTheme="minorEastAsia" w:hAnsiTheme="minorEastAsia"/>
          <w:lang w:val="en-GB"/>
        </w:rPr>
        <w:t>The initial extraction narrowed the dataset</w:t>
      </w:r>
      <w:r>
        <w:rPr>
          <w:rFonts w:asciiTheme="minorEastAsia" w:hAnsiTheme="minorEastAsia"/>
          <w:lang w:val="en-GB"/>
        </w:rPr>
        <w:t xml:space="preserve"> by removing the indicators not available for the time frame considered.</w:t>
      </w:r>
      <w:r w:rsidRPr="00696EA9">
        <w:rPr>
          <w:rFonts w:asciiTheme="minorEastAsia" w:hAnsiTheme="minorEastAsia"/>
          <w:lang w:val="en-GB"/>
        </w:rPr>
        <w:t xml:space="preserve"> A growth rate was then computed for each indicator as the percentage change between 2011 and 2020. This transformation was designed to align with the temporal structure of the convergence analysis, which compares provincial mobility rates across the same two years.</w:t>
      </w:r>
      <w:r>
        <w:rPr>
          <w:rFonts w:asciiTheme="minorEastAsia" w:hAnsiTheme="minorEastAsia"/>
          <w:lang w:val="en-GB"/>
        </w:rPr>
        <w:t xml:space="preserve"> </w:t>
      </w:r>
      <w:r w:rsidRPr="005D493A">
        <w:rPr>
          <w:rFonts w:asciiTheme="minorEastAsia" w:hAnsiTheme="minorEastAsia"/>
          <w:lang w:val="en-GB"/>
        </w:rPr>
        <w:t>Then, a diagnostic for multicollinearity was performed through the computation of a pairwise correlation matrix. Variable pairs showing a correlation coefficient above ±0.4 were flagged, and from each correlated pair, the indicator correlating with other variables was excluded from the analysis to mitigate the risk of inflated variance and unreliable coefficient estimates.</w:t>
      </w:r>
      <w:r>
        <w:rPr>
          <w:rFonts w:asciiTheme="minorEastAsia" w:hAnsiTheme="minorEastAsia"/>
          <w:lang w:val="en-GB"/>
        </w:rPr>
        <w:t xml:space="preserve"> </w:t>
      </w:r>
      <w:r w:rsidRPr="00696EA9">
        <w:rPr>
          <w:rFonts w:asciiTheme="minorEastAsia" w:hAnsiTheme="minorEastAsia"/>
          <w:lang w:val="en-GB"/>
        </w:rPr>
        <w:t>After this filtering process, the final set of</w:t>
      </w:r>
      <w:r>
        <w:rPr>
          <w:rFonts w:asciiTheme="minorEastAsia" w:hAnsiTheme="minorEastAsia"/>
          <w:lang w:val="en-GB"/>
        </w:rPr>
        <w:t xml:space="preserve"> 16</w:t>
      </w:r>
      <w:r w:rsidRPr="00696EA9">
        <w:rPr>
          <w:rFonts w:asciiTheme="minorEastAsia" w:hAnsiTheme="minorEastAsia"/>
          <w:lang w:val="en-GB"/>
        </w:rPr>
        <w:t xml:space="preserve"> BES indicators retained for the conditional convergence models included only those variables that were complete, informative, and sufficiently independent from each other</w:t>
      </w:r>
      <w:r>
        <w:rPr>
          <w:rFonts w:asciiTheme="minorEastAsia" w:hAnsiTheme="minorEastAsia"/>
          <w:lang w:val="en-GB"/>
        </w:rPr>
        <w:t xml:space="preserve"> (see Table A.1)</w:t>
      </w:r>
      <w:r w:rsidRPr="00696EA9">
        <w:rPr>
          <w:rFonts w:asciiTheme="minorEastAsia" w:hAnsiTheme="minorEastAsia"/>
          <w:lang w:val="en-GB"/>
        </w:rPr>
        <w:t>. These were further rescaled using min</w:t>
      </w:r>
      <w:r>
        <w:rPr>
          <w:rFonts w:asciiTheme="minorEastAsia" w:hAnsiTheme="minorEastAsia"/>
          <w:lang w:val="en-GB"/>
        </w:rPr>
        <w:t>-</w:t>
      </w:r>
      <w:r w:rsidRPr="00696EA9">
        <w:rPr>
          <w:rFonts w:asciiTheme="minorEastAsia" w:hAnsiTheme="minorEastAsia"/>
          <w:lang w:val="en-GB"/>
        </w:rPr>
        <w:t>max normalization to ensure comparability across heterogeneous measurement scales.</w:t>
      </w:r>
    </w:p>
    <w:p w14:paraId="0D7DC8BA" w14:textId="77777777" w:rsidR="00211346" w:rsidRDefault="00211346" w:rsidP="00211346">
      <w:pPr>
        <w:jc w:val="both"/>
        <w:rPr>
          <w:rFonts w:asciiTheme="minorEastAsia" w:hAnsiTheme="minorEastAsia"/>
          <w:lang w:val="en-GB"/>
        </w:rPr>
      </w:pPr>
    </w:p>
    <w:tbl>
      <w:tblPr>
        <w:tblW w:w="8789" w:type="dxa"/>
        <w:tblInd w:w="142" w:type="dxa"/>
        <w:tblLook w:val="04A0" w:firstRow="1" w:lastRow="0" w:firstColumn="1" w:lastColumn="0" w:noHBand="0" w:noVBand="1"/>
      </w:tblPr>
      <w:tblGrid>
        <w:gridCol w:w="5954"/>
        <w:gridCol w:w="2835"/>
      </w:tblGrid>
      <w:tr w:rsidR="00211346" w:rsidRPr="005D28E6" w14:paraId="2A7E133E" w14:textId="77777777" w:rsidTr="00D25C60">
        <w:trPr>
          <w:trHeight w:val="290"/>
        </w:trPr>
        <w:tc>
          <w:tcPr>
            <w:tcW w:w="8789" w:type="dxa"/>
            <w:gridSpan w:val="2"/>
            <w:tcBorders>
              <w:left w:val="nil"/>
              <w:bottom w:val="single" w:sz="4" w:space="0" w:color="auto"/>
              <w:right w:val="nil"/>
            </w:tcBorders>
            <w:shd w:val="clear" w:color="auto" w:fill="auto"/>
            <w:noWrap/>
          </w:tcPr>
          <w:p w14:paraId="2D8A3773" w14:textId="77777777" w:rsidR="00211346" w:rsidRPr="005D28E6" w:rsidRDefault="00211346" w:rsidP="00D25C60">
            <w:pPr>
              <w:spacing w:after="120" w:line="240" w:lineRule="auto"/>
              <w:rPr>
                <w:rFonts w:asciiTheme="minorEastAsia" w:hAnsiTheme="minorEastAsia" w:cs="Arial"/>
                <w:sz w:val="16"/>
                <w:szCs w:val="16"/>
                <w:lang w:val="en-GB"/>
              </w:rPr>
            </w:pPr>
            <w:r w:rsidRPr="005D28E6">
              <w:rPr>
                <w:rFonts w:asciiTheme="minorEastAsia" w:hAnsiTheme="minorEastAsia" w:cs="Arial"/>
                <w:i/>
                <w:iCs/>
                <w:sz w:val="16"/>
                <w:szCs w:val="16"/>
                <w:lang w:val="en-GB"/>
              </w:rPr>
              <w:t>Table A.1</w:t>
            </w:r>
            <w:r w:rsidRPr="005D28E6">
              <w:rPr>
                <w:rFonts w:asciiTheme="minorEastAsia" w:hAnsiTheme="minorEastAsia" w:cs="Arial"/>
                <w:sz w:val="16"/>
                <w:szCs w:val="16"/>
                <w:lang w:val="en-GB"/>
              </w:rPr>
              <w:t xml:space="preserve"> – Selected BES basic indicators.</w:t>
            </w:r>
          </w:p>
        </w:tc>
      </w:tr>
      <w:tr w:rsidR="00211346" w:rsidRPr="005D28E6" w14:paraId="3547F5C9" w14:textId="77777777" w:rsidTr="00D25C60">
        <w:trPr>
          <w:trHeight w:val="290"/>
        </w:trPr>
        <w:tc>
          <w:tcPr>
            <w:tcW w:w="5954" w:type="dxa"/>
            <w:tcBorders>
              <w:top w:val="single" w:sz="4" w:space="0" w:color="auto"/>
              <w:left w:val="nil"/>
              <w:bottom w:val="single" w:sz="4" w:space="0" w:color="auto"/>
              <w:right w:val="nil"/>
            </w:tcBorders>
            <w:shd w:val="clear" w:color="auto" w:fill="auto"/>
            <w:noWrap/>
            <w:vAlign w:val="center"/>
            <w:hideMark/>
          </w:tcPr>
          <w:p w14:paraId="41B4EA8B" w14:textId="77777777" w:rsidR="00211346" w:rsidRPr="005D28E6" w:rsidRDefault="00211346" w:rsidP="00D25C60">
            <w:pPr>
              <w:spacing w:after="0" w:line="240" w:lineRule="auto"/>
              <w:jc w:val="center"/>
              <w:rPr>
                <w:rFonts w:asciiTheme="minorEastAsia" w:hAnsiTheme="minorEastAsia" w:cs="Arial"/>
                <w:b/>
                <w:bCs/>
                <w:sz w:val="16"/>
                <w:szCs w:val="16"/>
                <w:lang w:val="en-GB"/>
              </w:rPr>
            </w:pPr>
            <w:r w:rsidRPr="005D28E6">
              <w:rPr>
                <w:rFonts w:asciiTheme="minorEastAsia" w:hAnsiTheme="minorEastAsia" w:cs="Arial"/>
                <w:b/>
                <w:bCs/>
                <w:sz w:val="16"/>
                <w:szCs w:val="16"/>
                <w:lang w:val="en-GB"/>
              </w:rPr>
              <w:t>Variable</w:t>
            </w:r>
          </w:p>
        </w:tc>
        <w:tc>
          <w:tcPr>
            <w:tcW w:w="2835" w:type="dxa"/>
            <w:tcBorders>
              <w:top w:val="single" w:sz="4" w:space="0" w:color="auto"/>
              <w:left w:val="nil"/>
              <w:bottom w:val="single" w:sz="4" w:space="0" w:color="auto"/>
              <w:right w:val="nil"/>
            </w:tcBorders>
            <w:shd w:val="clear" w:color="auto" w:fill="auto"/>
            <w:noWrap/>
            <w:vAlign w:val="center"/>
            <w:hideMark/>
          </w:tcPr>
          <w:p w14:paraId="5496B91A" w14:textId="77777777" w:rsidR="00211346" w:rsidRPr="005D28E6" w:rsidRDefault="00211346" w:rsidP="00D25C60">
            <w:pPr>
              <w:spacing w:after="0" w:line="240" w:lineRule="auto"/>
              <w:jc w:val="center"/>
              <w:rPr>
                <w:rFonts w:asciiTheme="minorEastAsia" w:hAnsiTheme="minorEastAsia" w:cs="Arial"/>
                <w:b/>
                <w:bCs/>
                <w:sz w:val="16"/>
                <w:szCs w:val="16"/>
                <w:lang w:val="en-GB"/>
              </w:rPr>
            </w:pPr>
            <w:r w:rsidRPr="005D28E6">
              <w:rPr>
                <w:rFonts w:asciiTheme="minorEastAsia" w:hAnsiTheme="minorEastAsia" w:cs="Arial"/>
                <w:b/>
                <w:bCs/>
                <w:sz w:val="16"/>
                <w:szCs w:val="16"/>
                <w:lang w:val="en-GB"/>
              </w:rPr>
              <w:t>BES dimension</w:t>
            </w:r>
          </w:p>
        </w:tc>
      </w:tr>
      <w:tr w:rsidR="00211346" w:rsidRPr="005D28E6" w14:paraId="1D8F4D15" w14:textId="77777777" w:rsidTr="00D25C60">
        <w:trPr>
          <w:trHeight w:val="290"/>
        </w:trPr>
        <w:tc>
          <w:tcPr>
            <w:tcW w:w="5954" w:type="dxa"/>
            <w:tcBorders>
              <w:top w:val="single" w:sz="4" w:space="0" w:color="auto"/>
              <w:left w:val="nil"/>
              <w:bottom w:val="nil"/>
              <w:right w:val="nil"/>
            </w:tcBorders>
            <w:shd w:val="clear" w:color="auto" w:fill="DAE9F7" w:themeFill="text2" w:themeFillTint="1A"/>
            <w:noWrap/>
            <w:vAlign w:val="center"/>
            <w:hideMark/>
          </w:tcPr>
          <w:p w14:paraId="24ACE39B" w14:textId="77777777" w:rsidR="00211346" w:rsidRPr="005D28E6" w:rsidRDefault="00211346" w:rsidP="00211346">
            <w:pPr>
              <w:pStyle w:val="ListParagraph"/>
              <w:numPr>
                <w:ilvl w:val="0"/>
                <w:numId w:val="1"/>
              </w:numPr>
              <w:spacing w:after="0" w:line="240" w:lineRule="auto"/>
              <w:rPr>
                <w:rFonts w:asciiTheme="minorEastAsia" w:hAnsiTheme="minorEastAsia" w:cs="Arial"/>
                <w:sz w:val="16"/>
                <w:szCs w:val="16"/>
                <w:lang w:val="en-GB"/>
              </w:rPr>
            </w:pPr>
            <w:r w:rsidRPr="005D28E6">
              <w:rPr>
                <w:rFonts w:asciiTheme="minorEastAsia" w:hAnsiTheme="minorEastAsia" w:cs="Arial"/>
                <w:sz w:val="16"/>
                <w:szCs w:val="16"/>
                <w:lang w:val="en-GB"/>
              </w:rPr>
              <w:t>Infant mortality</w:t>
            </w:r>
          </w:p>
        </w:tc>
        <w:tc>
          <w:tcPr>
            <w:tcW w:w="2835" w:type="dxa"/>
            <w:vMerge w:val="restart"/>
            <w:tcBorders>
              <w:top w:val="single" w:sz="4" w:space="0" w:color="auto"/>
              <w:left w:val="nil"/>
              <w:right w:val="nil"/>
            </w:tcBorders>
            <w:shd w:val="clear" w:color="auto" w:fill="DAE9F7" w:themeFill="text2" w:themeFillTint="1A"/>
            <w:noWrap/>
            <w:vAlign w:val="center"/>
            <w:hideMark/>
          </w:tcPr>
          <w:p w14:paraId="17A48502" w14:textId="77777777" w:rsidR="00211346" w:rsidRPr="005D28E6" w:rsidRDefault="00211346" w:rsidP="00D25C60">
            <w:pPr>
              <w:spacing w:after="0" w:line="240" w:lineRule="auto"/>
              <w:jc w:val="center"/>
              <w:rPr>
                <w:rFonts w:asciiTheme="minorEastAsia" w:hAnsiTheme="minorEastAsia" w:cs="Arial"/>
                <w:sz w:val="16"/>
                <w:szCs w:val="16"/>
                <w:lang w:val="en-GB"/>
              </w:rPr>
            </w:pPr>
            <w:r w:rsidRPr="005D28E6">
              <w:rPr>
                <w:rFonts w:asciiTheme="minorEastAsia" w:hAnsiTheme="minorEastAsia" w:cs="Arial"/>
                <w:sz w:val="16"/>
                <w:szCs w:val="16"/>
                <w:lang w:val="en-GB"/>
              </w:rPr>
              <w:t>Health</w:t>
            </w:r>
          </w:p>
        </w:tc>
      </w:tr>
      <w:tr w:rsidR="00211346" w:rsidRPr="005D28E6" w14:paraId="09E13678" w14:textId="77777777" w:rsidTr="00D25C60">
        <w:trPr>
          <w:trHeight w:val="290"/>
        </w:trPr>
        <w:tc>
          <w:tcPr>
            <w:tcW w:w="5954" w:type="dxa"/>
            <w:tcBorders>
              <w:top w:val="nil"/>
              <w:left w:val="nil"/>
              <w:bottom w:val="nil"/>
              <w:right w:val="nil"/>
            </w:tcBorders>
            <w:shd w:val="clear" w:color="auto" w:fill="DAE9F7" w:themeFill="text2" w:themeFillTint="1A"/>
            <w:noWrap/>
            <w:vAlign w:val="center"/>
            <w:hideMark/>
          </w:tcPr>
          <w:p w14:paraId="1D8CF0AE" w14:textId="77777777" w:rsidR="00211346" w:rsidRPr="005D28E6" w:rsidRDefault="00211346" w:rsidP="00211346">
            <w:pPr>
              <w:pStyle w:val="ListParagraph"/>
              <w:numPr>
                <w:ilvl w:val="0"/>
                <w:numId w:val="1"/>
              </w:numPr>
              <w:spacing w:after="0" w:line="240" w:lineRule="auto"/>
              <w:rPr>
                <w:rFonts w:asciiTheme="minorEastAsia" w:hAnsiTheme="minorEastAsia" w:cs="Arial"/>
                <w:sz w:val="16"/>
                <w:szCs w:val="16"/>
                <w:lang w:val="en-GB"/>
              </w:rPr>
            </w:pPr>
            <w:r w:rsidRPr="005D28E6">
              <w:rPr>
                <w:rFonts w:asciiTheme="minorEastAsia" w:hAnsiTheme="minorEastAsia" w:cs="Arial"/>
                <w:sz w:val="16"/>
                <w:szCs w:val="16"/>
              </w:rPr>
              <w:t>Mortality from road accidents (ages 15–34)</w:t>
            </w:r>
          </w:p>
        </w:tc>
        <w:tc>
          <w:tcPr>
            <w:tcW w:w="2835" w:type="dxa"/>
            <w:vMerge/>
            <w:tcBorders>
              <w:left w:val="nil"/>
              <w:right w:val="nil"/>
            </w:tcBorders>
            <w:shd w:val="clear" w:color="auto" w:fill="DAE9F7" w:themeFill="text2" w:themeFillTint="1A"/>
            <w:noWrap/>
            <w:vAlign w:val="center"/>
            <w:hideMark/>
          </w:tcPr>
          <w:p w14:paraId="42F9F2B7" w14:textId="77777777" w:rsidR="00211346" w:rsidRPr="005D28E6" w:rsidRDefault="00211346" w:rsidP="00D25C60">
            <w:pPr>
              <w:spacing w:after="0" w:line="240" w:lineRule="auto"/>
              <w:jc w:val="center"/>
              <w:rPr>
                <w:rFonts w:asciiTheme="minorEastAsia" w:hAnsiTheme="minorEastAsia" w:cs="Arial"/>
                <w:sz w:val="16"/>
                <w:szCs w:val="16"/>
                <w:lang w:val="en-GB"/>
              </w:rPr>
            </w:pPr>
          </w:p>
        </w:tc>
      </w:tr>
      <w:tr w:rsidR="00211346" w:rsidRPr="005D28E6" w14:paraId="2F5AEDD4" w14:textId="77777777" w:rsidTr="00D25C60">
        <w:trPr>
          <w:trHeight w:val="290"/>
        </w:trPr>
        <w:tc>
          <w:tcPr>
            <w:tcW w:w="5954" w:type="dxa"/>
            <w:tcBorders>
              <w:top w:val="nil"/>
              <w:left w:val="nil"/>
              <w:bottom w:val="nil"/>
              <w:right w:val="nil"/>
            </w:tcBorders>
            <w:shd w:val="clear" w:color="auto" w:fill="DAE9F7" w:themeFill="text2" w:themeFillTint="1A"/>
            <w:noWrap/>
            <w:vAlign w:val="center"/>
          </w:tcPr>
          <w:p w14:paraId="1FF340DC" w14:textId="77777777" w:rsidR="00211346" w:rsidRPr="005D28E6" w:rsidRDefault="00211346" w:rsidP="00211346">
            <w:pPr>
              <w:pStyle w:val="ListParagraph"/>
              <w:numPr>
                <w:ilvl w:val="0"/>
                <w:numId w:val="1"/>
              </w:numPr>
              <w:spacing w:after="0" w:line="240" w:lineRule="auto"/>
              <w:rPr>
                <w:rFonts w:asciiTheme="minorEastAsia" w:hAnsiTheme="minorEastAsia" w:cs="Arial"/>
                <w:sz w:val="16"/>
                <w:szCs w:val="16"/>
              </w:rPr>
            </w:pPr>
            <w:r w:rsidRPr="005D28E6">
              <w:rPr>
                <w:rFonts w:asciiTheme="minorEastAsia" w:hAnsiTheme="minorEastAsia" w:cs="Arial"/>
                <w:sz w:val="16"/>
                <w:szCs w:val="16"/>
              </w:rPr>
              <w:t>Mortality from cancer (ages 20–64)</w:t>
            </w:r>
          </w:p>
        </w:tc>
        <w:tc>
          <w:tcPr>
            <w:tcW w:w="2835" w:type="dxa"/>
            <w:vMerge/>
            <w:tcBorders>
              <w:left w:val="nil"/>
              <w:right w:val="nil"/>
            </w:tcBorders>
            <w:shd w:val="clear" w:color="auto" w:fill="DAE9F7" w:themeFill="text2" w:themeFillTint="1A"/>
            <w:noWrap/>
            <w:vAlign w:val="center"/>
          </w:tcPr>
          <w:p w14:paraId="520BF24A" w14:textId="77777777" w:rsidR="00211346" w:rsidRPr="005D28E6" w:rsidRDefault="00211346" w:rsidP="00D25C60">
            <w:pPr>
              <w:spacing w:after="0" w:line="240" w:lineRule="auto"/>
              <w:jc w:val="center"/>
              <w:rPr>
                <w:rFonts w:asciiTheme="minorEastAsia" w:hAnsiTheme="minorEastAsia" w:cs="Arial"/>
                <w:sz w:val="16"/>
                <w:szCs w:val="16"/>
                <w:lang w:val="en-GB"/>
              </w:rPr>
            </w:pPr>
          </w:p>
        </w:tc>
      </w:tr>
      <w:tr w:rsidR="00211346" w:rsidRPr="005D28E6" w14:paraId="7952ECEA" w14:textId="77777777" w:rsidTr="00D25C60">
        <w:trPr>
          <w:trHeight w:val="290"/>
        </w:trPr>
        <w:tc>
          <w:tcPr>
            <w:tcW w:w="5954" w:type="dxa"/>
            <w:tcBorders>
              <w:top w:val="nil"/>
              <w:left w:val="nil"/>
              <w:bottom w:val="nil"/>
              <w:right w:val="nil"/>
            </w:tcBorders>
            <w:shd w:val="clear" w:color="auto" w:fill="DAE9F7" w:themeFill="text2" w:themeFillTint="1A"/>
            <w:noWrap/>
            <w:vAlign w:val="center"/>
          </w:tcPr>
          <w:p w14:paraId="4E62BBE6" w14:textId="77777777" w:rsidR="00211346" w:rsidRPr="005D28E6" w:rsidRDefault="00211346" w:rsidP="00211346">
            <w:pPr>
              <w:pStyle w:val="ListParagraph"/>
              <w:numPr>
                <w:ilvl w:val="0"/>
                <w:numId w:val="1"/>
              </w:numPr>
              <w:spacing w:after="0" w:line="240" w:lineRule="auto"/>
              <w:rPr>
                <w:rFonts w:asciiTheme="minorEastAsia" w:hAnsiTheme="minorEastAsia" w:cs="Arial"/>
                <w:sz w:val="16"/>
                <w:szCs w:val="16"/>
              </w:rPr>
            </w:pPr>
            <w:r w:rsidRPr="005D28E6">
              <w:rPr>
                <w:rFonts w:asciiTheme="minorEastAsia" w:hAnsiTheme="minorEastAsia" w:cs="Arial"/>
                <w:sz w:val="16"/>
                <w:szCs w:val="16"/>
              </w:rPr>
              <w:t>Mortality from dementia and nervous system diseases (ages 65 and over)</w:t>
            </w:r>
          </w:p>
        </w:tc>
        <w:tc>
          <w:tcPr>
            <w:tcW w:w="2835" w:type="dxa"/>
            <w:vMerge/>
            <w:tcBorders>
              <w:left w:val="nil"/>
              <w:bottom w:val="nil"/>
              <w:right w:val="nil"/>
            </w:tcBorders>
            <w:shd w:val="clear" w:color="auto" w:fill="DAE9F7" w:themeFill="text2" w:themeFillTint="1A"/>
            <w:noWrap/>
            <w:vAlign w:val="center"/>
          </w:tcPr>
          <w:p w14:paraId="3CCF573F" w14:textId="77777777" w:rsidR="00211346" w:rsidRPr="005D28E6" w:rsidRDefault="00211346" w:rsidP="00D25C60">
            <w:pPr>
              <w:spacing w:after="0" w:line="240" w:lineRule="auto"/>
              <w:jc w:val="center"/>
              <w:rPr>
                <w:rFonts w:asciiTheme="minorEastAsia" w:hAnsiTheme="minorEastAsia" w:cs="Arial"/>
                <w:sz w:val="16"/>
                <w:szCs w:val="16"/>
                <w:lang w:val="en-GB"/>
              </w:rPr>
            </w:pPr>
          </w:p>
        </w:tc>
      </w:tr>
      <w:tr w:rsidR="00211346" w:rsidRPr="005D28E6" w14:paraId="4536DB84" w14:textId="77777777" w:rsidTr="00D25C60">
        <w:trPr>
          <w:trHeight w:val="290"/>
        </w:trPr>
        <w:tc>
          <w:tcPr>
            <w:tcW w:w="5954" w:type="dxa"/>
            <w:tcBorders>
              <w:top w:val="nil"/>
              <w:left w:val="nil"/>
              <w:bottom w:val="nil"/>
              <w:right w:val="nil"/>
            </w:tcBorders>
            <w:shd w:val="clear" w:color="auto" w:fill="F8E4F5"/>
            <w:noWrap/>
            <w:vAlign w:val="center"/>
            <w:hideMark/>
          </w:tcPr>
          <w:p w14:paraId="7D57D5D3" w14:textId="77777777" w:rsidR="00211346" w:rsidRPr="005D28E6" w:rsidRDefault="00211346" w:rsidP="00211346">
            <w:pPr>
              <w:pStyle w:val="ListParagraph"/>
              <w:numPr>
                <w:ilvl w:val="0"/>
                <w:numId w:val="1"/>
              </w:numPr>
              <w:spacing w:after="0" w:line="240" w:lineRule="auto"/>
              <w:rPr>
                <w:rFonts w:asciiTheme="minorEastAsia" w:hAnsiTheme="minorEastAsia" w:cs="Arial"/>
                <w:sz w:val="16"/>
                <w:szCs w:val="16"/>
                <w:lang w:val="en-GB"/>
              </w:rPr>
            </w:pPr>
            <w:r w:rsidRPr="005D28E6">
              <w:rPr>
                <w:rFonts w:asciiTheme="minorEastAsia" w:hAnsiTheme="minorEastAsia" w:cs="Arial"/>
                <w:sz w:val="16"/>
                <w:szCs w:val="16"/>
                <w:lang w:val="en-GB"/>
              </w:rPr>
              <w:t>Children benefiting from municipal early childhood services</w:t>
            </w:r>
          </w:p>
        </w:tc>
        <w:tc>
          <w:tcPr>
            <w:tcW w:w="2835" w:type="dxa"/>
            <w:tcBorders>
              <w:top w:val="nil"/>
              <w:left w:val="nil"/>
              <w:bottom w:val="nil"/>
              <w:right w:val="nil"/>
            </w:tcBorders>
            <w:shd w:val="clear" w:color="auto" w:fill="F8E4F5"/>
            <w:noWrap/>
            <w:vAlign w:val="center"/>
            <w:hideMark/>
          </w:tcPr>
          <w:p w14:paraId="2DB2F391" w14:textId="77777777" w:rsidR="00211346" w:rsidRPr="005D28E6" w:rsidRDefault="00211346" w:rsidP="00D25C60">
            <w:pPr>
              <w:spacing w:after="0" w:line="240" w:lineRule="auto"/>
              <w:jc w:val="center"/>
              <w:rPr>
                <w:rFonts w:asciiTheme="minorEastAsia" w:hAnsiTheme="minorEastAsia" w:cs="Arial"/>
                <w:sz w:val="16"/>
                <w:szCs w:val="16"/>
                <w:lang w:val="en-GB"/>
              </w:rPr>
            </w:pPr>
            <w:r w:rsidRPr="005D28E6">
              <w:rPr>
                <w:rFonts w:asciiTheme="minorEastAsia" w:hAnsiTheme="minorEastAsia" w:cs="Arial"/>
                <w:sz w:val="16"/>
                <w:szCs w:val="16"/>
                <w:lang w:val="en-GB"/>
              </w:rPr>
              <w:t>Education and training</w:t>
            </w:r>
          </w:p>
        </w:tc>
      </w:tr>
      <w:tr w:rsidR="00211346" w:rsidRPr="005D28E6" w14:paraId="298AA52E" w14:textId="77777777" w:rsidTr="00D25C60">
        <w:trPr>
          <w:trHeight w:val="290"/>
        </w:trPr>
        <w:tc>
          <w:tcPr>
            <w:tcW w:w="5954" w:type="dxa"/>
            <w:tcBorders>
              <w:top w:val="nil"/>
              <w:left w:val="nil"/>
              <w:bottom w:val="nil"/>
              <w:right w:val="nil"/>
            </w:tcBorders>
            <w:shd w:val="clear" w:color="auto" w:fill="F2F2F2" w:themeFill="background1" w:themeFillShade="F2"/>
            <w:noWrap/>
            <w:vAlign w:val="center"/>
            <w:hideMark/>
          </w:tcPr>
          <w:p w14:paraId="649028A0" w14:textId="77777777" w:rsidR="00211346" w:rsidRPr="005D28E6" w:rsidRDefault="00211346" w:rsidP="00211346">
            <w:pPr>
              <w:pStyle w:val="ListParagraph"/>
              <w:numPr>
                <w:ilvl w:val="0"/>
                <w:numId w:val="1"/>
              </w:numPr>
              <w:spacing w:after="0" w:line="240" w:lineRule="auto"/>
              <w:rPr>
                <w:rFonts w:asciiTheme="minorEastAsia" w:hAnsiTheme="minorEastAsia" w:cs="Arial"/>
                <w:sz w:val="16"/>
                <w:szCs w:val="16"/>
                <w:lang w:val="en-GB"/>
              </w:rPr>
            </w:pPr>
            <w:r w:rsidRPr="005D28E6">
              <w:rPr>
                <w:rFonts w:asciiTheme="minorEastAsia" w:hAnsiTheme="minorEastAsia" w:cs="Arial"/>
                <w:sz w:val="16"/>
                <w:szCs w:val="16"/>
                <w:lang w:val="en-GB"/>
              </w:rPr>
              <w:t>Municipal administrators under the age of 40</w:t>
            </w:r>
          </w:p>
        </w:tc>
        <w:tc>
          <w:tcPr>
            <w:tcW w:w="2835" w:type="dxa"/>
            <w:vMerge w:val="restart"/>
            <w:tcBorders>
              <w:top w:val="nil"/>
              <w:left w:val="nil"/>
              <w:right w:val="nil"/>
            </w:tcBorders>
            <w:shd w:val="clear" w:color="auto" w:fill="F2F2F2" w:themeFill="background1" w:themeFillShade="F2"/>
            <w:noWrap/>
            <w:vAlign w:val="center"/>
            <w:hideMark/>
          </w:tcPr>
          <w:p w14:paraId="09735B85" w14:textId="77777777" w:rsidR="00211346" w:rsidRPr="005D28E6" w:rsidRDefault="00211346" w:rsidP="00D25C60">
            <w:pPr>
              <w:spacing w:after="0" w:line="240" w:lineRule="auto"/>
              <w:jc w:val="center"/>
              <w:rPr>
                <w:rFonts w:asciiTheme="minorEastAsia" w:hAnsiTheme="minorEastAsia" w:cs="Arial"/>
                <w:sz w:val="16"/>
                <w:szCs w:val="16"/>
                <w:lang w:val="en-GB"/>
              </w:rPr>
            </w:pPr>
            <w:r w:rsidRPr="005D28E6">
              <w:rPr>
                <w:rFonts w:asciiTheme="minorEastAsia" w:hAnsiTheme="minorEastAsia" w:cs="Arial"/>
                <w:sz w:val="16"/>
                <w:szCs w:val="16"/>
                <w:lang w:val="en-GB"/>
              </w:rPr>
              <w:t>Politics and institutions</w:t>
            </w:r>
          </w:p>
        </w:tc>
      </w:tr>
      <w:tr w:rsidR="00211346" w:rsidRPr="005D28E6" w14:paraId="3C1DB823" w14:textId="77777777" w:rsidTr="00D25C60">
        <w:trPr>
          <w:trHeight w:val="290"/>
        </w:trPr>
        <w:tc>
          <w:tcPr>
            <w:tcW w:w="5954" w:type="dxa"/>
            <w:tcBorders>
              <w:top w:val="nil"/>
              <w:left w:val="nil"/>
              <w:bottom w:val="nil"/>
              <w:right w:val="nil"/>
            </w:tcBorders>
            <w:shd w:val="clear" w:color="auto" w:fill="F2F2F2" w:themeFill="background1" w:themeFillShade="F2"/>
            <w:noWrap/>
            <w:vAlign w:val="center"/>
            <w:hideMark/>
          </w:tcPr>
          <w:p w14:paraId="46EFA177" w14:textId="77777777" w:rsidR="00211346" w:rsidRPr="005D28E6" w:rsidRDefault="00211346" w:rsidP="00211346">
            <w:pPr>
              <w:pStyle w:val="ListParagraph"/>
              <w:numPr>
                <w:ilvl w:val="0"/>
                <w:numId w:val="1"/>
              </w:numPr>
              <w:spacing w:after="0" w:line="240" w:lineRule="auto"/>
              <w:rPr>
                <w:rFonts w:asciiTheme="minorEastAsia" w:hAnsiTheme="minorEastAsia" w:cs="Arial"/>
                <w:sz w:val="16"/>
                <w:szCs w:val="16"/>
                <w:lang w:val="en-GB"/>
              </w:rPr>
            </w:pPr>
            <w:r w:rsidRPr="005D28E6">
              <w:rPr>
                <w:rFonts w:asciiTheme="minorEastAsia" w:hAnsiTheme="minorEastAsia" w:cs="Arial"/>
                <w:sz w:val="16"/>
                <w:szCs w:val="16"/>
                <w:lang w:val="en-GB"/>
              </w:rPr>
              <w:t>Municipality's revenue collection capacity</w:t>
            </w:r>
          </w:p>
        </w:tc>
        <w:tc>
          <w:tcPr>
            <w:tcW w:w="2835" w:type="dxa"/>
            <w:vMerge/>
            <w:tcBorders>
              <w:left w:val="nil"/>
              <w:bottom w:val="nil"/>
              <w:right w:val="nil"/>
            </w:tcBorders>
            <w:shd w:val="clear" w:color="auto" w:fill="F2F2F2" w:themeFill="background1" w:themeFillShade="F2"/>
            <w:noWrap/>
            <w:vAlign w:val="center"/>
            <w:hideMark/>
          </w:tcPr>
          <w:p w14:paraId="72121E34" w14:textId="77777777" w:rsidR="00211346" w:rsidRPr="005D28E6" w:rsidRDefault="00211346" w:rsidP="00D25C60">
            <w:pPr>
              <w:spacing w:after="0" w:line="240" w:lineRule="auto"/>
              <w:jc w:val="center"/>
              <w:rPr>
                <w:rFonts w:asciiTheme="minorEastAsia" w:hAnsiTheme="minorEastAsia" w:cs="Arial"/>
                <w:sz w:val="16"/>
                <w:szCs w:val="16"/>
                <w:lang w:val="en-GB"/>
              </w:rPr>
            </w:pPr>
          </w:p>
        </w:tc>
      </w:tr>
      <w:tr w:rsidR="00211346" w:rsidRPr="005D28E6" w14:paraId="70304E04" w14:textId="77777777" w:rsidTr="00D25C60">
        <w:trPr>
          <w:trHeight w:val="290"/>
        </w:trPr>
        <w:tc>
          <w:tcPr>
            <w:tcW w:w="5954" w:type="dxa"/>
            <w:tcBorders>
              <w:top w:val="nil"/>
              <w:left w:val="nil"/>
              <w:bottom w:val="nil"/>
              <w:right w:val="nil"/>
            </w:tcBorders>
            <w:shd w:val="clear" w:color="auto" w:fill="D8D0E8"/>
            <w:noWrap/>
            <w:vAlign w:val="center"/>
            <w:hideMark/>
          </w:tcPr>
          <w:p w14:paraId="5B2DEB4F" w14:textId="77777777" w:rsidR="00211346" w:rsidRPr="005D28E6" w:rsidRDefault="00211346" w:rsidP="00211346">
            <w:pPr>
              <w:pStyle w:val="ListParagraph"/>
              <w:numPr>
                <w:ilvl w:val="0"/>
                <w:numId w:val="1"/>
              </w:numPr>
              <w:spacing w:after="0" w:line="240" w:lineRule="auto"/>
              <w:rPr>
                <w:rFonts w:asciiTheme="minorEastAsia" w:hAnsiTheme="minorEastAsia" w:cs="Arial"/>
                <w:sz w:val="16"/>
                <w:szCs w:val="16"/>
                <w:lang w:val="en-GB"/>
              </w:rPr>
            </w:pPr>
            <w:r w:rsidRPr="005D28E6">
              <w:rPr>
                <w:rFonts w:asciiTheme="minorEastAsia" w:hAnsiTheme="minorEastAsia" w:cs="Arial"/>
                <w:color w:val="000000"/>
                <w:sz w:val="16"/>
                <w:szCs w:val="16"/>
                <w:lang w:val="en-GB"/>
                <w14:ligatures w14:val="none"/>
              </w:rPr>
              <w:t>Reported robberies</w:t>
            </w:r>
          </w:p>
        </w:tc>
        <w:tc>
          <w:tcPr>
            <w:tcW w:w="2835" w:type="dxa"/>
            <w:tcBorders>
              <w:top w:val="nil"/>
              <w:left w:val="nil"/>
              <w:bottom w:val="nil"/>
              <w:right w:val="nil"/>
            </w:tcBorders>
            <w:shd w:val="clear" w:color="auto" w:fill="D8D0E8"/>
            <w:noWrap/>
            <w:vAlign w:val="center"/>
            <w:hideMark/>
          </w:tcPr>
          <w:p w14:paraId="0BA91250" w14:textId="77777777" w:rsidR="00211346" w:rsidRPr="005D28E6" w:rsidRDefault="00211346" w:rsidP="00D25C60">
            <w:pPr>
              <w:spacing w:after="0" w:line="240" w:lineRule="auto"/>
              <w:jc w:val="center"/>
              <w:rPr>
                <w:rFonts w:asciiTheme="minorEastAsia" w:hAnsiTheme="minorEastAsia" w:cs="Arial"/>
                <w:sz w:val="16"/>
                <w:szCs w:val="16"/>
                <w:lang w:val="en-GB"/>
              </w:rPr>
            </w:pPr>
            <w:r w:rsidRPr="005D28E6">
              <w:rPr>
                <w:rFonts w:asciiTheme="minorEastAsia" w:hAnsiTheme="minorEastAsia" w:cs="Arial"/>
                <w:sz w:val="16"/>
                <w:szCs w:val="16"/>
                <w:lang w:val="en-GB"/>
              </w:rPr>
              <w:t>Safety</w:t>
            </w:r>
          </w:p>
        </w:tc>
      </w:tr>
      <w:tr w:rsidR="00211346" w:rsidRPr="005D28E6" w14:paraId="461F64C2" w14:textId="77777777" w:rsidTr="00D25C60">
        <w:trPr>
          <w:trHeight w:val="290"/>
        </w:trPr>
        <w:tc>
          <w:tcPr>
            <w:tcW w:w="5954" w:type="dxa"/>
            <w:tcBorders>
              <w:top w:val="nil"/>
              <w:left w:val="nil"/>
              <w:bottom w:val="nil"/>
              <w:right w:val="nil"/>
            </w:tcBorders>
            <w:shd w:val="clear" w:color="auto" w:fill="D9F2D0" w:themeFill="accent6" w:themeFillTint="33"/>
            <w:noWrap/>
            <w:vAlign w:val="center"/>
            <w:hideMark/>
          </w:tcPr>
          <w:p w14:paraId="082DF02F" w14:textId="77777777" w:rsidR="00211346" w:rsidRPr="005D28E6" w:rsidRDefault="00211346" w:rsidP="00211346">
            <w:pPr>
              <w:pStyle w:val="ListParagraph"/>
              <w:numPr>
                <w:ilvl w:val="0"/>
                <w:numId w:val="1"/>
              </w:numPr>
              <w:spacing w:after="0" w:line="240" w:lineRule="auto"/>
              <w:rPr>
                <w:rFonts w:asciiTheme="minorEastAsia" w:hAnsiTheme="minorEastAsia" w:cs="Arial"/>
                <w:sz w:val="16"/>
                <w:szCs w:val="16"/>
                <w:lang w:val="en-GB"/>
              </w:rPr>
            </w:pPr>
            <w:r w:rsidRPr="005D28E6">
              <w:rPr>
                <w:rFonts w:asciiTheme="minorEastAsia" w:hAnsiTheme="minorEastAsia" w:cs="Arial"/>
                <w:sz w:val="16"/>
                <w:szCs w:val="16"/>
                <w:lang w:val="en-GB"/>
              </w:rPr>
              <w:t>Spread of agritourism enterprises</w:t>
            </w:r>
          </w:p>
        </w:tc>
        <w:tc>
          <w:tcPr>
            <w:tcW w:w="2835" w:type="dxa"/>
            <w:tcBorders>
              <w:top w:val="nil"/>
              <w:left w:val="nil"/>
              <w:bottom w:val="nil"/>
              <w:right w:val="nil"/>
            </w:tcBorders>
            <w:shd w:val="clear" w:color="auto" w:fill="D9F2D0" w:themeFill="accent6" w:themeFillTint="33"/>
            <w:noWrap/>
            <w:vAlign w:val="center"/>
            <w:hideMark/>
          </w:tcPr>
          <w:p w14:paraId="6563F0F2" w14:textId="77777777" w:rsidR="00211346" w:rsidRPr="005D28E6" w:rsidRDefault="00211346" w:rsidP="00D25C60">
            <w:pPr>
              <w:spacing w:after="0" w:line="240" w:lineRule="auto"/>
              <w:jc w:val="center"/>
              <w:rPr>
                <w:rFonts w:asciiTheme="minorEastAsia" w:hAnsiTheme="minorEastAsia" w:cs="Arial"/>
                <w:sz w:val="16"/>
                <w:szCs w:val="16"/>
                <w:lang w:val="en-GB"/>
              </w:rPr>
            </w:pPr>
            <w:r w:rsidRPr="005D28E6">
              <w:rPr>
                <w:rFonts w:asciiTheme="minorEastAsia" w:hAnsiTheme="minorEastAsia" w:cs="Arial"/>
                <w:sz w:val="16"/>
                <w:szCs w:val="16"/>
                <w:lang w:val="en-GB"/>
              </w:rPr>
              <w:t>Landscape and cultural heritage</w:t>
            </w:r>
          </w:p>
        </w:tc>
      </w:tr>
      <w:tr w:rsidR="00211346" w:rsidRPr="005D28E6" w14:paraId="401FB69F" w14:textId="77777777" w:rsidTr="00D25C60">
        <w:trPr>
          <w:trHeight w:val="290"/>
        </w:trPr>
        <w:tc>
          <w:tcPr>
            <w:tcW w:w="5954" w:type="dxa"/>
            <w:tcBorders>
              <w:top w:val="nil"/>
              <w:left w:val="nil"/>
              <w:bottom w:val="nil"/>
              <w:right w:val="nil"/>
            </w:tcBorders>
            <w:shd w:val="clear" w:color="auto" w:fill="C9F9E2"/>
            <w:noWrap/>
            <w:vAlign w:val="center"/>
            <w:hideMark/>
          </w:tcPr>
          <w:p w14:paraId="3D692F15" w14:textId="77777777" w:rsidR="00211346" w:rsidRPr="005D28E6" w:rsidRDefault="00211346" w:rsidP="00211346">
            <w:pPr>
              <w:pStyle w:val="ListParagraph"/>
              <w:numPr>
                <w:ilvl w:val="0"/>
                <w:numId w:val="1"/>
              </w:numPr>
              <w:spacing w:after="0" w:line="240" w:lineRule="auto"/>
              <w:rPr>
                <w:rFonts w:asciiTheme="minorEastAsia" w:hAnsiTheme="minorEastAsia" w:cs="Arial"/>
                <w:sz w:val="16"/>
                <w:szCs w:val="16"/>
                <w:lang w:val="en-GB"/>
              </w:rPr>
            </w:pPr>
            <w:r w:rsidRPr="005D28E6">
              <w:rPr>
                <w:rFonts w:asciiTheme="minorEastAsia" w:hAnsiTheme="minorEastAsia" w:cs="Arial"/>
                <w:color w:val="000000"/>
                <w:sz w:val="16"/>
                <w:szCs w:val="16"/>
                <w14:ligatures w14:val="none"/>
              </w:rPr>
              <w:t>Density of historical green areas</w:t>
            </w:r>
          </w:p>
        </w:tc>
        <w:tc>
          <w:tcPr>
            <w:tcW w:w="2835" w:type="dxa"/>
            <w:vMerge w:val="restart"/>
            <w:tcBorders>
              <w:top w:val="nil"/>
              <w:left w:val="nil"/>
              <w:right w:val="nil"/>
            </w:tcBorders>
            <w:shd w:val="clear" w:color="auto" w:fill="C9F9E2"/>
            <w:noWrap/>
            <w:vAlign w:val="center"/>
            <w:hideMark/>
          </w:tcPr>
          <w:p w14:paraId="074012D9" w14:textId="77777777" w:rsidR="00211346" w:rsidRPr="005D28E6" w:rsidRDefault="00211346" w:rsidP="00D25C60">
            <w:pPr>
              <w:spacing w:after="0" w:line="240" w:lineRule="auto"/>
              <w:jc w:val="center"/>
              <w:rPr>
                <w:rFonts w:asciiTheme="minorEastAsia" w:hAnsiTheme="minorEastAsia" w:cs="Arial"/>
                <w:sz w:val="16"/>
                <w:szCs w:val="16"/>
                <w:lang w:val="en-GB"/>
              </w:rPr>
            </w:pPr>
            <w:r w:rsidRPr="005D28E6">
              <w:rPr>
                <w:rFonts w:asciiTheme="minorEastAsia" w:hAnsiTheme="minorEastAsia" w:cs="Arial"/>
                <w:sz w:val="16"/>
                <w:szCs w:val="16"/>
                <w:lang w:val="en-GB"/>
              </w:rPr>
              <w:t>Environment</w:t>
            </w:r>
          </w:p>
        </w:tc>
      </w:tr>
      <w:tr w:rsidR="00211346" w:rsidRPr="005D28E6" w14:paraId="3F35DF83" w14:textId="77777777" w:rsidTr="00D25C60">
        <w:trPr>
          <w:trHeight w:val="290"/>
        </w:trPr>
        <w:tc>
          <w:tcPr>
            <w:tcW w:w="5954" w:type="dxa"/>
            <w:tcBorders>
              <w:top w:val="nil"/>
              <w:left w:val="nil"/>
              <w:bottom w:val="nil"/>
              <w:right w:val="nil"/>
            </w:tcBorders>
            <w:shd w:val="clear" w:color="auto" w:fill="C9F9E2"/>
            <w:noWrap/>
            <w:vAlign w:val="center"/>
          </w:tcPr>
          <w:p w14:paraId="1BADB68C" w14:textId="77777777" w:rsidR="00211346" w:rsidRPr="005D28E6" w:rsidRDefault="00211346" w:rsidP="00211346">
            <w:pPr>
              <w:pStyle w:val="ListParagraph"/>
              <w:numPr>
                <w:ilvl w:val="0"/>
                <w:numId w:val="1"/>
              </w:numPr>
              <w:spacing w:after="0" w:line="240" w:lineRule="auto"/>
              <w:rPr>
                <w:rFonts w:asciiTheme="minorEastAsia" w:hAnsiTheme="minorEastAsia" w:cs="Arial"/>
                <w:sz w:val="16"/>
                <w:szCs w:val="16"/>
                <w:lang w:val="en-GB"/>
              </w:rPr>
            </w:pPr>
            <w:r w:rsidRPr="005D28E6">
              <w:rPr>
                <w:rFonts w:asciiTheme="minorEastAsia" w:hAnsiTheme="minorEastAsia" w:cs="Arial"/>
                <w:sz w:val="16"/>
                <w:szCs w:val="16"/>
                <w:lang w:val="en-GB"/>
              </w:rPr>
              <w:t>Availability of urban green space</w:t>
            </w:r>
          </w:p>
        </w:tc>
        <w:tc>
          <w:tcPr>
            <w:tcW w:w="2835" w:type="dxa"/>
            <w:vMerge/>
            <w:tcBorders>
              <w:left w:val="nil"/>
              <w:right w:val="nil"/>
            </w:tcBorders>
            <w:shd w:val="clear" w:color="auto" w:fill="C9F9E2"/>
            <w:noWrap/>
            <w:vAlign w:val="center"/>
          </w:tcPr>
          <w:p w14:paraId="7240E8F4" w14:textId="77777777" w:rsidR="00211346" w:rsidRPr="005D28E6" w:rsidRDefault="00211346" w:rsidP="00D25C60">
            <w:pPr>
              <w:spacing w:after="0" w:line="240" w:lineRule="auto"/>
              <w:jc w:val="center"/>
              <w:rPr>
                <w:rFonts w:asciiTheme="minorEastAsia" w:hAnsiTheme="minorEastAsia" w:cs="Arial"/>
                <w:sz w:val="16"/>
                <w:szCs w:val="16"/>
                <w:lang w:val="en-GB"/>
              </w:rPr>
            </w:pPr>
          </w:p>
        </w:tc>
      </w:tr>
      <w:tr w:rsidR="00211346" w:rsidRPr="005D28E6" w14:paraId="233319DE" w14:textId="77777777" w:rsidTr="00D25C60">
        <w:trPr>
          <w:trHeight w:val="290"/>
        </w:trPr>
        <w:tc>
          <w:tcPr>
            <w:tcW w:w="5954" w:type="dxa"/>
            <w:tcBorders>
              <w:top w:val="nil"/>
              <w:left w:val="nil"/>
              <w:bottom w:val="nil"/>
              <w:right w:val="nil"/>
            </w:tcBorders>
            <w:shd w:val="clear" w:color="auto" w:fill="C9F9E2"/>
            <w:noWrap/>
            <w:vAlign w:val="center"/>
            <w:hideMark/>
          </w:tcPr>
          <w:p w14:paraId="10CC7CA2" w14:textId="77777777" w:rsidR="00211346" w:rsidRPr="005D28E6" w:rsidRDefault="00211346" w:rsidP="00211346">
            <w:pPr>
              <w:pStyle w:val="ListParagraph"/>
              <w:numPr>
                <w:ilvl w:val="0"/>
                <w:numId w:val="1"/>
              </w:numPr>
              <w:spacing w:after="0" w:line="240" w:lineRule="auto"/>
              <w:rPr>
                <w:rFonts w:asciiTheme="minorEastAsia" w:hAnsiTheme="minorEastAsia" w:cs="Arial"/>
                <w:sz w:val="16"/>
                <w:szCs w:val="16"/>
                <w:lang w:val="en-GB"/>
              </w:rPr>
            </w:pPr>
            <w:r w:rsidRPr="005D28E6">
              <w:rPr>
                <w:rFonts w:asciiTheme="minorEastAsia" w:hAnsiTheme="minorEastAsia" w:cs="Arial"/>
                <w:sz w:val="16"/>
                <w:szCs w:val="16"/>
              </w:rPr>
              <w:t>Urban waste produced</w:t>
            </w:r>
          </w:p>
        </w:tc>
        <w:tc>
          <w:tcPr>
            <w:tcW w:w="2835" w:type="dxa"/>
            <w:vMerge/>
            <w:tcBorders>
              <w:left w:val="nil"/>
              <w:bottom w:val="nil"/>
              <w:right w:val="nil"/>
            </w:tcBorders>
            <w:shd w:val="clear" w:color="auto" w:fill="C9F9E2"/>
            <w:noWrap/>
            <w:vAlign w:val="center"/>
          </w:tcPr>
          <w:p w14:paraId="0FD616BD" w14:textId="77777777" w:rsidR="00211346" w:rsidRPr="005D28E6" w:rsidRDefault="00211346" w:rsidP="00D25C60">
            <w:pPr>
              <w:spacing w:after="0" w:line="240" w:lineRule="auto"/>
              <w:jc w:val="center"/>
              <w:rPr>
                <w:rFonts w:asciiTheme="minorEastAsia" w:hAnsiTheme="minorEastAsia" w:cs="Arial"/>
                <w:sz w:val="16"/>
                <w:szCs w:val="16"/>
                <w:lang w:val="en-GB"/>
              </w:rPr>
            </w:pPr>
          </w:p>
        </w:tc>
      </w:tr>
      <w:tr w:rsidR="00211346" w:rsidRPr="005D28E6" w14:paraId="2AB3832A" w14:textId="77777777" w:rsidTr="00D25C60">
        <w:trPr>
          <w:trHeight w:val="290"/>
        </w:trPr>
        <w:tc>
          <w:tcPr>
            <w:tcW w:w="5954" w:type="dxa"/>
            <w:tcBorders>
              <w:top w:val="nil"/>
              <w:left w:val="nil"/>
              <w:bottom w:val="nil"/>
              <w:right w:val="nil"/>
            </w:tcBorders>
            <w:shd w:val="clear" w:color="auto" w:fill="E6C8BC"/>
            <w:noWrap/>
            <w:vAlign w:val="center"/>
            <w:hideMark/>
          </w:tcPr>
          <w:p w14:paraId="7A741EE1" w14:textId="77777777" w:rsidR="00211346" w:rsidRPr="005D28E6" w:rsidRDefault="00211346" w:rsidP="00211346">
            <w:pPr>
              <w:pStyle w:val="ListParagraph"/>
              <w:numPr>
                <w:ilvl w:val="0"/>
                <w:numId w:val="1"/>
              </w:numPr>
              <w:spacing w:after="0" w:line="240" w:lineRule="auto"/>
              <w:rPr>
                <w:rFonts w:asciiTheme="minorEastAsia" w:hAnsiTheme="minorEastAsia" w:cs="Arial"/>
                <w:sz w:val="16"/>
                <w:szCs w:val="16"/>
                <w:lang w:val="en-GB"/>
              </w:rPr>
            </w:pPr>
            <w:r w:rsidRPr="005D28E6">
              <w:rPr>
                <w:rFonts w:asciiTheme="minorEastAsia" w:hAnsiTheme="minorEastAsia" w:cs="Arial"/>
                <w:sz w:val="16"/>
                <w:szCs w:val="16"/>
              </w:rPr>
              <w:t>Propensity to patent</w:t>
            </w:r>
          </w:p>
        </w:tc>
        <w:tc>
          <w:tcPr>
            <w:tcW w:w="2835" w:type="dxa"/>
            <w:vMerge w:val="restart"/>
            <w:tcBorders>
              <w:top w:val="nil"/>
              <w:left w:val="nil"/>
              <w:right w:val="nil"/>
            </w:tcBorders>
            <w:shd w:val="clear" w:color="auto" w:fill="E6C8BC"/>
            <w:noWrap/>
            <w:vAlign w:val="center"/>
            <w:hideMark/>
          </w:tcPr>
          <w:p w14:paraId="53D197A5" w14:textId="77777777" w:rsidR="00211346" w:rsidRPr="005D28E6" w:rsidRDefault="00211346" w:rsidP="00D25C60">
            <w:pPr>
              <w:spacing w:after="0" w:line="240" w:lineRule="auto"/>
              <w:jc w:val="center"/>
              <w:rPr>
                <w:rFonts w:asciiTheme="minorEastAsia" w:hAnsiTheme="minorEastAsia" w:cs="Arial"/>
                <w:sz w:val="16"/>
                <w:szCs w:val="16"/>
                <w:lang w:val="en-GB"/>
              </w:rPr>
            </w:pPr>
            <w:r w:rsidRPr="005D28E6">
              <w:rPr>
                <w:rFonts w:asciiTheme="minorEastAsia" w:hAnsiTheme="minorEastAsia" w:cs="Arial"/>
                <w:sz w:val="16"/>
                <w:szCs w:val="16"/>
                <w:lang w:val="en-GB"/>
              </w:rPr>
              <w:t>Innovation, research and creativity</w:t>
            </w:r>
          </w:p>
        </w:tc>
      </w:tr>
      <w:tr w:rsidR="00211346" w:rsidRPr="005D28E6" w14:paraId="0A27DCAA" w14:textId="77777777" w:rsidTr="00D25C60">
        <w:trPr>
          <w:trHeight w:val="290"/>
        </w:trPr>
        <w:tc>
          <w:tcPr>
            <w:tcW w:w="5954" w:type="dxa"/>
            <w:tcBorders>
              <w:top w:val="nil"/>
              <w:left w:val="nil"/>
              <w:bottom w:val="nil"/>
              <w:right w:val="nil"/>
            </w:tcBorders>
            <w:shd w:val="clear" w:color="auto" w:fill="E6C8BC"/>
            <w:noWrap/>
            <w:vAlign w:val="center"/>
          </w:tcPr>
          <w:p w14:paraId="43BB9D27" w14:textId="77777777" w:rsidR="00211346" w:rsidRPr="005D28E6" w:rsidRDefault="00211346" w:rsidP="00211346">
            <w:pPr>
              <w:pStyle w:val="ListParagraph"/>
              <w:numPr>
                <w:ilvl w:val="0"/>
                <w:numId w:val="1"/>
              </w:numPr>
              <w:spacing w:after="0" w:line="240" w:lineRule="auto"/>
              <w:rPr>
                <w:rFonts w:asciiTheme="minorEastAsia" w:hAnsiTheme="minorEastAsia" w:cs="Arial"/>
                <w:sz w:val="16"/>
                <w:szCs w:val="16"/>
                <w:lang w:val="en-GB"/>
              </w:rPr>
            </w:pPr>
            <w:r w:rsidRPr="005D28E6">
              <w:rPr>
                <w:rFonts w:asciiTheme="minorEastAsia" w:hAnsiTheme="minorEastAsia" w:cs="Arial"/>
                <w:sz w:val="16"/>
                <w:szCs w:val="16"/>
                <w:lang w:val="en-GB"/>
              </w:rPr>
              <w:t>Employees in cultural enterprises</w:t>
            </w:r>
          </w:p>
        </w:tc>
        <w:tc>
          <w:tcPr>
            <w:tcW w:w="2835" w:type="dxa"/>
            <w:vMerge/>
            <w:tcBorders>
              <w:left w:val="nil"/>
              <w:bottom w:val="nil"/>
              <w:right w:val="nil"/>
            </w:tcBorders>
            <w:shd w:val="clear" w:color="auto" w:fill="E6C8BC"/>
            <w:noWrap/>
            <w:vAlign w:val="center"/>
          </w:tcPr>
          <w:p w14:paraId="0F88B22B" w14:textId="77777777" w:rsidR="00211346" w:rsidRPr="005D28E6" w:rsidRDefault="00211346" w:rsidP="00D25C60">
            <w:pPr>
              <w:spacing w:after="0" w:line="240" w:lineRule="auto"/>
              <w:jc w:val="center"/>
              <w:rPr>
                <w:rFonts w:asciiTheme="minorEastAsia" w:hAnsiTheme="minorEastAsia" w:cs="Arial"/>
                <w:sz w:val="16"/>
                <w:szCs w:val="16"/>
                <w:lang w:val="en-GB"/>
              </w:rPr>
            </w:pPr>
          </w:p>
        </w:tc>
      </w:tr>
      <w:tr w:rsidR="00211346" w:rsidRPr="005D28E6" w14:paraId="554F83CA" w14:textId="77777777" w:rsidTr="00D25C60">
        <w:trPr>
          <w:trHeight w:val="290"/>
        </w:trPr>
        <w:tc>
          <w:tcPr>
            <w:tcW w:w="5954" w:type="dxa"/>
            <w:tcBorders>
              <w:top w:val="nil"/>
              <w:left w:val="nil"/>
              <w:right w:val="nil"/>
            </w:tcBorders>
            <w:shd w:val="clear" w:color="auto" w:fill="EBDAB7"/>
            <w:noWrap/>
            <w:vAlign w:val="center"/>
            <w:hideMark/>
          </w:tcPr>
          <w:p w14:paraId="36490C59" w14:textId="77777777" w:rsidR="00211346" w:rsidRPr="005D28E6" w:rsidRDefault="00211346" w:rsidP="00211346">
            <w:pPr>
              <w:pStyle w:val="ListParagraph"/>
              <w:numPr>
                <w:ilvl w:val="0"/>
                <w:numId w:val="1"/>
              </w:numPr>
              <w:spacing w:after="0" w:line="240" w:lineRule="auto"/>
              <w:rPr>
                <w:rFonts w:asciiTheme="minorEastAsia" w:hAnsiTheme="minorEastAsia" w:cs="Arial"/>
                <w:sz w:val="16"/>
                <w:szCs w:val="16"/>
                <w:lang w:val="en-GB"/>
              </w:rPr>
            </w:pPr>
            <w:r w:rsidRPr="005D28E6">
              <w:rPr>
                <w:rFonts w:asciiTheme="minorEastAsia" w:hAnsiTheme="minorEastAsia" w:cs="Arial"/>
                <w:sz w:val="16"/>
                <w:szCs w:val="16"/>
                <w:lang w:val="en-GB"/>
              </w:rPr>
              <w:t>Hospital-related emigration to another region</w:t>
            </w:r>
          </w:p>
        </w:tc>
        <w:tc>
          <w:tcPr>
            <w:tcW w:w="2835" w:type="dxa"/>
            <w:vMerge w:val="restart"/>
            <w:tcBorders>
              <w:top w:val="nil"/>
              <w:left w:val="nil"/>
              <w:right w:val="nil"/>
            </w:tcBorders>
            <w:shd w:val="clear" w:color="auto" w:fill="EBDAB7"/>
            <w:noWrap/>
            <w:vAlign w:val="center"/>
            <w:hideMark/>
          </w:tcPr>
          <w:p w14:paraId="2B6B7AB7" w14:textId="77777777" w:rsidR="00211346" w:rsidRPr="005D28E6" w:rsidRDefault="00211346" w:rsidP="00D25C60">
            <w:pPr>
              <w:spacing w:after="0" w:line="240" w:lineRule="auto"/>
              <w:jc w:val="center"/>
              <w:rPr>
                <w:rFonts w:asciiTheme="minorEastAsia" w:hAnsiTheme="minorEastAsia" w:cs="Arial"/>
                <w:sz w:val="16"/>
                <w:szCs w:val="16"/>
                <w:lang w:val="en-GB"/>
              </w:rPr>
            </w:pPr>
            <w:r w:rsidRPr="005D28E6">
              <w:rPr>
                <w:rFonts w:asciiTheme="minorEastAsia" w:hAnsiTheme="minorEastAsia" w:cs="Arial"/>
                <w:sz w:val="16"/>
                <w:szCs w:val="16"/>
                <w:lang w:val="en-GB"/>
              </w:rPr>
              <w:t>Services quality</w:t>
            </w:r>
          </w:p>
        </w:tc>
      </w:tr>
      <w:tr w:rsidR="00211346" w:rsidRPr="005D28E6" w14:paraId="0BA36DA6" w14:textId="77777777" w:rsidTr="00D25C60">
        <w:trPr>
          <w:trHeight w:val="290"/>
        </w:trPr>
        <w:tc>
          <w:tcPr>
            <w:tcW w:w="5954" w:type="dxa"/>
            <w:tcBorders>
              <w:top w:val="nil"/>
              <w:left w:val="nil"/>
              <w:bottom w:val="single" w:sz="4" w:space="0" w:color="auto"/>
              <w:right w:val="nil"/>
            </w:tcBorders>
            <w:shd w:val="clear" w:color="auto" w:fill="EBDAB7"/>
            <w:noWrap/>
            <w:vAlign w:val="center"/>
            <w:hideMark/>
          </w:tcPr>
          <w:p w14:paraId="667FB6E5" w14:textId="77777777" w:rsidR="00211346" w:rsidRPr="005D28E6" w:rsidRDefault="00211346" w:rsidP="00211346">
            <w:pPr>
              <w:pStyle w:val="ListParagraph"/>
              <w:numPr>
                <w:ilvl w:val="0"/>
                <w:numId w:val="1"/>
              </w:numPr>
              <w:spacing w:after="0" w:line="240" w:lineRule="auto"/>
              <w:rPr>
                <w:rFonts w:asciiTheme="minorEastAsia" w:hAnsiTheme="minorEastAsia" w:cs="Arial"/>
                <w:sz w:val="16"/>
                <w:szCs w:val="16"/>
                <w:lang w:val="en-GB"/>
              </w:rPr>
            </w:pPr>
            <w:r w:rsidRPr="005D28E6">
              <w:rPr>
                <w:rFonts w:asciiTheme="minorEastAsia" w:hAnsiTheme="minorEastAsia" w:cs="Arial"/>
                <w:sz w:val="16"/>
                <w:szCs w:val="16"/>
                <w:lang w:val="en-GB"/>
              </w:rPr>
              <w:t>Specialistic doctors</w:t>
            </w:r>
          </w:p>
        </w:tc>
        <w:tc>
          <w:tcPr>
            <w:tcW w:w="2835" w:type="dxa"/>
            <w:vMerge/>
            <w:tcBorders>
              <w:left w:val="nil"/>
              <w:bottom w:val="single" w:sz="4" w:space="0" w:color="auto"/>
              <w:right w:val="nil"/>
            </w:tcBorders>
            <w:shd w:val="clear" w:color="auto" w:fill="EBDAB7"/>
            <w:noWrap/>
            <w:vAlign w:val="center"/>
            <w:hideMark/>
          </w:tcPr>
          <w:p w14:paraId="4C985937" w14:textId="77777777" w:rsidR="00211346" w:rsidRPr="005D28E6" w:rsidRDefault="00211346" w:rsidP="00D25C60">
            <w:pPr>
              <w:spacing w:after="0" w:line="240" w:lineRule="auto"/>
              <w:jc w:val="center"/>
              <w:rPr>
                <w:rFonts w:asciiTheme="minorEastAsia" w:hAnsiTheme="minorEastAsia" w:cs="Arial"/>
                <w:sz w:val="16"/>
                <w:szCs w:val="16"/>
                <w:lang w:val="en-GB"/>
              </w:rPr>
            </w:pPr>
          </w:p>
        </w:tc>
      </w:tr>
    </w:tbl>
    <w:p w14:paraId="17B2248B" w14:textId="77777777" w:rsidR="00211346" w:rsidRPr="00D72C9E" w:rsidRDefault="00211346" w:rsidP="00211346">
      <w:pPr>
        <w:jc w:val="both"/>
        <w:rPr>
          <w:rFonts w:asciiTheme="minorEastAsia" w:hAnsiTheme="minorEastAsia"/>
          <w:b/>
          <w:bCs/>
          <w:lang w:val="en-GB"/>
        </w:rPr>
      </w:pPr>
    </w:p>
    <w:p w14:paraId="2830948E" w14:textId="77777777" w:rsidR="00211346" w:rsidRDefault="00211346" w:rsidP="00211346">
      <w:pPr>
        <w:jc w:val="both"/>
        <w:rPr>
          <w:rFonts w:asciiTheme="minorEastAsia" w:hAnsiTheme="minorEastAsia"/>
          <w:lang w:val="en-GB"/>
        </w:rPr>
      </w:pPr>
    </w:p>
    <w:p w14:paraId="6ABFDDEE" w14:textId="77777777" w:rsidR="00211346" w:rsidRDefault="00211346" w:rsidP="00211346">
      <w:pPr>
        <w:jc w:val="both"/>
        <w:rPr>
          <w:rFonts w:asciiTheme="minorEastAsia" w:hAnsiTheme="minorEastAsia"/>
          <w:lang w:val="en-GB"/>
        </w:rPr>
      </w:pPr>
    </w:p>
    <w:p w14:paraId="5DB1E533" w14:textId="77777777" w:rsidR="00211346" w:rsidRDefault="00211346" w:rsidP="00211346">
      <w:pPr>
        <w:jc w:val="both"/>
        <w:rPr>
          <w:rFonts w:asciiTheme="minorEastAsia" w:hAnsiTheme="minorEastAsia"/>
          <w:lang w:val="en-GB"/>
        </w:rPr>
      </w:pPr>
    </w:p>
    <w:p w14:paraId="0CB2CB65" w14:textId="77777777" w:rsidR="00211346" w:rsidRDefault="00211346" w:rsidP="00211346">
      <w:pPr>
        <w:jc w:val="both"/>
        <w:rPr>
          <w:rFonts w:asciiTheme="minorEastAsia" w:hAnsiTheme="minorEastAsia"/>
          <w:lang w:val="en-GB"/>
        </w:rPr>
      </w:pPr>
    </w:p>
    <w:p w14:paraId="42318A74" w14:textId="77777777" w:rsidR="00211346" w:rsidRDefault="00211346" w:rsidP="00211346">
      <w:pPr>
        <w:jc w:val="both"/>
        <w:rPr>
          <w:rFonts w:asciiTheme="minorEastAsia" w:hAnsiTheme="minorEastAsia"/>
          <w:lang w:val="en-GB"/>
        </w:rPr>
      </w:pPr>
    </w:p>
    <w:p w14:paraId="019956CA" w14:textId="77777777" w:rsidR="00211346" w:rsidRDefault="00211346" w:rsidP="00211346">
      <w:pPr>
        <w:jc w:val="both"/>
        <w:rPr>
          <w:rFonts w:asciiTheme="minorEastAsia" w:hAnsiTheme="minorEastAsia"/>
          <w:lang w:val="en-GB"/>
        </w:rPr>
      </w:pPr>
    </w:p>
    <w:p w14:paraId="72A34445" w14:textId="77777777" w:rsidR="00211346" w:rsidRDefault="00211346" w:rsidP="00211346">
      <w:pPr>
        <w:jc w:val="both"/>
        <w:rPr>
          <w:rFonts w:asciiTheme="minorEastAsia" w:hAnsiTheme="minorEastAsia"/>
          <w:lang w:val="en-GB"/>
        </w:rPr>
      </w:pPr>
      <w:r>
        <w:rPr>
          <w:rFonts w:asciiTheme="minorEastAsia" w:hAnsiTheme="minorEastAsia"/>
          <w:lang w:val="en-GB"/>
        </w:rPr>
        <w:t xml:space="preserve">Metadata for the 16 BES basic indicators selected to implement the </w:t>
      </w:r>
      <w:r>
        <w:rPr>
          <w:rFonts w:asciiTheme="minorEastAsia" w:hAnsiTheme="minorEastAsia" w:hint="eastAsia"/>
          <w:lang w:val="en-GB"/>
        </w:rPr>
        <w:t>β</w:t>
      </w:r>
      <w:r>
        <w:rPr>
          <w:rFonts w:asciiTheme="minorEastAsia" w:hAnsiTheme="minorEastAsia"/>
          <w:lang w:val="en-GB"/>
        </w:rPr>
        <w:t>-convergence analyses</w:t>
      </w:r>
    </w:p>
    <w:p w14:paraId="7C7EF071" w14:textId="77777777" w:rsidR="00211346" w:rsidRDefault="00211346" w:rsidP="00211346">
      <w:pPr>
        <w:jc w:val="both"/>
        <w:rPr>
          <w:rFonts w:asciiTheme="minorEastAsia" w:hAnsiTheme="minorEastAsia"/>
          <w:lang w:val="en-GB"/>
        </w:rPr>
      </w:pPr>
    </w:p>
    <w:tbl>
      <w:tblPr>
        <w:tblW w:w="9074" w:type="dxa"/>
        <w:tblLayout w:type="fixed"/>
        <w:tblLook w:val="04A0" w:firstRow="1" w:lastRow="0" w:firstColumn="1" w:lastColumn="0" w:noHBand="0" w:noVBand="1"/>
      </w:tblPr>
      <w:tblGrid>
        <w:gridCol w:w="1418"/>
        <w:gridCol w:w="1417"/>
        <w:gridCol w:w="2551"/>
        <w:gridCol w:w="1559"/>
        <w:gridCol w:w="2129"/>
      </w:tblGrid>
      <w:tr w:rsidR="00211346" w:rsidRPr="005D28E6" w14:paraId="6DA6CE38" w14:textId="77777777" w:rsidTr="00D25C60">
        <w:trPr>
          <w:trHeight w:val="455"/>
        </w:trPr>
        <w:tc>
          <w:tcPr>
            <w:tcW w:w="9074" w:type="dxa"/>
            <w:gridSpan w:val="5"/>
            <w:tcBorders>
              <w:left w:val="nil"/>
              <w:bottom w:val="single" w:sz="4" w:space="0" w:color="auto"/>
              <w:right w:val="nil"/>
            </w:tcBorders>
            <w:shd w:val="clear" w:color="auto" w:fill="auto"/>
          </w:tcPr>
          <w:p w14:paraId="2CDB21A7" w14:textId="77777777" w:rsidR="00211346" w:rsidRPr="005D28E6" w:rsidRDefault="00211346" w:rsidP="00D25C60">
            <w:pPr>
              <w:spacing w:after="0" w:line="240" w:lineRule="auto"/>
              <w:rPr>
                <w:rFonts w:asciiTheme="minorEastAsia" w:hAnsiTheme="minorEastAsia" w:cs="Arial"/>
                <w:b/>
                <w:bCs/>
                <w:color w:val="000000"/>
                <w:sz w:val="16"/>
                <w:szCs w:val="16"/>
                <w:lang w:val="en-GB"/>
                <w14:ligatures w14:val="none"/>
              </w:rPr>
            </w:pPr>
            <w:r w:rsidRPr="005D28E6">
              <w:rPr>
                <w:rFonts w:asciiTheme="minorEastAsia" w:hAnsiTheme="minorEastAsia" w:cs="Arial"/>
                <w:i/>
                <w:iCs/>
                <w:sz w:val="16"/>
                <w:szCs w:val="16"/>
                <w:lang w:val="en-GB"/>
              </w:rPr>
              <w:lastRenderedPageBreak/>
              <w:t xml:space="preserve">Table A.2 – </w:t>
            </w:r>
            <w:r w:rsidRPr="005D28E6">
              <w:rPr>
                <w:rFonts w:asciiTheme="minorEastAsia" w:hAnsiTheme="minorEastAsia" w:cs="Arial"/>
                <w:sz w:val="16"/>
                <w:szCs w:val="16"/>
                <w:lang w:val="en-GB"/>
              </w:rPr>
              <w:t>Metadata.</w:t>
            </w:r>
          </w:p>
        </w:tc>
      </w:tr>
      <w:tr w:rsidR="00211346" w:rsidRPr="005D28E6" w14:paraId="1A5AD92C" w14:textId="77777777" w:rsidTr="00D25C60">
        <w:trPr>
          <w:trHeight w:val="560"/>
        </w:trPr>
        <w:tc>
          <w:tcPr>
            <w:tcW w:w="1418" w:type="dxa"/>
            <w:tcBorders>
              <w:top w:val="single" w:sz="4" w:space="0" w:color="auto"/>
              <w:left w:val="nil"/>
              <w:bottom w:val="single" w:sz="4" w:space="0" w:color="auto"/>
              <w:right w:val="nil"/>
            </w:tcBorders>
            <w:shd w:val="clear" w:color="auto" w:fill="auto"/>
            <w:vAlign w:val="center"/>
            <w:hideMark/>
          </w:tcPr>
          <w:p w14:paraId="33423048" w14:textId="77777777" w:rsidR="00211346" w:rsidRPr="005D28E6" w:rsidRDefault="00211346" w:rsidP="00D25C60">
            <w:pPr>
              <w:spacing w:after="0" w:line="240" w:lineRule="auto"/>
              <w:jc w:val="center"/>
              <w:rPr>
                <w:rFonts w:asciiTheme="minorEastAsia" w:hAnsiTheme="minorEastAsia" w:cs="Arial"/>
                <w:b/>
                <w:bCs/>
                <w:color w:val="000000"/>
                <w:sz w:val="16"/>
                <w:szCs w:val="16"/>
                <w:lang w:val="en-GB"/>
                <w14:ligatures w14:val="none"/>
              </w:rPr>
            </w:pPr>
            <w:r w:rsidRPr="005D28E6">
              <w:rPr>
                <w:rFonts w:asciiTheme="minorEastAsia" w:hAnsiTheme="minorEastAsia" w:cs="Arial"/>
                <w:b/>
                <w:bCs/>
                <w:color w:val="000000"/>
                <w:sz w:val="16"/>
                <w:szCs w:val="16"/>
                <w:lang w:val="en-GB"/>
                <w14:ligatures w14:val="none"/>
              </w:rPr>
              <w:t>Domain</w:t>
            </w:r>
          </w:p>
        </w:tc>
        <w:tc>
          <w:tcPr>
            <w:tcW w:w="1417" w:type="dxa"/>
            <w:tcBorders>
              <w:top w:val="single" w:sz="4" w:space="0" w:color="auto"/>
              <w:left w:val="nil"/>
              <w:bottom w:val="single" w:sz="4" w:space="0" w:color="auto"/>
              <w:right w:val="nil"/>
            </w:tcBorders>
            <w:shd w:val="clear" w:color="auto" w:fill="auto"/>
            <w:vAlign w:val="center"/>
            <w:hideMark/>
          </w:tcPr>
          <w:p w14:paraId="0D431067" w14:textId="77777777" w:rsidR="00211346" w:rsidRPr="005D28E6" w:rsidRDefault="00211346" w:rsidP="00D25C60">
            <w:pPr>
              <w:spacing w:after="0" w:line="240" w:lineRule="auto"/>
              <w:jc w:val="center"/>
              <w:rPr>
                <w:rFonts w:asciiTheme="minorEastAsia" w:hAnsiTheme="minorEastAsia" w:cs="Arial"/>
                <w:b/>
                <w:bCs/>
                <w:color w:val="000000"/>
                <w:sz w:val="16"/>
                <w:szCs w:val="16"/>
                <w:lang w:val="en-GB"/>
                <w14:ligatures w14:val="none"/>
              </w:rPr>
            </w:pPr>
            <w:r w:rsidRPr="005D28E6">
              <w:rPr>
                <w:rFonts w:asciiTheme="minorEastAsia" w:hAnsiTheme="minorEastAsia" w:cs="Arial"/>
                <w:b/>
                <w:bCs/>
                <w:color w:val="000000"/>
                <w:sz w:val="16"/>
                <w:szCs w:val="16"/>
                <w:lang w:val="en-GB"/>
                <w14:ligatures w14:val="none"/>
              </w:rPr>
              <w:t>Indicator</w:t>
            </w:r>
          </w:p>
        </w:tc>
        <w:tc>
          <w:tcPr>
            <w:tcW w:w="2551" w:type="dxa"/>
            <w:tcBorders>
              <w:top w:val="single" w:sz="4" w:space="0" w:color="auto"/>
              <w:left w:val="nil"/>
              <w:bottom w:val="single" w:sz="4" w:space="0" w:color="auto"/>
              <w:right w:val="nil"/>
            </w:tcBorders>
            <w:shd w:val="clear" w:color="auto" w:fill="auto"/>
            <w:vAlign w:val="center"/>
            <w:hideMark/>
          </w:tcPr>
          <w:p w14:paraId="60D8F584" w14:textId="77777777" w:rsidR="00211346" w:rsidRPr="005D28E6" w:rsidRDefault="00211346" w:rsidP="00D25C60">
            <w:pPr>
              <w:spacing w:after="0" w:line="240" w:lineRule="auto"/>
              <w:jc w:val="center"/>
              <w:rPr>
                <w:rFonts w:asciiTheme="minorEastAsia" w:hAnsiTheme="minorEastAsia" w:cs="Arial"/>
                <w:b/>
                <w:bCs/>
                <w:color w:val="000000"/>
                <w:sz w:val="16"/>
                <w:szCs w:val="16"/>
                <w:lang w:val="en-GB"/>
                <w14:ligatures w14:val="none"/>
              </w:rPr>
            </w:pPr>
            <w:r w:rsidRPr="005D28E6">
              <w:rPr>
                <w:rFonts w:asciiTheme="minorEastAsia" w:hAnsiTheme="minorEastAsia" w:cs="Arial"/>
                <w:b/>
                <w:bCs/>
                <w:color w:val="000000"/>
                <w:sz w:val="16"/>
                <w:szCs w:val="16"/>
                <w:lang w:val="en-GB"/>
                <w14:ligatures w14:val="none"/>
              </w:rPr>
              <w:t>Definition</w:t>
            </w:r>
          </w:p>
        </w:tc>
        <w:tc>
          <w:tcPr>
            <w:tcW w:w="1559" w:type="dxa"/>
            <w:tcBorders>
              <w:top w:val="single" w:sz="4" w:space="0" w:color="auto"/>
              <w:left w:val="nil"/>
              <w:bottom w:val="single" w:sz="4" w:space="0" w:color="auto"/>
              <w:right w:val="nil"/>
            </w:tcBorders>
            <w:shd w:val="clear" w:color="auto" w:fill="auto"/>
            <w:vAlign w:val="center"/>
            <w:hideMark/>
          </w:tcPr>
          <w:p w14:paraId="7E4FA855" w14:textId="77777777" w:rsidR="00211346" w:rsidRPr="005D28E6" w:rsidRDefault="00211346" w:rsidP="00D25C60">
            <w:pPr>
              <w:spacing w:after="0" w:line="240" w:lineRule="auto"/>
              <w:jc w:val="center"/>
              <w:rPr>
                <w:rFonts w:asciiTheme="minorEastAsia" w:hAnsiTheme="minorEastAsia" w:cs="Arial"/>
                <w:b/>
                <w:bCs/>
                <w:color w:val="000000"/>
                <w:sz w:val="16"/>
                <w:szCs w:val="16"/>
                <w:lang w:val="en-GB"/>
                <w14:ligatures w14:val="none"/>
              </w:rPr>
            </w:pPr>
            <w:r w:rsidRPr="005D28E6">
              <w:rPr>
                <w:rFonts w:asciiTheme="minorEastAsia" w:hAnsiTheme="minorEastAsia" w:cs="Arial"/>
                <w:b/>
                <w:bCs/>
                <w:color w:val="000000"/>
                <w:sz w:val="16"/>
                <w:szCs w:val="16"/>
                <w:lang w:val="en-GB"/>
                <w14:ligatures w14:val="none"/>
              </w:rPr>
              <w:t>Unit of Measure</w:t>
            </w:r>
          </w:p>
        </w:tc>
        <w:tc>
          <w:tcPr>
            <w:tcW w:w="2129" w:type="dxa"/>
            <w:tcBorders>
              <w:top w:val="single" w:sz="4" w:space="0" w:color="auto"/>
              <w:left w:val="nil"/>
              <w:bottom w:val="single" w:sz="4" w:space="0" w:color="auto"/>
              <w:right w:val="nil"/>
            </w:tcBorders>
            <w:shd w:val="clear" w:color="auto" w:fill="auto"/>
            <w:vAlign w:val="center"/>
            <w:hideMark/>
          </w:tcPr>
          <w:p w14:paraId="50F9CDD9" w14:textId="77777777" w:rsidR="00211346" w:rsidRPr="005D28E6" w:rsidRDefault="00211346" w:rsidP="00D25C60">
            <w:pPr>
              <w:spacing w:after="0" w:line="240" w:lineRule="auto"/>
              <w:jc w:val="center"/>
              <w:rPr>
                <w:rFonts w:asciiTheme="minorEastAsia" w:hAnsiTheme="minorEastAsia" w:cs="Arial"/>
                <w:b/>
                <w:bCs/>
                <w:color w:val="000000"/>
                <w:sz w:val="16"/>
                <w:szCs w:val="16"/>
                <w:lang w:val="en-GB"/>
                <w14:ligatures w14:val="none"/>
              </w:rPr>
            </w:pPr>
            <w:r w:rsidRPr="005D28E6">
              <w:rPr>
                <w:rFonts w:asciiTheme="minorEastAsia" w:hAnsiTheme="minorEastAsia" w:cs="Arial"/>
                <w:b/>
                <w:bCs/>
                <w:color w:val="000000"/>
                <w:sz w:val="16"/>
                <w:szCs w:val="16"/>
                <w:lang w:val="en-GB"/>
                <w14:ligatures w14:val="none"/>
              </w:rPr>
              <w:t>Source</w:t>
            </w:r>
          </w:p>
        </w:tc>
      </w:tr>
      <w:tr w:rsidR="00211346" w:rsidRPr="005D28E6" w14:paraId="47E8DB22" w14:textId="77777777" w:rsidTr="00D25C60">
        <w:trPr>
          <w:trHeight w:val="1120"/>
        </w:trPr>
        <w:tc>
          <w:tcPr>
            <w:tcW w:w="1418" w:type="dxa"/>
            <w:vMerge w:val="restart"/>
            <w:tcBorders>
              <w:top w:val="single" w:sz="4" w:space="0" w:color="auto"/>
              <w:left w:val="nil"/>
              <w:bottom w:val="single" w:sz="4" w:space="0" w:color="auto"/>
              <w:right w:val="nil"/>
            </w:tcBorders>
            <w:shd w:val="clear" w:color="auto" w:fill="auto"/>
            <w:vAlign w:val="center"/>
          </w:tcPr>
          <w:p w14:paraId="2A4A3092"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Health</w:t>
            </w:r>
          </w:p>
        </w:tc>
        <w:tc>
          <w:tcPr>
            <w:tcW w:w="1417" w:type="dxa"/>
            <w:tcBorders>
              <w:top w:val="nil"/>
              <w:left w:val="nil"/>
              <w:bottom w:val="nil"/>
              <w:right w:val="nil"/>
            </w:tcBorders>
            <w:shd w:val="clear" w:color="auto" w:fill="auto"/>
            <w:vAlign w:val="center"/>
          </w:tcPr>
          <w:p w14:paraId="7B3624BB"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Infant mortality</w:t>
            </w:r>
          </w:p>
        </w:tc>
        <w:tc>
          <w:tcPr>
            <w:tcW w:w="2551" w:type="dxa"/>
            <w:tcBorders>
              <w:top w:val="nil"/>
              <w:left w:val="nil"/>
              <w:bottom w:val="nil"/>
              <w:right w:val="nil"/>
            </w:tcBorders>
            <w:shd w:val="clear" w:color="auto" w:fill="auto"/>
            <w:vAlign w:val="center"/>
          </w:tcPr>
          <w:p w14:paraId="672C1603"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14:ligatures w14:val="none"/>
              </w:rPr>
              <w:t>Deaths under one year of age per 1,000 live births</w:t>
            </w:r>
          </w:p>
        </w:tc>
        <w:tc>
          <w:tcPr>
            <w:tcW w:w="1559" w:type="dxa"/>
            <w:tcBorders>
              <w:top w:val="nil"/>
              <w:left w:val="nil"/>
              <w:bottom w:val="nil"/>
              <w:right w:val="nil"/>
            </w:tcBorders>
            <w:shd w:val="clear" w:color="auto" w:fill="auto"/>
            <w:vAlign w:val="center"/>
          </w:tcPr>
          <w:p w14:paraId="21556980"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Per 1,000 live births</w:t>
            </w:r>
          </w:p>
        </w:tc>
        <w:tc>
          <w:tcPr>
            <w:tcW w:w="2129" w:type="dxa"/>
            <w:tcBorders>
              <w:top w:val="nil"/>
              <w:left w:val="nil"/>
              <w:bottom w:val="nil"/>
              <w:right w:val="nil"/>
            </w:tcBorders>
            <w:shd w:val="clear" w:color="auto" w:fill="auto"/>
            <w:vAlign w:val="center"/>
          </w:tcPr>
          <w:p w14:paraId="64BD295E"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Istat (</w:t>
            </w:r>
            <w:r w:rsidRPr="005D28E6">
              <w:rPr>
                <w:rFonts w:asciiTheme="minorEastAsia" w:hAnsiTheme="minorEastAsia" w:cs="Arial"/>
                <w:color w:val="000000"/>
                <w:sz w:val="16"/>
                <w:szCs w:val="16"/>
                <w14:ligatures w14:val="none"/>
              </w:rPr>
              <w:t>For deaths: Survey of deaths and causes of death; For live births: Annual recording of vital events and calculation of the resident population)</w:t>
            </w:r>
          </w:p>
        </w:tc>
      </w:tr>
      <w:tr w:rsidR="00211346" w:rsidRPr="005D28E6" w14:paraId="0EB3F19F" w14:textId="77777777" w:rsidTr="00D25C60">
        <w:trPr>
          <w:trHeight w:val="1120"/>
        </w:trPr>
        <w:tc>
          <w:tcPr>
            <w:tcW w:w="1418" w:type="dxa"/>
            <w:vMerge/>
            <w:tcBorders>
              <w:left w:val="nil"/>
              <w:bottom w:val="single" w:sz="4" w:space="0" w:color="auto"/>
              <w:right w:val="nil"/>
            </w:tcBorders>
            <w:shd w:val="clear" w:color="auto" w:fill="auto"/>
            <w:vAlign w:val="center"/>
          </w:tcPr>
          <w:p w14:paraId="4B2B74FA"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p>
        </w:tc>
        <w:tc>
          <w:tcPr>
            <w:tcW w:w="1417" w:type="dxa"/>
            <w:tcBorders>
              <w:top w:val="nil"/>
              <w:left w:val="nil"/>
              <w:bottom w:val="nil"/>
              <w:right w:val="nil"/>
            </w:tcBorders>
            <w:shd w:val="clear" w:color="auto" w:fill="auto"/>
            <w:vAlign w:val="center"/>
          </w:tcPr>
          <w:p w14:paraId="5D337B8D"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sz w:val="16"/>
                <w:szCs w:val="16"/>
              </w:rPr>
              <w:t>Mortality from road accidents (ages 15–34)</w:t>
            </w:r>
          </w:p>
        </w:tc>
        <w:tc>
          <w:tcPr>
            <w:tcW w:w="2551" w:type="dxa"/>
            <w:tcBorders>
              <w:top w:val="nil"/>
              <w:left w:val="nil"/>
              <w:bottom w:val="nil"/>
              <w:right w:val="nil"/>
            </w:tcBorders>
            <w:shd w:val="clear" w:color="auto" w:fill="auto"/>
            <w:vAlign w:val="center"/>
          </w:tcPr>
          <w:p w14:paraId="1B17BD2C"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14:ligatures w14:val="none"/>
              </w:rPr>
              <w:t>Age-standardized mortality rate for road traffic accidents (ages 15</w:t>
            </w:r>
            <w:r w:rsidRPr="005D28E6">
              <w:rPr>
                <w:rFonts w:asciiTheme="minorEastAsia" w:hAnsiTheme="minorEastAsia" w:cs="Arial" w:hint="eastAsia"/>
                <w:color w:val="000000"/>
                <w:sz w:val="16"/>
                <w:szCs w:val="16"/>
                <w14:ligatures w14:val="none"/>
              </w:rPr>
              <w:t>–</w:t>
            </w:r>
            <w:r w:rsidRPr="005D28E6">
              <w:rPr>
                <w:rFonts w:asciiTheme="minorEastAsia" w:hAnsiTheme="minorEastAsia" w:cs="Arial"/>
                <w:color w:val="000000"/>
                <w:sz w:val="16"/>
                <w:szCs w:val="16"/>
                <w14:ligatures w14:val="none"/>
              </w:rPr>
              <w:t>34), standardized to the 2013 European population, per 10,000 residents</w:t>
            </w:r>
          </w:p>
        </w:tc>
        <w:tc>
          <w:tcPr>
            <w:tcW w:w="1559" w:type="dxa"/>
            <w:tcBorders>
              <w:top w:val="nil"/>
              <w:left w:val="nil"/>
              <w:bottom w:val="nil"/>
              <w:right w:val="nil"/>
            </w:tcBorders>
            <w:shd w:val="clear" w:color="auto" w:fill="auto"/>
            <w:vAlign w:val="center"/>
          </w:tcPr>
          <w:p w14:paraId="78C0F881"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Standardized rates per 10,000 residents</w:t>
            </w:r>
          </w:p>
        </w:tc>
        <w:tc>
          <w:tcPr>
            <w:tcW w:w="2129" w:type="dxa"/>
            <w:tcBorders>
              <w:top w:val="nil"/>
              <w:left w:val="nil"/>
              <w:bottom w:val="nil"/>
              <w:right w:val="nil"/>
            </w:tcBorders>
            <w:shd w:val="clear" w:color="auto" w:fill="auto"/>
            <w:vAlign w:val="center"/>
          </w:tcPr>
          <w:p w14:paraId="1E0A5D8F"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Istat (</w:t>
            </w:r>
            <w:r w:rsidRPr="005D28E6">
              <w:rPr>
                <w:rFonts w:asciiTheme="minorEastAsia" w:hAnsiTheme="minorEastAsia" w:cs="Arial"/>
                <w:color w:val="000000"/>
                <w:sz w:val="16"/>
                <w:szCs w:val="16"/>
                <w14:ligatures w14:val="none"/>
              </w:rPr>
              <w:t>For mortality data: Survey of road traffic accidents involving personal injuries; For population data: Survey of the municipal resident population by sex, year of birth, and marital status)</w:t>
            </w:r>
          </w:p>
        </w:tc>
      </w:tr>
      <w:tr w:rsidR="00211346" w:rsidRPr="005D28E6" w14:paraId="18468BB9" w14:textId="77777777" w:rsidTr="00D25C60">
        <w:trPr>
          <w:trHeight w:val="1120"/>
        </w:trPr>
        <w:tc>
          <w:tcPr>
            <w:tcW w:w="1418" w:type="dxa"/>
            <w:vMerge/>
            <w:tcBorders>
              <w:left w:val="nil"/>
              <w:bottom w:val="single" w:sz="4" w:space="0" w:color="auto"/>
              <w:right w:val="nil"/>
            </w:tcBorders>
            <w:shd w:val="clear" w:color="auto" w:fill="auto"/>
            <w:vAlign w:val="center"/>
            <w:hideMark/>
          </w:tcPr>
          <w:p w14:paraId="28491CDB"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p>
        </w:tc>
        <w:tc>
          <w:tcPr>
            <w:tcW w:w="1417" w:type="dxa"/>
            <w:tcBorders>
              <w:top w:val="nil"/>
              <w:left w:val="nil"/>
              <w:right w:val="nil"/>
            </w:tcBorders>
            <w:shd w:val="clear" w:color="auto" w:fill="auto"/>
            <w:vAlign w:val="center"/>
            <w:hideMark/>
          </w:tcPr>
          <w:p w14:paraId="17E4CAF6"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Mortality from cancer(ages 20</w:t>
            </w:r>
            <w:r w:rsidRPr="005D28E6">
              <w:rPr>
                <w:rFonts w:asciiTheme="minorEastAsia" w:hAnsiTheme="minorEastAsia" w:cs="Arial" w:hint="eastAsia"/>
                <w:color w:val="000000"/>
                <w:sz w:val="16"/>
                <w:szCs w:val="16"/>
                <w:lang w:val="en-GB"/>
                <w14:ligatures w14:val="none"/>
              </w:rPr>
              <w:t>–</w:t>
            </w:r>
            <w:r w:rsidRPr="005D28E6">
              <w:rPr>
                <w:rFonts w:asciiTheme="minorEastAsia" w:hAnsiTheme="minorEastAsia" w:cs="Arial"/>
                <w:color w:val="000000"/>
                <w:sz w:val="16"/>
                <w:szCs w:val="16"/>
                <w:lang w:val="en-GB"/>
                <w14:ligatures w14:val="none"/>
              </w:rPr>
              <w:t>64)</w:t>
            </w:r>
          </w:p>
        </w:tc>
        <w:tc>
          <w:tcPr>
            <w:tcW w:w="2551" w:type="dxa"/>
            <w:tcBorders>
              <w:top w:val="nil"/>
              <w:left w:val="nil"/>
              <w:right w:val="nil"/>
            </w:tcBorders>
            <w:shd w:val="clear" w:color="auto" w:fill="auto"/>
            <w:vAlign w:val="center"/>
            <w:hideMark/>
          </w:tcPr>
          <w:p w14:paraId="3F4B0B32"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Standardized cancer mortality rates (initial cause) using the 2013 European standard population, for individuals aged 20</w:t>
            </w:r>
            <w:r w:rsidRPr="005D28E6">
              <w:rPr>
                <w:rFonts w:asciiTheme="minorEastAsia" w:hAnsiTheme="minorEastAsia" w:cs="Arial" w:hint="eastAsia"/>
                <w:color w:val="000000"/>
                <w:sz w:val="16"/>
                <w:szCs w:val="16"/>
                <w:lang w:val="en-GB"/>
                <w14:ligatures w14:val="none"/>
              </w:rPr>
              <w:t>–</w:t>
            </w:r>
            <w:r w:rsidRPr="005D28E6">
              <w:rPr>
                <w:rFonts w:asciiTheme="minorEastAsia" w:hAnsiTheme="minorEastAsia" w:cs="Arial"/>
                <w:color w:val="000000"/>
                <w:sz w:val="16"/>
                <w:szCs w:val="16"/>
                <w:lang w:val="en-GB"/>
                <w14:ligatures w14:val="none"/>
              </w:rPr>
              <w:t>64, per 10,000 residents</w:t>
            </w:r>
          </w:p>
        </w:tc>
        <w:tc>
          <w:tcPr>
            <w:tcW w:w="1559" w:type="dxa"/>
            <w:tcBorders>
              <w:top w:val="nil"/>
              <w:left w:val="nil"/>
              <w:right w:val="nil"/>
            </w:tcBorders>
            <w:shd w:val="clear" w:color="auto" w:fill="auto"/>
            <w:vAlign w:val="center"/>
            <w:hideMark/>
          </w:tcPr>
          <w:p w14:paraId="3CF9501C"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Standardized rates per 10,000 residents</w:t>
            </w:r>
          </w:p>
        </w:tc>
        <w:tc>
          <w:tcPr>
            <w:tcW w:w="2129" w:type="dxa"/>
            <w:tcBorders>
              <w:top w:val="nil"/>
              <w:left w:val="nil"/>
              <w:right w:val="nil"/>
            </w:tcBorders>
            <w:shd w:val="clear" w:color="auto" w:fill="auto"/>
            <w:vAlign w:val="center"/>
            <w:hideMark/>
          </w:tcPr>
          <w:p w14:paraId="43831EEF"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Istat (Causes of Death and Resident Population Surveys)</w:t>
            </w:r>
          </w:p>
        </w:tc>
      </w:tr>
      <w:tr w:rsidR="00211346" w:rsidRPr="005D28E6" w14:paraId="4539BEA7" w14:textId="77777777" w:rsidTr="00D25C60">
        <w:trPr>
          <w:trHeight w:val="1120"/>
        </w:trPr>
        <w:tc>
          <w:tcPr>
            <w:tcW w:w="1418" w:type="dxa"/>
            <w:vMerge/>
            <w:tcBorders>
              <w:left w:val="nil"/>
              <w:bottom w:val="single" w:sz="4" w:space="0" w:color="auto"/>
              <w:right w:val="nil"/>
            </w:tcBorders>
            <w:shd w:val="clear" w:color="auto" w:fill="auto"/>
            <w:vAlign w:val="center"/>
          </w:tcPr>
          <w:p w14:paraId="656AE3F7"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p>
        </w:tc>
        <w:tc>
          <w:tcPr>
            <w:tcW w:w="1417" w:type="dxa"/>
            <w:tcBorders>
              <w:top w:val="nil"/>
              <w:left w:val="nil"/>
              <w:bottom w:val="single" w:sz="4" w:space="0" w:color="auto"/>
              <w:right w:val="nil"/>
            </w:tcBorders>
            <w:shd w:val="clear" w:color="auto" w:fill="auto"/>
            <w:vAlign w:val="center"/>
          </w:tcPr>
          <w:p w14:paraId="50B85791"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sz w:val="16"/>
                <w:szCs w:val="16"/>
              </w:rPr>
              <w:t>Mortality from dementia and nervous system diseases (ages 65 and over)</w:t>
            </w:r>
          </w:p>
        </w:tc>
        <w:tc>
          <w:tcPr>
            <w:tcW w:w="2551" w:type="dxa"/>
            <w:tcBorders>
              <w:top w:val="nil"/>
              <w:left w:val="nil"/>
              <w:bottom w:val="single" w:sz="4" w:space="0" w:color="auto"/>
              <w:right w:val="nil"/>
            </w:tcBorders>
            <w:shd w:val="clear" w:color="auto" w:fill="auto"/>
            <w:vAlign w:val="center"/>
          </w:tcPr>
          <w:p w14:paraId="4B04318A"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14:ligatures w14:val="none"/>
              </w:rPr>
              <w:t>Mortality rates for diseases of the nervous system and mental and behavioral disorders (underlying cause), age-standardized to the 2013 European population for the 65 years and over age group, per 10,000 residents</w:t>
            </w:r>
          </w:p>
        </w:tc>
        <w:tc>
          <w:tcPr>
            <w:tcW w:w="1559" w:type="dxa"/>
            <w:tcBorders>
              <w:top w:val="nil"/>
              <w:left w:val="nil"/>
              <w:bottom w:val="single" w:sz="4" w:space="0" w:color="auto"/>
              <w:right w:val="nil"/>
            </w:tcBorders>
            <w:shd w:val="clear" w:color="auto" w:fill="auto"/>
            <w:vAlign w:val="center"/>
          </w:tcPr>
          <w:p w14:paraId="7AED4921"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Standardized rates per 10,000 residents</w:t>
            </w:r>
          </w:p>
        </w:tc>
        <w:tc>
          <w:tcPr>
            <w:tcW w:w="2129" w:type="dxa"/>
            <w:tcBorders>
              <w:top w:val="nil"/>
              <w:left w:val="nil"/>
              <w:bottom w:val="single" w:sz="4" w:space="0" w:color="auto"/>
              <w:right w:val="nil"/>
            </w:tcBorders>
            <w:shd w:val="clear" w:color="auto" w:fill="auto"/>
            <w:vAlign w:val="center"/>
          </w:tcPr>
          <w:p w14:paraId="7C1B7A8F"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14:ligatures w14:val="none"/>
              </w:rPr>
              <w:t>Istat( For deaths: ISTAT, Deaths and Causes of Death Survey; For population: ISTAT, Municipal Resident Population Survey)</w:t>
            </w:r>
          </w:p>
        </w:tc>
      </w:tr>
      <w:tr w:rsidR="00211346" w:rsidRPr="00622582" w14:paraId="6DA0BBDE" w14:textId="77777777" w:rsidTr="00D25C60">
        <w:trPr>
          <w:trHeight w:val="1120"/>
        </w:trPr>
        <w:tc>
          <w:tcPr>
            <w:tcW w:w="1418" w:type="dxa"/>
            <w:tcBorders>
              <w:top w:val="single" w:sz="4" w:space="0" w:color="auto"/>
              <w:left w:val="nil"/>
              <w:bottom w:val="single" w:sz="4" w:space="0" w:color="auto"/>
              <w:right w:val="nil"/>
            </w:tcBorders>
            <w:shd w:val="clear" w:color="auto" w:fill="auto"/>
            <w:vAlign w:val="center"/>
            <w:hideMark/>
          </w:tcPr>
          <w:p w14:paraId="5353EC80"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Education and training</w:t>
            </w:r>
          </w:p>
        </w:tc>
        <w:tc>
          <w:tcPr>
            <w:tcW w:w="1417" w:type="dxa"/>
            <w:tcBorders>
              <w:top w:val="single" w:sz="4" w:space="0" w:color="auto"/>
              <w:left w:val="nil"/>
              <w:bottom w:val="single" w:sz="4" w:space="0" w:color="auto"/>
              <w:right w:val="nil"/>
            </w:tcBorders>
            <w:shd w:val="clear" w:color="auto" w:fill="auto"/>
            <w:vAlign w:val="center"/>
            <w:hideMark/>
          </w:tcPr>
          <w:p w14:paraId="55A4D08D"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sz w:val="16"/>
                <w:szCs w:val="16"/>
                <w:lang w:val="en-GB"/>
              </w:rPr>
              <w:t>Children benefiting from municipal early childhood services</w:t>
            </w:r>
          </w:p>
        </w:tc>
        <w:tc>
          <w:tcPr>
            <w:tcW w:w="2551" w:type="dxa"/>
            <w:tcBorders>
              <w:top w:val="single" w:sz="4" w:space="0" w:color="auto"/>
              <w:left w:val="nil"/>
              <w:bottom w:val="single" w:sz="4" w:space="0" w:color="auto"/>
              <w:right w:val="nil"/>
            </w:tcBorders>
            <w:shd w:val="clear" w:color="auto" w:fill="auto"/>
            <w:vAlign w:val="center"/>
            <w:hideMark/>
          </w:tcPr>
          <w:p w14:paraId="2EE19A33"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Percentage of children aged 0</w:t>
            </w:r>
            <w:r w:rsidRPr="005D28E6">
              <w:rPr>
                <w:rFonts w:asciiTheme="minorEastAsia" w:hAnsiTheme="minorEastAsia" w:cs="Arial" w:hint="eastAsia"/>
                <w:color w:val="000000"/>
                <w:sz w:val="16"/>
                <w:szCs w:val="16"/>
                <w:lang w:val="en-GB"/>
                <w14:ligatures w14:val="none"/>
              </w:rPr>
              <w:t>–</w:t>
            </w:r>
            <w:r w:rsidRPr="005D28E6">
              <w:rPr>
                <w:rFonts w:asciiTheme="minorEastAsia" w:hAnsiTheme="minorEastAsia" w:cs="Arial"/>
                <w:color w:val="000000"/>
                <w:sz w:val="16"/>
                <w:szCs w:val="16"/>
                <w:lang w:val="en-GB"/>
                <w14:ligatures w14:val="none"/>
              </w:rPr>
              <w:t>2 using early childhood services provided by public or contracted private facilities funded by municipalities</w:t>
            </w:r>
          </w:p>
        </w:tc>
        <w:tc>
          <w:tcPr>
            <w:tcW w:w="1559" w:type="dxa"/>
            <w:tcBorders>
              <w:top w:val="single" w:sz="4" w:space="0" w:color="auto"/>
              <w:left w:val="nil"/>
              <w:bottom w:val="single" w:sz="4" w:space="0" w:color="auto"/>
              <w:right w:val="nil"/>
            </w:tcBorders>
            <w:shd w:val="clear" w:color="auto" w:fill="auto"/>
            <w:vAlign w:val="center"/>
            <w:hideMark/>
          </w:tcPr>
          <w:p w14:paraId="1FE55C5D"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Percentage values</w:t>
            </w:r>
          </w:p>
        </w:tc>
        <w:tc>
          <w:tcPr>
            <w:tcW w:w="2129" w:type="dxa"/>
            <w:tcBorders>
              <w:top w:val="single" w:sz="4" w:space="0" w:color="auto"/>
              <w:left w:val="nil"/>
              <w:bottom w:val="single" w:sz="4" w:space="0" w:color="auto"/>
              <w:right w:val="nil"/>
            </w:tcBorders>
            <w:shd w:val="clear" w:color="auto" w:fill="auto"/>
            <w:vAlign w:val="center"/>
            <w:hideMark/>
          </w:tcPr>
          <w:p w14:paraId="3D151A5A" w14:textId="77777777" w:rsidR="00211346" w:rsidRPr="005D28E6" w:rsidRDefault="00211346" w:rsidP="00D25C60">
            <w:pPr>
              <w:spacing w:after="0" w:line="240" w:lineRule="auto"/>
              <w:rPr>
                <w:rFonts w:asciiTheme="minorEastAsia" w:hAnsiTheme="minorEastAsia" w:cs="Arial"/>
                <w:color w:val="000000"/>
                <w:sz w:val="16"/>
                <w:szCs w:val="16"/>
                <w:lang w:val="fr-CA"/>
                <w14:ligatures w14:val="none"/>
              </w:rPr>
            </w:pPr>
            <w:r w:rsidRPr="005D28E6">
              <w:rPr>
                <w:rFonts w:asciiTheme="minorEastAsia" w:hAnsiTheme="minorEastAsia" w:cs="Arial"/>
                <w:color w:val="000000"/>
                <w:sz w:val="16"/>
                <w:szCs w:val="16"/>
                <w:lang w:val="fr-CA"/>
                <w14:ligatures w14:val="none"/>
              </w:rPr>
              <w:t>Istat (Municipal Social Services Survey)</w:t>
            </w:r>
          </w:p>
        </w:tc>
      </w:tr>
      <w:tr w:rsidR="00211346" w:rsidRPr="005D28E6" w14:paraId="2490EAE4" w14:textId="77777777" w:rsidTr="00D25C60">
        <w:trPr>
          <w:trHeight w:val="560"/>
        </w:trPr>
        <w:tc>
          <w:tcPr>
            <w:tcW w:w="1418" w:type="dxa"/>
            <w:vMerge w:val="restart"/>
            <w:tcBorders>
              <w:top w:val="single" w:sz="4" w:space="0" w:color="auto"/>
              <w:left w:val="nil"/>
              <w:bottom w:val="single" w:sz="4" w:space="0" w:color="auto"/>
              <w:right w:val="nil"/>
            </w:tcBorders>
            <w:shd w:val="clear" w:color="auto" w:fill="auto"/>
            <w:vAlign w:val="center"/>
            <w:hideMark/>
          </w:tcPr>
          <w:p w14:paraId="4A54374C"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Politics and institutions</w:t>
            </w:r>
          </w:p>
        </w:tc>
        <w:tc>
          <w:tcPr>
            <w:tcW w:w="1417" w:type="dxa"/>
            <w:tcBorders>
              <w:top w:val="single" w:sz="4" w:space="0" w:color="auto"/>
              <w:left w:val="nil"/>
              <w:right w:val="nil"/>
            </w:tcBorders>
            <w:shd w:val="clear" w:color="auto" w:fill="auto"/>
            <w:vAlign w:val="center"/>
            <w:hideMark/>
          </w:tcPr>
          <w:p w14:paraId="1BDA3DFF"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Municipal administrators under 40</w:t>
            </w:r>
          </w:p>
        </w:tc>
        <w:tc>
          <w:tcPr>
            <w:tcW w:w="2551" w:type="dxa"/>
            <w:tcBorders>
              <w:top w:val="single" w:sz="4" w:space="0" w:color="auto"/>
              <w:left w:val="nil"/>
              <w:right w:val="nil"/>
            </w:tcBorders>
            <w:shd w:val="clear" w:color="auto" w:fill="auto"/>
            <w:vAlign w:val="center"/>
            <w:hideMark/>
          </w:tcPr>
          <w:p w14:paraId="1E891BE2"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Percentage of elected municipal officials under the age of 40</w:t>
            </w:r>
          </w:p>
        </w:tc>
        <w:tc>
          <w:tcPr>
            <w:tcW w:w="1559" w:type="dxa"/>
            <w:tcBorders>
              <w:top w:val="single" w:sz="4" w:space="0" w:color="auto"/>
              <w:left w:val="nil"/>
              <w:right w:val="nil"/>
            </w:tcBorders>
            <w:shd w:val="clear" w:color="auto" w:fill="auto"/>
            <w:vAlign w:val="center"/>
            <w:hideMark/>
          </w:tcPr>
          <w:p w14:paraId="0CFF6214"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Percentage values</w:t>
            </w:r>
          </w:p>
        </w:tc>
        <w:tc>
          <w:tcPr>
            <w:tcW w:w="2129" w:type="dxa"/>
            <w:tcBorders>
              <w:top w:val="single" w:sz="4" w:space="0" w:color="auto"/>
              <w:left w:val="nil"/>
              <w:right w:val="nil"/>
            </w:tcBorders>
            <w:shd w:val="clear" w:color="auto" w:fill="auto"/>
            <w:vAlign w:val="center"/>
            <w:hideMark/>
          </w:tcPr>
          <w:p w14:paraId="3C625CDA"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Istat (Ministry of Interior Data)</w:t>
            </w:r>
          </w:p>
        </w:tc>
      </w:tr>
      <w:tr w:rsidR="00211346" w:rsidRPr="005D28E6" w14:paraId="7AD95575" w14:textId="77777777" w:rsidTr="00D25C60">
        <w:trPr>
          <w:trHeight w:val="840"/>
        </w:trPr>
        <w:tc>
          <w:tcPr>
            <w:tcW w:w="1418" w:type="dxa"/>
            <w:vMerge/>
            <w:tcBorders>
              <w:left w:val="nil"/>
              <w:bottom w:val="single" w:sz="4" w:space="0" w:color="auto"/>
              <w:right w:val="nil"/>
            </w:tcBorders>
            <w:shd w:val="clear" w:color="auto" w:fill="auto"/>
            <w:vAlign w:val="center"/>
            <w:hideMark/>
          </w:tcPr>
          <w:p w14:paraId="6690028B"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p>
        </w:tc>
        <w:tc>
          <w:tcPr>
            <w:tcW w:w="1417" w:type="dxa"/>
            <w:tcBorders>
              <w:top w:val="nil"/>
              <w:left w:val="nil"/>
              <w:bottom w:val="single" w:sz="4" w:space="0" w:color="auto"/>
              <w:right w:val="nil"/>
            </w:tcBorders>
            <w:shd w:val="clear" w:color="auto" w:fill="auto"/>
            <w:vAlign w:val="center"/>
            <w:hideMark/>
          </w:tcPr>
          <w:p w14:paraId="3DBE86E8"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Municipalities</w:t>
            </w:r>
            <w:r w:rsidRPr="005D28E6">
              <w:rPr>
                <w:rFonts w:asciiTheme="minorEastAsia" w:hAnsiTheme="minorEastAsia" w:cs="Arial" w:hint="eastAsia"/>
                <w:color w:val="000000"/>
                <w:sz w:val="16"/>
                <w:szCs w:val="16"/>
                <w:lang w:val="en-GB"/>
                <w14:ligatures w14:val="none"/>
              </w:rPr>
              <w:t>’</w:t>
            </w:r>
            <w:r w:rsidRPr="005D28E6">
              <w:rPr>
                <w:rFonts w:asciiTheme="minorEastAsia" w:hAnsiTheme="minorEastAsia" w:cs="Arial"/>
                <w:color w:val="000000"/>
                <w:sz w:val="16"/>
                <w:szCs w:val="16"/>
                <w:lang w:val="en-GB"/>
                <w14:ligatures w14:val="none"/>
              </w:rPr>
              <w:t xml:space="preserve"> revenue collection capacity</w:t>
            </w:r>
          </w:p>
        </w:tc>
        <w:tc>
          <w:tcPr>
            <w:tcW w:w="2551" w:type="dxa"/>
            <w:tcBorders>
              <w:top w:val="nil"/>
              <w:left w:val="nil"/>
              <w:bottom w:val="single" w:sz="4" w:space="0" w:color="auto"/>
              <w:right w:val="nil"/>
            </w:tcBorders>
            <w:shd w:val="clear" w:color="auto" w:fill="auto"/>
            <w:vAlign w:val="center"/>
            <w:hideMark/>
          </w:tcPr>
          <w:p w14:paraId="514A4826"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Percentage ratio between collected revenues and certified revenues</w:t>
            </w:r>
          </w:p>
        </w:tc>
        <w:tc>
          <w:tcPr>
            <w:tcW w:w="1559" w:type="dxa"/>
            <w:tcBorders>
              <w:top w:val="nil"/>
              <w:left w:val="nil"/>
              <w:bottom w:val="single" w:sz="4" w:space="0" w:color="auto"/>
              <w:right w:val="nil"/>
            </w:tcBorders>
            <w:shd w:val="clear" w:color="auto" w:fill="auto"/>
            <w:vAlign w:val="center"/>
            <w:hideMark/>
          </w:tcPr>
          <w:p w14:paraId="29BEB9CA"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Percentage values</w:t>
            </w:r>
          </w:p>
        </w:tc>
        <w:tc>
          <w:tcPr>
            <w:tcW w:w="2129" w:type="dxa"/>
            <w:tcBorders>
              <w:top w:val="nil"/>
              <w:left w:val="nil"/>
              <w:bottom w:val="single" w:sz="4" w:space="0" w:color="auto"/>
              <w:right w:val="nil"/>
            </w:tcBorders>
            <w:shd w:val="clear" w:color="auto" w:fill="auto"/>
            <w:vAlign w:val="center"/>
            <w:hideMark/>
          </w:tcPr>
          <w:p w14:paraId="14EA4803"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Istat (Ministry of Economy and Finance Data)</w:t>
            </w:r>
          </w:p>
        </w:tc>
      </w:tr>
      <w:tr w:rsidR="00211346" w:rsidRPr="005D28E6" w14:paraId="6439918E" w14:textId="77777777" w:rsidTr="00D25C60">
        <w:trPr>
          <w:trHeight w:val="560"/>
        </w:trPr>
        <w:tc>
          <w:tcPr>
            <w:tcW w:w="1418" w:type="dxa"/>
            <w:tcBorders>
              <w:top w:val="single" w:sz="4" w:space="0" w:color="auto"/>
              <w:left w:val="nil"/>
              <w:bottom w:val="single" w:sz="4" w:space="0" w:color="auto"/>
              <w:right w:val="nil"/>
            </w:tcBorders>
            <w:shd w:val="clear" w:color="auto" w:fill="auto"/>
            <w:vAlign w:val="center"/>
            <w:hideMark/>
          </w:tcPr>
          <w:p w14:paraId="7EB05672"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Safety</w:t>
            </w:r>
          </w:p>
        </w:tc>
        <w:tc>
          <w:tcPr>
            <w:tcW w:w="1417" w:type="dxa"/>
            <w:tcBorders>
              <w:top w:val="single" w:sz="4" w:space="0" w:color="auto"/>
              <w:left w:val="nil"/>
              <w:bottom w:val="single" w:sz="4" w:space="0" w:color="auto"/>
              <w:right w:val="nil"/>
            </w:tcBorders>
            <w:shd w:val="clear" w:color="auto" w:fill="auto"/>
            <w:vAlign w:val="center"/>
            <w:hideMark/>
          </w:tcPr>
          <w:p w14:paraId="4DF157D0"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Reported robberies</w:t>
            </w:r>
          </w:p>
        </w:tc>
        <w:tc>
          <w:tcPr>
            <w:tcW w:w="2551" w:type="dxa"/>
            <w:tcBorders>
              <w:top w:val="single" w:sz="4" w:space="0" w:color="auto"/>
              <w:left w:val="nil"/>
              <w:bottom w:val="single" w:sz="4" w:space="0" w:color="auto"/>
              <w:right w:val="nil"/>
            </w:tcBorders>
            <w:shd w:val="clear" w:color="auto" w:fill="auto"/>
            <w:vAlign w:val="center"/>
            <w:hideMark/>
          </w:tcPr>
          <w:p w14:paraId="3EC29EE7"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Number of reported robberies per 100,000 residents</w:t>
            </w:r>
          </w:p>
        </w:tc>
        <w:tc>
          <w:tcPr>
            <w:tcW w:w="1559" w:type="dxa"/>
            <w:tcBorders>
              <w:top w:val="single" w:sz="4" w:space="0" w:color="auto"/>
              <w:left w:val="nil"/>
              <w:bottom w:val="single" w:sz="4" w:space="0" w:color="auto"/>
              <w:right w:val="nil"/>
            </w:tcBorders>
            <w:shd w:val="clear" w:color="auto" w:fill="auto"/>
            <w:vAlign w:val="center"/>
            <w:hideMark/>
          </w:tcPr>
          <w:p w14:paraId="4B56E3AD"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Per 100,000 inhabitants</w:t>
            </w:r>
          </w:p>
        </w:tc>
        <w:tc>
          <w:tcPr>
            <w:tcW w:w="2129" w:type="dxa"/>
            <w:tcBorders>
              <w:top w:val="single" w:sz="4" w:space="0" w:color="auto"/>
              <w:left w:val="nil"/>
              <w:bottom w:val="single" w:sz="4" w:space="0" w:color="auto"/>
              <w:right w:val="nil"/>
            </w:tcBorders>
            <w:shd w:val="clear" w:color="auto" w:fill="auto"/>
            <w:vAlign w:val="center"/>
            <w:hideMark/>
          </w:tcPr>
          <w:p w14:paraId="5F6942EE"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 xml:space="preserve">Istat (Ministry of Interior </w:t>
            </w:r>
            <w:r w:rsidRPr="005D28E6">
              <w:rPr>
                <w:rFonts w:asciiTheme="minorEastAsia" w:hAnsiTheme="minorEastAsia" w:cs="Arial" w:hint="eastAsia"/>
                <w:color w:val="000000"/>
                <w:sz w:val="16"/>
                <w:szCs w:val="16"/>
                <w:lang w:val="en-GB"/>
                <w14:ligatures w14:val="none"/>
              </w:rPr>
              <w:t>–</w:t>
            </w:r>
            <w:r w:rsidRPr="005D28E6">
              <w:rPr>
                <w:rFonts w:asciiTheme="minorEastAsia" w:hAnsiTheme="minorEastAsia" w:cs="Arial"/>
                <w:color w:val="000000"/>
                <w:sz w:val="16"/>
                <w:szCs w:val="16"/>
                <w:lang w:val="en-GB"/>
                <w14:ligatures w14:val="none"/>
              </w:rPr>
              <w:t xml:space="preserve"> SDI)</w:t>
            </w:r>
          </w:p>
        </w:tc>
      </w:tr>
      <w:tr w:rsidR="00211346" w:rsidRPr="005D28E6" w14:paraId="35E4D576" w14:textId="77777777" w:rsidTr="00D25C60">
        <w:trPr>
          <w:trHeight w:val="560"/>
        </w:trPr>
        <w:tc>
          <w:tcPr>
            <w:tcW w:w="1418" w:type="dxa"/>
            <w:vMerge w:val="restart"/>
            <w:tcBorders>
              <w:top w:val="single" w:sz="4" w:space="0" w:color="auto"/>
              <w:left w:val="nil"/>
              <w:right w:val="nil"/>
            </w:tcBorders>
            <w:shd w:val="clear" w:color="auto" w:fill="auto"/>
            <w:vAlign w:val="center"/>
            <w:hideMark/>
          </w:tcPr>
          <w:p w14:paraId="0F91E069"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Landscape and cultural heritage</w:t>
            </w:r>
          </w:p>
        </w:tc>
        <w:tc>
          <w:tcPr>
            <w:tcW w:w="1417" w:type="dxa"/>
            <w:tcBorders>
              <w:top w:val="single" w:sz="4" w:space="0" w:color="auto"/>
              <w:left w:val="nil"/>
              <w:right w:val="nil"/>
            </w:tcBorders>
            <w:shd w:val="clear" w:color="auto" w:fill="auto"/>
            <w:vAlign w:val="center"/>
            <w:hideMark/>
          </w:tcPr>
          <w:p w14:paraId="6A5ADE3B"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sz w:val="16"/>
                <w:szCs w:val="16"/>
                <w:lang w:val="en-GB"/>
              </w:rPr>
              <w:t>Spread of agritourism enterprises</w:t>
            </w:r>
          </w:p>
        </w:tc>
        <w:tc>
          <w:tcPr>
            <w:tcW w:w="2551" w:type="dxa"/>
            <w:tcBorders>
              <w:top w:val="single" w:sz="4" w:space="0" w:color="auto"/>
              <w:left w:val="nil"/>
              <w:right w:val="nil"/>
            </w:tcBorders>
            <w:shd w:val="clear" w:color="auto" w:fill="auto"/>
            <w:vAlign w:val="center"/>
            <w:hideMark/>
          </w:tcPr>
          <w:p w14:paraId="3B0C5F37"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Number of agritourism farms per 100 km</w:t>
            </w:r>
            <w:r w:rsidRPr="005D28E6">
              <w:rPr>
                <w:rFonts w:asciiTheme="minorEastAsia" w:hAnsiTheme="minorEastAsia" w:cs="Arial" w:hint="eastAsia"/>
                <w:color w:val="000000"/>
                <w:sz w:val="16"/>
                <w:szCs w:val="16"/>
                <w:lang w:val="en-GB"/>
                <w14:ligatures w14:val="none"/>
              </w:rPr>
              <w:t>²</w:t>
            </w:r>
          </w:p>
        </w:tc>
        <w:tc>
          <w:tcPr>
            <w:tcW w:w="1559" w:type="dxa"/>
            <w:tcBorders>
              <w:top w:val="single" w:sz="4" w:space="0" w:color="auto"/>
              <w:left w:val="nil"/>
              <w:right w:val="nil"/>
            </w:tcBorders>
            <w:shd w:val="clear" w:color="auto" w:fill="auto"/>
            <w:vAlign w:val="center"/>
            <w:hideMark/>
          </w:tcPr>
          <w:p w14:paraId="64AD9C64"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Per 100 km</w:t>
            </w:r>
            <w:r w:rsidRPr="005D28E6">
              <w:rPr>
                <w:rFonts w:asciiTheme="minorEastAsia" w:hAnsiTheme="minorEastAsia" w:cs="Arial" w:hint="eastAsia"/>
                <w:color w:val="000000"/>
                <w:sz w:val="16"/>
                <w:szCs w:val="16"/>
                <w:lang w:val="en-GB"/>
                <w14:ligatures w14:val="none"/>
              </w:rPr>
              <w:t>²</w:t>
            </w:r>
          </w:p>
        </w:tc>
        <w:tc>
          <w:tcPr>
            <w:tcW w:w="2129" w:type="dxa"/>
            <w:tcBorders>
              <w:top w:val="single" w:sz="4" w:space="0" w:color="auto"/>
              <w:left w:val="nil"/>
              <w:right w:val="nil"/>
            </w:tcBorders>
            <w:shd w:val="clear" w:color="auto" w:fill="auto"/>
            <w:vAlign w:val="center"/>
            <w:hideMark/>
          </w:tcPr>
          <w:p w14:paraId="7355993E"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Istat (Agritourism Business Survey)</w:t>
            </w:r>
          </w:p>
        </w:tc>
      </w:tr>
      <w:tr w:rsidR="00211346" w:rsidRPr="005D28E6" w14:paraId="0B47B224" w14:textId="77777777" w:rsidTr="00D25C60">
        <w:trPr>
          <w:trHeight w:val="560"/>
        </w:trPr>
        <w:tc>
          <w:tcPr>
            <w:tcW w:w="1418" w:type="dxa"/>
            <w:vMerge/>
            <w:tcBorders>
              <w:left w:val="nil"/>
              <w:bottom w:val="single" w:sz="4" w:space="0" w:color="auto"/>
              <w:right w:val="nil"/>
            </w:tcBorders>
            <w:shd w:val="clear" w:color="auto" w:fill="auto"/>
            <w:vAlign w:val="center"/>
          </w:tcPr>
          <w:p w14:paraId="26DDE61D"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p>
        </w:tc>
        <w:tc>
          <w:tcPr>
            <w:tcW w:w="1417" w:type="dxa"/>
            <w:tcBorders>
              <w:left w:val="nil"/>
              <w:bottom w:val="single" w:sz="4" w:space="0" w:color="auto"/>
              <w:right w:val="nil"/>
            </w:tcBorders>
            <w:shd w:val="clear" w:color="auto" w:fill="auto"/>
            <w:vAlign w:val="center"/>
          </w:tcPr>
          <w:p w14:paraId="29D19CA3" w14:textId="77777777" w:rsidR="00211346" w:rsidRPr="005D28E6" w:rsidRDefault="00211346" w:rsidP="00D25C60">
            <w:pPr>
              <w:spacing w:after="0" w:line="240" w:lineRule="auto"/>
              <w:rPr>
                <w:rFonts w:asciiTheme="minorEastAsia" w:hAnsiTheme="minorEastAsia" w:cs="Arial"/>
                <w:sz w:val="16"/>
                <w:szCs w:val="16"/>
                <w:lang w:val="en-GB"/>
              </w:rPr>
            </w:pPr>
            <w:r w:rsidRPr="005D28E6">
              <w:rPr>
                <w:rFonts w:asciiTheme="minorEastAsia" w:hAnsiTheme="minorEastAsia" w:cs="Arial"/>
                <w:color w:val="000000"/>
                <w:sz w:val="16"/>
                <w:szCs w:val="16"/>
                <w14:ligatures w14:val="none"/>
              </w:rPr>
              <w:t>Density of historical green areas</w:t>
            </w:r>
          </w:p>
        </w:tc>
        <w:tc>
          <w:tcPr>
            <w:tcW w:w="2551" w:type="dxa"/>
            <w:tcBorders>
              <w:left w:val="nil"/>
              <w:bottom w:val="single" w:sz="4" w:space="0" w:color="auto"/>
              <w:right w:val="nil"/>
            </w:tcBorders>
            <w:shd w:val="clear" w:color="auto" w:fill="auto"/>
            <w:vAlign w:val="center"/>
          </w:tcPr>
          <w:p w14:paraId="6972D23C"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14:ligatures w14:val="none"/>
              </w:rPr>
              <w:t>Area (in m</w:t>
            </w:r>
            <w:r w:rsidRPr="005D28E6">
              <w:rPr>
                <w:rFonts w:asciiTheme="minorEastAsia" w:hAnsiTheme="minorEastAsia" w:cs="Arial" w:hint="eastAsia"/>
                <w:color w:val="000000"/>
                <w:sz w:val="16"/>
                <w:szCs w:val="16"/>
                <w14:ligatures w14:val="none"/>
              </w:rPr>
              <w:t>²</w:t>
            </w:r>
            <w:r w:rsidRPr="005D28E6">
              <w:rPr>
                <w:rFonts w:asciiTheme="minorEastAsia" w:hAnsiTheme="minorEastAsia" w:cs="Arial"/>
                <w:color w:val="000000"/>
                <w:sz w:val="16"/>
                <w:szCs w:val="16"/>
                <w14:ligatures w14:val="none"/>
              </w:rPr>
              <w:t>) of historic green spaces and urban parks of significant public interest (Legislative Decree 42/2004) in provincial capital municipalities, per 100 m</w:t>
            </w:r>
            <w:r w:rsidRPr="005D28E6">
              <w:rPr>
                <w:rFonts w:asciiTheme="minorEastAsia" w:hAnsiTheme="minorEastAsia" w:cs="Arial" w:hint="eastAsia"/>
                <w:color w:val="000000"/>
                <w:sz w:val="16"/>
                <w:szCs w:val="16"/>
                <w14:ligatures w14:val="none"/>
              </w:rPr>
              <w:t>²</w:t>
            </w:r>
            <w:r w:rsidRPr="005D28E6">
              <w:rPr>
                <w:rFonts w:asciiTheme="minorEastAsia" w:hAnsiTheme="minorEastAsia" w:cs="Arial"/>
                <w:color w:val="000000"/>
                <w:sz w:val="16"/>
                <w:szCs w:val="16"/>
                <w14:ligatures w14:val="none"/>
              </w:rPr>
              <w:t xml:space="preserve"> of urbanized area (town centers and inhabited nuclei) as recorded by the 2011 Population Census</w:t>
            </w:r>
          </w:p>
        </w:tc>
        <w:tc>
          <w:tcPr>
            <w:tcW w:w="1559" w:type="dxa"/>
            <w:tcBorders>
              <w:left w:val="nil"/>
              <w:bottom w:val="single" w:sz="4" w:space="0" w:color="auto"/>
              <w:right w:val="nil"/>
            </w:tcBorders>
            <w:shd w:val="clear" w:color="auto" w:fill="auto"/>
            <w:vAlign w:val="center"/>
          </w:tcPr>
          <w:p w14:paraId="74F82A66"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Per 100 m</w:t>
            </w:r>
            <w:r w:rsidRPr="005D28E6">
              <w:rPr>
                <w:rFonts w:asciiTheme="minorEastAsia" w:hAnsiTheme="minorEastAsia" w:cs="Arial"/>
                <w:color w:val="000000"/>
                <w:sz w:val="16"/>
                <w:szCs w:val="16"/>
                <w:vertAlign w:val="superscript"/>
                <w:lang w:val="en-GB"/>
                <w14:ligatures w14:val="none"/>
              </w:rPr>
              <w:t>2</w:t>
            </w:r>
          </w:p>
        </w:tc>
        <w:tc>
          <w:tcPr>
            <w:tcW w:w="2129" w:type="dxa"/>
            <w:tcBorders>
              <w:left w:val="nil"/>
              <w:bottom w:val="single" w:sz="4" w:space="0" w:color="auto"/>
              <w:right w:val="nil"/>
            </w:tcBorders>
            <w:shd w:val="clear" w:color="auto" w:fill="auto"/>
            <w:vAlign w:val="center"/>
          </w:tcPr>
          <w:p w14:paraId="6F7F8CC1"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14:ligatures w14:val="none"/>
              </w:rPr>
              <w:t>Processed using data from the Environmental Data Survey in Cities, Territorial Bases of the Censuses</w:t>
            </w:r>
          </w:p>
        </w:tc>
      </w:tr>
      <w:tr w:rsidR="00211346" w:rsidRPr="005D28E6" w14:paraId="2F147D58" w14:textId="77777777" w:rsidTr="00D25C60">
        <w:trPr>
          <w:trHeight w:val="840"/>
        </w:trPr>
        <w:tc>
          <w:tcPr>
            <w:tcW w:w="1418" w:type="dxa"/>
            <w:vMerge w:val="restart"/>
            <w:tcBorders>
              <w:left w:val="nil"/>
              <w:right w:val="nil"/>
            </w:tcBorders>
            <w:shd w:val="clear" w:color="auto" w:fill="auto"/>
            <w:vAlign w:val="center"/>
            <w:hideMark/>
          </w:tcPr>
          <w:p w14:paraId="5889C374"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Environment</w:t>
            </w:r>
          </w:p>
        </w:tc>
        <w:tc>
          <w:tcPr>
            <w:tcW w:w="1417" w:type="dxa"/>
            <w:tcBorders>
              <w:top w:val="nil"/>
              <w:left w:val="nil"/>
              <w:right w:val="nil"/>
            </w:tcBorders>
            <w:shd w:val="clear" w:color="auto" w:fill="auto"/>
            <w:vAlign w:val="center"/>
            <w:hideMark/>
          </w:tcPr>
          <w:p w14:paraId="381C11B5"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Availability of urban green space</w:t>
            </w:r>
          </w:p>
        </w:tc>
        <w:tc>
          <w:tcPr>
            <w:tcW w:w="2551" w:type="dxa"/>
            <w:tcBorders>
              <w:top w:val="nil"/>
              <w:left w:val="nil"/>
              <w:right w:val="nil"/>
            </w:tcBorders>
            <w:shd w:val="clear" w:color="auto" w:fill="auto"/>
            <w:vAlign w:val="center"/>
            <w:hideMark/>
          </w:tcPr>
          <w:p w14:paraId="27E01B0E"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Square meters of urban green space per resident in provincial/metropolitan capital cities</w:t>
            </w:r>
          </w:p>
        </w:tc>
        <w:tc>
          <w:tcPr>
            <w:tcW w:w="1559" w:type="dxa"/>
            <w:tcBorders>
              <w:top w:val="nil"/>
              <w:left w:val="nil"/>
              <w:right w:val="nil"/>
            </w:tcBorders>
            <w:shd w:val="clear" w:color="auto" w:fill="auto"/>
            <w:vAlign w:val="center"/>
            <w:hideMark/>
          </w:tcPr>
          <w:p w14:paraId="5B7ABACE"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m</w:t>
            </w:r>
            <w:r w:rsidRPr="005D28E6">
              <w:rPr>
                <w:rFonts w:asciiTheme="minorEastAsia" w:hAnsiTheme="minorEastAsia" w:cs="Arial" w:hint="eastAsia"/>
                <w:color w:val="000000"/>
                <w:sz w:val="16"/>
                <w:szCs w:val="16"/>
                <w:lang w:val="en-GB"/>
                <w14:ligatures w14:val="none"/>
              </w:rPr>
              <w:t>²</w:t>
            </w:r>
            <w:r w:rsidRPr="005D28E6">
              <w:rPr>
                <w:rFonts w:asciiTheme="minorEastAsia" w:hAnsiTheme="minorEastAsia" w:cs="Arial"/>
                <w:color w:val="000000"/>
                <w:sz w:val="16"/>
                <w:szCs w:val="16"/>
                <w:lang w:val="en-GB"/>
                <w14:ligatures w14:val="none"/>
              </w:rPr>
              <w:t xml:space="preserve"> per resident</w:t>
            </w:r>
          </w:p>
        </w:tc>
        <w:tc>
          <w:tcPr>
            <w:tcW w:w="2129" w:type="dxa"/>
            <w:tcBorders>
              <w:top w:val="nil"/>
              <w:left w:val="nil"/>
              <w:right w:val="nil"/>
            </w:tcBorders>
            <w:shd w:val="clear" w:color="auto" w:fill="auto"/>
            <w:vAlign w:val="center"/>
            <w:hideMark/>
          </w:tcPr>
          <w:p w14:paraId="0E5D5F0F"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Istat (Environmental Data Survey in Cities)</w:t>
            </w:r>
          </w:p>
        </w:tc>
      </w:tr>
      <w:tr w:rsidR="00211346" w:rsidRPr="005D28E6" w14:paraId="1DCA6BAF" w14:textId="77777777" w:rsidTr="00D25C60">
        <w:trPr>
          <w:trHeight w:val="840"/>
        </w:trPr>
        <w:tc>
          <w:tcPr>
            <w:tcW w:w="1418" w:type="dxa"/>
            <w:vMerge/>
            <w:tcBorders>
              <w:left w:val="nil"/>
              <w:bottom w:val="single" w:sz="4" w:space="0" w:color="auto"/>
              <w:right w:val="nil"/>
            </w:tcBorders>
            <w:shd w:val="clear" w:color="auto" w:fill="auto"/>
            <w:vAlign w:val="center"/>
            <w:hideMark/>
          </w:tcPr>
          <w:p w14:paraId="401969F7"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p>
        </w:tc>
        <w:tc>
          <w:tcPr>
            <w:tcW w:w="1417" w:type="dxa"/>
            <w:tcBorders>
              <w:top w:val="nil"/>
              <w:left w:val="nil"/>
              <w:bottom w:val="single" w:sz="4" w:space="0" w:color="auto"/>
              <w:right w:val="nil"/>
            </w:tcBorders>
            <w:shd w:val="clear" w:color="auto" w:fill="auto"/>
            <w:vAlign w:val="center"/>
          </w:tcPr>
          <w:p w14:paraId="2A031022"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sz w:val="16"/>
                <w:szCs w:val="16"/>
              </w:rPr>
              <w:t>Urban waste produced</w:t>
            </w:r>
          </w:p>
        </w:tc>
        <w:tc>
          <w:tcPr>
            <w:tcW w:w="2551" w:type="dxa"/>
            <w:tcBorders>
              <w:top w:val="nil"/>
              <w:left w:val="nil"/>
              <w:bottom w:val="single" w:sz="4" w:space="0" w:color="auto"/>
              <w:right w:val="nil"/>
            </w:tcBorders>
            <w:shd w:val="clear" w:color="auto" w:fill="auto"/>
            <w:vAlign w:val="center"/>
          </w:tcPr>
          <w:p w14:paraId="528EB54D"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sz w:val="16"/>
                <w:szCs w:val="16"/>
              </w:rPr>
              <w:t>Urban waste produced per resident (in kg)</w:t>
            </w:r>
          </w:p>
        </w:tc>
        <w:tc>
          <w:tcPr>
            <w:tcW w:w="1559" w:type="dxa"/>
            <w:tcBorders>
              <w:top w:val="nil"/>
              <w:left w:val="nil"/>
              <w:bottom w:val="single" w:sz="4" w:space="0" w:color="auto"/>
              <w:right w:val="nil"/>
            </w:tcBorders>
            <w:shd w:val="clear" w:color="auto" w:fill="auto"/>
            <w:vAlign w:val="center"/>
          </w:tcPr>
          <w:p w14:paraId="47CE39B7"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Kg per resident</w:t>
            </w:r>
          </w:p>
        </w:tc>
        <w:tc>
          <w:tcPr>
            <w:tcW w:w="2129" w:type="dxa"/>
            <w:tcBorders>
              <w:top w:val="nil"/>
              <w:left w:val="nil"/>
              <w:bottom w:val="single" w:sz="4" w:space="0" w:color="auto"/>
              <w:right w:val="nil"/>
            </w:tcBorders>
            <w:shd w:val="clear" w:color="auto" w:fill="auto"/>
            <w:vAlign w:val="center"/>
          </w:tcPr>
          <w:p w14:paraId="4D890D27"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Istat (elaboration on ISPRA data)</w:t>
            </w:r>
          </w:p>
        </w:tc>
      </w:tr>
      <w:tr w:rsidR="00211346" w:rsidRPr="005D28E6" w14:paraId="042FC700" w14:textId="77777777" w:rsidTr="00D25C60">
        <w:trPr>
          <w:trHeight w:val="1400"/>
        </w:trPr>
        <w:tc>
          <w:tcPr>
            <w:tcW w:w="1418" w:type="dxa"/>
            <w:vMerge w:val="restart"/>
            <w:tcBorders>
              <w:top w:val="single" w:sz="4" w:space="0" w:color="auto"/>
              <w:left w:val="nil"/>
              <w:bottom w:val="single" w:sz="4" w:space="0" w:color="auto"/>
              <w:right w:val="nil"/>
            </w:tcBorders>
            <w:shd w:val="clear" w:color="auto" w:fill="auto"/>
            <w:vAlign w:val="center"/>
          </w:tcPr>
          <w:p w14:paraId="7991DC3B" w14:textId="77777777" w:rsidR="00211346" w:rsidRPr="005D28E6" w:rsidRDefault="00211346" w:rsidP="00D25C60">
            <w:pPr>
              <w:spacing w:after="0" w:line="240" w:lineRule="auto"/>
              <w:rPr>
                <w:rFonts w:asciiTheme="minorEastAsia" w:hAnsiTheme="minorEastAsia" w:cs="Arial"/>
                <w:sz w:val="16"/>
                <w:szCs w:val="16"/>
                <w:lang w:val="en-GB"/>
              </w:rPr>
            </w:pPr>
            <w:r w:rsidRPr="005D28E6">
              <w:rPr>
                <w:rFonts w:asciiTheme="minorEastAsia" w:hAnsiTheme="minorEastAsia" w:cs="Arial"/>
                <w:sz w:val="16"/>
                <w:szCs w:val="16"/>
                <w:lang w:val="en-GB"/>
              </w:rPr>
              <w:lastRenderedPageBreak/>
              <w:t>Innovation, research and creativity</w:t>
            </w:r>
          </w:p>
        </w:tc>
        <w:tc>
          <w:tcPr>
            <w:tcW w:w="1417" w:type="dxa"/>
            <w:tcBorders>
              <w:top w:val="single" w:sz="4" w:space="0" w:color="auto"/>
              <w:left w:val="nil"/>
              <w:right w:val="nil"/>
            </w:tcBorders>
            <w:shd w:val="clear" w:color="auto" w:fill="auto"/>
            <w:vAlign w:val="center"/>
          </w:tcPr>
          <w:p w14:paraId="6BBAC475"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sz w:val="16"/>
                <w:szCs w:val="16"/>
              </w:rPr>
              <w:t>Propensity to patent</w:t>
            </w:r>
          </w:p>
        </w:tc>
        <w:tc>
          <w:tcPr>
            <w:tcW w:w="2551" w:type="dxa"/>
            <w:tcBorders>
              <w:top w:val="single" w:sz="4" w:space="0" w:color="auto"/>
              <w:left w:val="nil"/>
              <w:right w:val="nil"/>
            </w:tcBorders>
            <w:shd w:val="clear" w:color="auto" w:fill="auto"/>
            <w:vAlign w:val="center"/>
          </w:tcPr>
          <w:p w14:paraId="770FB49C"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14:ligatures w14:val="none"/>
              </w:rPr>
              <w:t>Total number of patent applications filed with the European Patent Office (EPO) per million inhabitants</w:t>
            </w:r>
          </w:p>
        </w:tc>
        <w:tc>
          <w:tcPr>
            <w:tcW w:w="1559" w:type="dxa"/>
            <w:tcBorders>
              <w:top w:val="single" w:sz="4" w:space="0" w:color="auto"/>
              <w:left w:val="nil"/>
              <w:right w:val="nil"/>
            </w:tcBorders>
            <w:shd w:val="clear" w:color="auto" w:fill="auto"/>
            <w:vAlign w:val="center"/>
          </w:tcPr>
          <w:p w14:paraId="3090CB78"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Per 1,000,000 residents</w:t>
            </w:r>
          </w:p>
        </w:tc>
        <w:tc>
          <w:tcPr>
            <w:tcW w:w="2129" w:type="dxa"/>
            <w:tcBorders>
              <w:top w:val="single" w:sz="4" w:space="0" w:color="auto"/>
              <w:left w:val="nil"/>
              <w:right w:val="nil"/>
            </w:tcBorders>
            <w:shd w:val="clear" w:color="auto" w:fill="auto"/>
            <w:vAlign w:val="center"/>
          </w:tcPr>
          <w:p w14:paraId="3DDA8BBE"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OCSE (database Regpat)</w:t>
            </w:r>
          </w:p>
        </w:tc>
      </w:tr>
      <w:tr w:rsidR="00211346" w:rsidRPr="005D28E6" w14:paraId="5C12406E" w14:textId="77777777" w:rsidTr="00D25C60">
        <w:trPr>
          <w:trHeight w:val="1400"/>
        </w:trPr>
        <w:tc>
          <w:tcPr>
            <w:tcW w:w="1418" w:type="dxa"/>
            <w:vMerge/>
            <w:tcBorders>
              <w:left w:val="nil"/>
              <w:bottom w:val="single" w:sz="4" w:space="0" w:color="auto"/>
              <w:right w:val="nil"/>
            </w:tcBorders>
            <w:shd w:val="clear" w:color="auto" w:fill="auto"/>
            <w:vAlign w:val="center"/>
            <w:hideMark/>
          </w:tcPr>
          <w:p w14:paraId="37F20FB6"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p>
        </w:tc>
        <w:tc>
          <w:tcPr>
            <w:tcW w:w="1417" w:type="dxa"/>
            <w:tcBorders>
              <w:top w:val="nil"/>
              <w:left w:val="nil"/>
              <w:bottom w:val="single" w:sz="4" w:space="0" w:color="auto"/>
              <w:right w:val="nil"/>
            </w:tcBorders>
            <w:shd w:val="clear" w:color="auto" w:fill="auto"/>
            <w:vAlign w:val="center"/>
            <w:hideMark/>
          </w:tcPr>
          <w:p w14:paraId="5C51823F"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Employees in cultural enterprises</w:t>
            </w:r>
          </w:p>
        </w:tc>
        <w:tc>
          <w:tcPr>
            <w:tcW w:w="2551" w:type="dxa"/>
            <w:tcBorders>
              <w:top w:val="nil"/>
              <w:left w:val="nil"/>
              <w:bottom w:val="single" w:sz="4" w:space="0" w:color="auto"/>
              <w:right w:val="nil"/>
            </w:tcBorders>
            <w:shd w:val="clear" w:color="auto" w:fill="auto"/>
            <w:vAlign w:val="center"/>
            <w:hideMark/>
          </w:tcPr>
          <w:p w14:paraId="3DFE8F84"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Percentage of employees in cultural sectors out of total employees. Includes publishing, media, design, arts, libraries, museums, and cultural institutions.</w:t>
            </w:r>
          </w:p>
        </w:tc>
        <w:tc>
          <w:tcPr>
            <w:tcW w:w="1559" w:type="dxa"/>
            <w:tcBorders>
              <w:top w:val="nil"/>
              <w:left w:val="nil"/>
              <w:bottom w:val="single" w:sz="4" w:space="0" w:color="auto"/>
              <w:right w:val="nil"/>
            </w:tcBorders>
            <w:shd w:val="clear" w:color="auto" w:fill="auto"/>
            <w:vAlign w:val="center"/>
            <w:hideMark/>
          </w:tcPr>
          <w:p w14:paraId="69D4929E"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Percentage values</w:t>
            </w:r>
          </w:p>
        </w:tc>
        <w:tc>
          <w:tcPr>
            <w:tcW w:w="2129" w:type="dxa"/>
            <w:tcBorders>
              <w:top w:val="nil"/>
              <w:left w:val="nil"/>
              <w:bottom w:val="single" w:sz="4" w:space="0" w:color="auto"/>
              <w:right w:val="nil"/>
            </w:tcBorders>
            <w:shd w:val="clear" w:color="auto" w:fill="auto"/>
            <w:vAlign w:val="center"/>
            <w:hideMark/>
          </w:tcPr>
          <w:p w14:paraId="1B09A52C"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Istat (ASIA UL Register)</w:t>
            </w:r>
          </w:p>
        </w:tc>
      </w:tr>
      <w:tr w:rsidR="00211346" w:rsidRPr="005D28E6" w14:paraId="675497F4" w14:textId="77777777" w:rsidTr="00D25C60">
        <w:trPr>
          <w:trHeight w:val="1120"/>
        </w:trPr>
        <w:tc>
          <w:tcPr>
            <w:tcW w:w="1418" w:type="dxa"/>
            <w:vMerge w:val="restart"/>
            <w:tcBorders>
              <w:top w:val="single" w:sz="4" w:space="0" w:color="auto"/>
              <w:left w:val="nil"/>
              <w:bottom w:val="single" w:sz="4" w:space="0" w:color="000000"/>
              <w:right w:val="nil"/>
            </w:tcBorders>
            <w:shd w:val="clear" w:color="auto" w:fill="auto"/>
            <w:vAlign w:val="center"/>
            <w:hideMark/>
          </w:tcPr>
          <w:p w14:paraId="433EA5AF"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Service quality</w:t>
            </w:r>
          </w:p>
        </w:tc>
        <w:tc>
          <w:tcPr>
            <w:tcW w:w="1417" w:type="dxa"/>
            <w:tcBorders>
              <w:top w:val="single" w:sz="4" w:space="0" w:color="auto"/>
              <w:left w:val="nil"/>
              <w:bottom w:val="nil"/>
              <w:right w:val="nil"/>
            </w:tcBorders>
            <w:shd w:val="clear" w:color="auto" w:fill="auto"/>
            <w:vAlign w:val="center"/>
            <w:hideMark/>
          </w:tcPr>
          <w:p w14:paraId="55670FBA"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sz w:val="16"/>
                <w:szCs w:val="16"/>
                <w:lang w:val="en-GB"/>
              </w:rPr>
              <w:t>Hospital-related emigration to another region</w:t>
            </w:r>
          </w:p>
        </w:tc>
        <w:tc>
          <w:tcPr>
            <w:tcW w:w="2551" w:type="dxa"/>
            <w:tcBorders>
              <w:top w:val="single" w:sz="4" w:space="0" w:color="auto"/>
              <w:left w:val="nil"/>
              <w:bottom w:val="nil"/>
              <w:right w:val="nil"/>
            </w:tcBorders>
            <w:shd w:val="clear" w:color="auto" w:fill="auto"/>
            <w:vAlign w:val="center"/>
            <w:hideMark/>
          </w:tcPr>
          <w:p w14:paraId="6DD334A6"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Percentage of hospital discharges for acute care in other regions, out of total discharges of residents.</w:t>
            </w:r>
          </w:p>
        </w:tc>
        <w:tc>
          <w:tcPr>
            <w:tcW w:w="1559" w:type="dxa"/>
            <w:tcBorders>
              <w:top w:val="single" w:sz="4" w:space="0" w:color="auto"/>
              <w:left w:val="nil"/>
              <w:bottom w:val="nil"/>
              <w:right w:val="nil"/>
            </w:tcBorders>
            <w:shd w:val="clear" w:color="auto" w:fill="auto"/>
            <w:vAlign w:val="center"/>
            <w:hideMark/>
          </w:tcPr>
          <w:p w14:paraId="5A97BB97"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Percentage values</w:t>
            </w:r>
          </w:p>
        </w:tc>
        <w:tc>
          <w:tcPr>
            <w:tcW w:w="2129" w:type="dxa"/>
            <w:tcBorders>
              <w:top w:val="single" w:sz="4" w:space="0" w:color="auto"/>
              <w:left w:val="nil"/>
              <w:bottom w:val="nil"/>
              <w:right w:val="nil"/>
            </w:tcBorders>
            <w:shd w:val="clear" w:color="auto" w:fill="auto"/>
            <w:vAlign w:val="center"/>
            <w:hideMark/>
          </w:tcPr>
          <w:p w14:paraId="0A04704B"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 xml:space="preserve">Istat (Hospital Discharge Data </w:t>
            </w:r>
            <w:r w:rsidRPr="005D28E6">
              <w:rPr>
                <w:rFonts w:asciiTheme="minorEastAsia" w:hAnsiTheme="minorEastAsia" w:cs="Arial" w:hint="eastAsia"/>
                <w:color w:val="000000"/>
                <w:sz w:val="16"/>
                <w:szCs w:val="16"/>
                <w:lang w:val="en-GB"/>
                <w14:ligatures w14:val="none"/>
              </w:rPr>
              <w:t>–</w:t>
            </w:r>
            <w:r w:rsidRPr="005D28E6">
              <w:rPr>
                <w:rFonts w:asciiTheme="minorEastAsia" w:hAnsiTheme="minorEastAsia" w:cs="Arial"/>
                <w:color w:val="000000"/>
                <w:sz w:val="16"/>
                <w:szCs w:val="16"/>
                <w:lang w:val="en-GB"/>
                <w14:ligatures w14:val="none"/>
              </w:rPr>
              <w:t xml:space="preserve"> Ministry of Health)</w:t>
            </w:r>
          </w:p>
        </w:tc>
      </w:tr>
      <w:tr w:rsidR="00211346" w:rsidRPr="005D28E6" w14:paraId="314E383E" w14:textId="77777777" w:rsidTr="00D25C60">
        <w:trPr>
          <w:trHeight w:val="840"/>
        </w:trPr>
        <w:tc>
          <w:tcPr>
            <w:tcW w:w="1418" w:type="dxa"/>
            <w:vMerge/>
            <w:tcBorders>
              <w:top w:val="nil"/>
              <w:left w:val="nil"/>
              <w:bottom w:val="single" w:sz="4" w:space="0" w:color="000000"/>
              <w:right w:val="nil"/>
            </w:tcBorders>
            <w:vAlign w:val="center"/>
            <w:hideMark/>
          </w:tcPr>
          <w:p w14:paraId="33565A03"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p>
        </w:tc>
        <w:tc>
          <w:tcPr>
            <w:tcW w:w="1417" w:type="dxa"/>
            <w:tcBorders>
              <w:top w:val="nil"/>
              <w:left w:val="nil"/>
              <w:bottom w:val="single" w:sz="4" w:space="0" w:color="auto"/>
              <w:right w:val="nil"/>
            </w:tcBorders>
            <w:shd w:val="clear" w:color="auto" w:fill="auto"/>
            <w:vAlign w:val="center"/>
            <w:hideMark/>
          </w:tcPr>
          <w:p w14:paraId="12C7EDEC"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Specialistic doctors</w:t>
            </w:r>
          </w:p>
        </w:tc>
        <w:tc>
          <w:tcPr>
            <w:tcW w:w="2551" w:type="dxa"/>
            <w:tcBorders>
              <w:top w:val="nil"/>
              <w:left w:val="nil"/>
              <w:bottom w:val="single" w:sz="4" w:space="0" w:color="auto"/>
              <w:right w:val="nil"/>
            </w:tcBorders>
            <w:shd w:val="clear" w:color="auto" w:fill="auto"/>
            <w:vAlign w:val="center"/>
            <w:hideMark/>
          </w:tcPr>
          <w:p w14:paraId="1AFF3F7E"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Medical specialists (excluding GPs and paediatricians) per 10,000 inhabitants.</w:t>
            </w:r>
          </w:p>
        </w:tc>
        <w:tc>
          <w:tcPr>
            <w:tcW w:w="1559" w:type="dxa"/>
            <w:tcBorders>
              <w:top w:val="nil"/>
              <w:left w:val="nil"/>
              <w:bottom w:val="single" w:sz="4" w:space="0" w:color="auto"/>
              <w:right w:val="nil"/>
            </w:tcBorders>
            <w:shd w:val="clear" w:color="auto" w:fill="auto"/>
            <w:vAlign w:val="center"/>
            <w:hideMark/>
          </w:tcPr>
          <w:p w14:paraId="4D33868F"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Per 10,000 inhabitants</w:t>
            </w:r>
          </w:p>
        </w:tc>
        <w:tc>
          <w:tcPr>
            <w:tcW w:w="2129" w:type="dxa"/>
            <w:tcBorders>
              <w:top w:val="nil"/>
              <w:left w:val="nil"/>
              <w:bottom w:val="single" w:sz="4" w:space="0" w:color="auto"/>
              <w:right w:val="nil"/>
            </w:tcBorders>
            <w:shd w:val="clear" w:color="auto" w:fill="auto"/>
            <w:vAlign w:val="center"/>
            <w:hideMark/>
          </w:tcPr>
          <w:p w14:paraId="4CBE0838" w14:textId="77777777" w:rsidR="00211346" w:rsidRPr="005D28E6" w:rsidRDefault="00211346" w:rsidP="00D25C60">
            <w:pPr>
              <w:spacing w:after="0" w:line="240" w:lineRule="auto"/>
              <w:rPr>
                <w:rFonts w:asciiTheme="minorEastAsia" w:hAnsiTheme="minorEastAsia" w:cs="Arial"/>
                <w:color w:val="000000"/>
                <w:sz w:val="16"/>
                <w:szCs w:val="16"/>
                <w:lang w:val="en-GB"/>
                <w14:ligatures w14:val="none"/>
              </w:rPr>
            </w:pPr>
            <w:r w:rsidRPr="005D28E6">
              <w:rPr>
                <w:rFonts w:asciiTheme="minorEastAsia" w:hAnsiTheme="minorEastAsia" w:cs="Arial"/>
                <w:color w:val="000000"/>
                <w:sz w:val="16"/>
                <w:szCs w:val="16"/>
                <w:lang w:val="en-GB"/>
                <w14:ligatures w14:val="none"/>
              </w:rPr>
              <w:t xml:space="preserve">Istat (IQVIA </w:t>
            </w:r>
            <w:r w:rsidRPr="005D28E6">
              <w:rPr>
                <w:rFonts w:asciiTheme="minorEastAsia" w:hAnsiTheme="minorEastAsia" w:cs="Arial" w:hint="eastAsia"/>
                <w:color w:val="000000"/>
                <w:sz w:val="16"/>
                <w:szCs w:val="16"/>
                <w:lang w:val="en-GB"/>
                <w14:ligatures w14:val="none"/>
              </w:rPr>
              <w:t>–</w:t>
            </w:r>
            <w:r w:rsidRPr="005D28E6">
              <w:rPr>
                <w:rFonts w:asciiTheme="minorEastAsia" w:hAnsiTheme="minorEastAsia" w:cs="Arial"/>
                <w:color w:val="000000"/>
                <w:sz w:val="16"/>
                <w:szCs w:val="16"/>
                <w:lang w:val="en-GB"/>
                <w14:ligatures w14:val="none"/>
              </w:rPr>
              <w:t xml:space="preserve"> OneKey database)</w:t>
            </w:r>
          </w:p>
        </w:tc>
      </w:tr>
    </w:tbl>
    <w:p w14:paraId="20D06B95" w14:textId="77777777" w:rsidR="00211346" w:rsidRDefault="00211346" w:rsidP="00211346">
      <w:pPr>
        <w:jc w:val="both"/>
        <w:rPr>
          <w:rFonts w:asciiTheme="minorEastAsia" w:hAnsiTheme="minorEastAsia"/>
          <w:lang w:val="en-GB"/>
        </w:rPr>
      </w:pPr>
    </w:p>
    <w:p w14:paraId="76BBEA6C" w14:textId="77777777" w:rsidR="00211346" w:rsidRDefault="00211346" w:rsidP="00211346">
      <w:pPr>
        <w:jc w:val="both"/>
        <w:rPr>
          <w:rFonts w:asciiTheme="minorEastAsia" w:hAnsiTheme="minorEastAsia"/>
          <w:lang w:val="en-GB"/>
        </w:rPr>
      </w:pPr>
    </w:p>
    <w:p w14:paraId="221D3363" w14:textId="77777777" w:rsidR="00211346" w:rsidRPr="000E54CE" w:rsidRDefault="00211346" w:rsidP="00211346">
      <w:pPr>
        <w:jc w:val="both"/>
        <w:rPr>
          <w:rFonts w:asciiTheme="minorEastAsia" w:hAnsiTheme="minorEastAsia"/>
          <w:lang w:val="en-GB"/>
        </w:rPr>
      </w:pPr>
      <w:r w:rsidRPr="000E54CE">
        <w:rPr>
          <w:rFonts w:asciiTheme="minorEastAsia" w:hAnsiTheme="minorEastAsia"/>
          <w:lang w:val="en-GB"/>
        </w:rPr>
        <w:t>Descriptive Statistics</w:t>
      </w:r>
    </w:p>
    <w:p w14:paraId="55492412" w14:textId="77777777" w:rsidR="00211346" w:rsidRPr="008F141E" w:rsidRDefault="00211346" w:rsidP="00211346">
      <w:pPr>
        <w:jc w:val="both"/>
        <w:rPr>
          <w:rFonts w:asciiTheme="minorEastAsia" w:hAnsiTheme="minorEastAsia"/>
          <w:lang w:val="en-GB"/>
        </w:rPr>
      </w:pPr>
      <w:r w:rsidRPr="008F141E">
        <w:rPr>
          <w:rFonts w:asciiTheme="minorEastAsia" w:hAnsiTheme="minorEastAsia"/>
          <w:lang w:val="en-GB"/>
        </w:rPr>
        <w:t xml:space="preserve">Table </w:t>
      </w:r>
      <w:r>
        <w:rPr>
          <w:rFonts w:asciiTheme="minorEastAsia" w:hAnsiTheme="minorEastAsia"/>
          <w:lang w:val="en-GB"/>
        </w:rPr>
        <w:t>A.3</w:t>
      </w:r>
      <w:r w:rsidRPr="008F141E">
        <w:rPr>
          <w:rFonts w:asciiTheme="minorEastAsia" w:hAnsiTheme="minorEastAsia"/>
          <w:lang w:val="en-GB"/>
        </w:rPr>
        <w:t xml:space="preserve"> presents descriptive statistics for the </w:t>
      </w:r>
      <w:r>
        <w:rPr>
          <w:rFonts w:asciiTheme="minorEastAsia" w:hAnsiTheme="minorEastAsia"/>
          <w:lang w:val="en-GB"/>
        </w:rPr>
        <w:t xml:space="preserve">PTR </w:t>
      </w:r>
      <w:r w:rsidRPr="008F141E">
        <w:rPr>
          <w:rFonts w:asciiTheme="minorEastAsia" w:hAnsiTheme="minorEastAsia"/>
          <w:lang w:val="en-GB"/>
        </w:rPr>
        <w:t>at two time points (2011 and 2020)</w:t>
      </w:r>
      <w:r>
        <w:rPr>
          <w:rFonts w:asciiTheme="minorEastAsia" w:hAnsiTheme="minorEastAsia"/>
          <w:lang w:val="en-GB"/>
        </w:rPr>
        <w:t xml:space="preserve">, </w:t>
      </w:r>
      <w:r w:rsidRPr="008F141E">
        <w:rPr>
          <w:rFonts w:asciiTheme="minorEastAsia" w:hAnsiTheme="minorEastAsia"/>
          <w:lang w:val="en-GB"/>
        </w:rPr>
        <w:t xml:space="preserve">as well as for </w:t>
      </w:r>
      <w:r>
        <w:rPr>
          <w:rFonts w:asciiTheme="minorEastAsia" w:hAnsiTheme="minorEastAsia"/>
          <w:lang w:val="en-GB"/>
        </w:rPr>
        <w:t>the</w:t>
      </w:r>
      <w:r w:rsidRPr="008F141E">
        <w:rPr>
          <w:rFonts w:asciiTheme="minorEastAsia" w:hAnsiTheme="minorEastAsia"/>
          <w:lang w:val="en-GB"/>
        </w:rPr>
        <w:t xml:space="preserve"> set of </w:t>
      </w:r>
      <w:r>
        <w:rPr>
          <w:rFonts w:asciiTheme="minorEastAsia" w:hAnsiTheme="minorEastAsia"/>
          <w:lang w:val="en-GB"/>
        </w:rPr>
        <w:t>16</w:t>
      </w:r>
      <w:r w:rsidRPr="008F141E">
        <w:rPr>
          <w:rFonts w:asciiTheme="minorEastAsia" w:hAnsiTheme="minorEastAsia"/>
          <w:lang w:val="en-GB"/>
        </w:rPr>
        <w:t xml:space="preserve"> sociodemographic </w:t>
      </w:r>
      <w:r>
        <w:rPr>
          <w:rFonts w:asciiTheme="minorEastAsia" w:hAnsiTheme="minorEastAsia"/>
          <w:lang w:val="en-GB"/>
        </w:rPr>
        <w:t xml:space="preserve">BES </w:t>
      </w:r>
      <w:r w:rsidRPr="008F141E">
        <w:rPr>
          <w:rFonts w:asciiTheme="minorEastAsia" w:hAnsiTheme="minorEastAsia"/>
          <w:lang w:val="en-GB"/>
        </w:rPr>
        <w:t>covariates included in the convergence analysis</w:t>
      </w:r>
      <w:r>
        <w:rPr>
          <w:rFonts w:asciiTheme="minorEastAsia" w:hAnsiTheme="minorEastAsia"/>
          <w:lang w:val="en-GB"/>
        </w:rPr>
        <w:t>, considered at the beginning of the study period</w:t>
      </w:r>
      <w:r w:rsidRPr="003874FD">
        <w:rPr>
          <w:rFonts w:asciiTheme="minorEastAsia" w:hAnsiTheme="minorEastAsia"/>
          <w:lang w:val="en-GB"/>
        </w:rPr>
        <w:t xml:space="preserve"> (2011)</w:t>
      </w:r>
      <w:r w:rsidRPr="008F141E">
        <w:rPr>
          <w:rFonts w:asciiTheme="minorEastAsia" w:hAnsiTheme="minorEastAsia"/>
          <w:lang w:val="en-GB"/>
        </w:rPr>
        <w:t xml:space="preserve">. </w:t>
      </w:r>
    </w:p>
    <w:p w14:paraId="71F9AED6" w14:textId="77777777" w:rsidR="00211346" w:rsidRPr="003622AB" w:rsidRDefault="00211346" w:rsidP="00211346">
      <w:pPr>
        <w:jc w:val="both"/>
        <w:rPr>
          <w:rFonts w:asciiTheme="minorEastAsia" w:hAnsiTheme="minorEastAsia"/>
          <w:lang w:val="en-GB"/>
        </w:rPr>
      </w:pPr>
      <w:r w:rsidRPr="003622AB">
        <w:rPr>
          <w:rFonts w:asciiTheme="minorEastAsia" w:hAnsiTheme="minorEastAsia"/>
          <w:lang w:val="en-GB"/>
        </w:rPr>
        <w:t xml:space="preserve">The summary statistics reported in Table A.3 reveal that the PTR exhibited a slight upward shift between 2011 and 2020, with the mean increasing from 0.080 (SD = 0.014) to 0.081 (SD = 0.015) and the interquartile median rising from 0.079 to 0.082. Both distributions are approximately symmetric (skewness of </w:t>
      </w:r>
      <w:r>
        <w:rPr>
          <w:rFonts w:asciiTheme="minorEastAsia" w:hAnsiTheme="minorEastAsia"/>
          <w:lang w:val="en-GB"/>
        </w:rPr>
        <w:t>-</w:t>
      </w:r>
      <w:r w:rsidRPr="003622AB">
        <w:rPr>
          <w:rFonts w:asciiTheme="minorEastAsia" w:hAnsiTheme="minorEastAsia"/>
          <w:lang w:val="en-GB"/>
        </w:rPr>
        <w:t xml:space="preserve">0.076 and </w:t>
      </w:r>
      <w:r>
        <w:rPr>
          <w:rFonts w:asciiTheme="minorEastAsia" w:hAnsiTheme="minorEastAsia"/>
          <w:lang w:val="en-GB"/>
        </w:rPr>
        <w:t>-</w:t>
      </w:r>
      <w:r w:rsidRPr="003622AB">
        <w:rPr>
          <w:rFonts w:asciiTheme="minorEastAsia" w:hAnsiTheme="minorEastAsia"/>
          <w:lang w:val="en-GB"/>
        </w:rPr>
        <w:t xml:space="preserve">0.201, respectively) and platykurtic (kurtosis of </w:t>
      </w:r>
      <w:r>
        <w:rPr>
          <w:rFonts w:asciiTheme="minorEastAsia" w:hAnsiTheme="minorEastAsia"/>
          <w:lang w:val="en-GB"/>
        </w:rPr>
        <w:t>-</w:t>
      </w:r>
      <w:r w:rsidRPr="003622AB">
        <w:rPr>
          <w:rFonts w:asciiTheme="minorEastAsia" w:hAnsiTheme="minorEastAsia"/>
          <w:lang w:val="en-GB"/>
        </w:rPr>
        <w:t>1.184 and 1.107), indicating a slight concentration of observations around the mean and relatively light tails.</w:t>
      </w:r>
    </w:p>
    <w:p w14:paraId="12B541F4" w14:textId="77777777" w:rsidR="00211346" w:rsidRPr="003622AB" w:rsidRDefault="00211346" w:rsidP="00211346">
      <w:pPr>
        <w:jc w:val="both"/>
        <w:rPr>
          <w:rFonts w:asciiTheme="minorEastAsia" w:hAnsiTheme="minorEastAsia"/>
          <w:lang w:val="en-GB"/>
        </w:rPr>
      </w:pPr>
      <w:r w:rsidRPr="003622AB">
        <w:rPr>
          <w:rFonts w:asciiTheme="minorEastAsia" w:hAnsiTheme="minorEastAsia" w:hint="eastAsia"/>
          <w:lang w:val="en-GB"/>
        </w:rPr>
        <w:t xml:space="preserve">Among the </w:t>
      </w:r>
      <w:r>
        <w:rPr>
          <w:rFonts w:asciiTheme="minorEastAsia" w:hAnsiTheme="minorEastAsia"/>
          <w:lang w:val="en-GB"/>
        </w:rPr>
        <w:t>16</w:t>
      </w:r>
      <w:r w:rsidRPr="003622AB">
        <w:rPr>
          <w:rFonts w:asciiTheme="minorEastAsia" w:hAnsiTheme="minorEastAsia" w:hint="eastAsia"/>
          <w:lang w:val="en-GB"/>
        </w:rPr>
        <w:t xml:space="preserve"> BES indicators, variability is markedly heterogeneous. Mortality indicators range from low‐variance measures</w:t>
      </w:r>
      <w:r>
        <w:rPr>
          <w:rFonts w:asciiTheme="minorEastAsia" w:hAnsiTheme="minorEastAsia"/>
          <w:lang w:val="en-GB"/>
        </w:rPr>
        <w:t xml:space="preserve"> – </w:t>
      </w:r>
      <w:r w:rsidRPr="003622AB">
        <w:rPr>
          <w:rFonts w:asciiTheme="minorEastAsia" w:hAnsiTheme="minorEastAsia" w:hint="eastAsia"/>
          <w:lang w:val="en-GB"/>
        </w:rPr>
        <w:t>such as cancer mortality (mean = 9.502, SD = 0.931; skewness = 0.474)</w:t>
      </w:r>
      <w:r>
        <w:rPr>
          <w:rFonts w:asciiTheme="minorEastAsia" w:hAnsiTheme="minorEastAsia"/>
          <w:lang w:val="en-GB"/>
        </w:rPr>
        <w:t xml:space="preserve"> – </w:t>
      </w:r>
      <w:r w:rsidRPr="003622AB">
        <w:rPr>
          <w:rFonts w:asciiTheme="minorEastAsia" w:hAnsiTheme="minorEastAsia" w:hint="eastAsia"/>
          <w:lang w:val="en-GB"/>
        </w:rPr>
        <w:t>to highly dispersed outcomes</w:t>
      </w:r>
      <w:r>
        <w:rPr>
          <w:rFonts w:asciiTheme="minorEastAsia" w:hAnsiTheme="minorEastAsia"/>
          <w:lang w:val="en-GB"/>
        </w:rPr>
        <w:t xml:space="preserve"> – </w:t>
      </w:r>
      <w:r w:rsidRPr="003622AB">
        <w:rPr>
          <w:rFonts w:asciiTheme="minorEastAsia" w:hAnsiTheme="minorEastAsia" w:hint="eastAsia"/>
          <w:lang w:val="en-GB"/>
        </w:rPr>
        <w:t xml:space="preserve">road accident mortality (mean = 0.987, SD = 0.536; skewness = 1.272) and dementia‐related mortality (mean = 28.144, SD = 4.623; skewness = 0.248). Early childhood service utilization (mean = 13.531, SD = 7.246; skewness = 0.213) and the proportion of young municipal administrators (mean = 31.441, SD = 4.703; skewness = </w:t>
      </w:r>
      <w:r>
        <w:rPr>
          <w:rFonts w:asciiTheme="minorEastAsia" w:hAnsiTheme="minorEastAsia"/>
          <w:lang w:val="en-GB"/>
        </w:rPr>
        <w:t>-</w:t>
      </w:r>
      <w:r w:rsidRPr="003622AB">
        <w:rPr>
          <w:rFonts w:asciiTheme="minorEastAsia" w:hAnsiTheme="minorEastAsia" w:hint="eastAsia"/>
          <w:lang w:val="en-GB"/>
        </w:rPr>
        <w:t>0.043) both display modest dispersion and near‐zero skewness.</w:t>
      </w:r>
    </w:p>
    <w:p w14:paraId="4EAFEB02" w14:textId="77777777" w:rsidR="00211346" w:rsidRDefault="00211346" w:rsidP="00211346">
      <w:pPr>
        <w:jc w:val="both"/>
        <w:rPr>
          <w:rFonts w:asciiTheme="minorEastAsia" w:hAnsiTheme="minorEastAsia"/>
          <w:lang w:val="en-GB"/>
        </w:rPr>
      </w:pPr>
      <w:r w:rsidRPr="003622AB">
        <w:rPr>
          <w:rFonts w:asciiTheme="minorEastAsia" w:hAnsiTheme="minorEastAsia" w:hint="eastAsia"/>
          <w:lang w:val="en-GB"/>
        </w:rPr>
        <w:t xml:space="preserve">Financial and crime‐related metrics show greater heterogeneity: municipal revenue capacity averages 74.548 (SD = 10.190; skewness = </w:t>
      </w:r>
      <w:r>
        <w:rPr>
          <w:rFonts w:asciiTheme="minorEastAsia" w:hAnsiTheme="minorEastAsia"/>
          <w:lang w:val="en-GB"/>
        </w:rPr>
        <w:t>-</w:t>
      </w:r>
      <w:r w:rsidRPr="003622AB">
        <w:rPr>
          <w:rFonts w:asciiTheme="minorEastAsia" w:hAnsiTheme="minorEastAsia" w:hint="eastAsia"/>
          <w:lang w:val="en-GB"/>
        </w:rPr>
        <w:t>0.468), whereas reported robberies present an extremely right‐tailed distribution (mean = 42.086, SD = 36.443; skewness = 3.095; kurtosis = 13.545). Agritourism spread (mean = 6.596, SD = 5.256; skewness = 1.577) and cultural enterprise employment (mean = 1.169, SD = 0.418; skewness = 3.661) similarly exhibit pronounced positive skew. Green‐space indicators are among the most variable: historical green area density (mean = 1.682, SD = 4.168; skewness = 6.582) and urban green availability (mean = 45.329, SD = 102.598; skewness = 7.194) both feature extreme ranges and heavy right‐hand tails. Finally, innovation propensity (mean =</w:t>
      </w:r>
      <w:r w:rsidRPr="003622AB">
        <w:rPr>
          <w:rFonts w:asciiTheme="minorEastAsia" w:hAnsiTheme="minorEastAsia"/>
          <w:lang w:val="en-GB"/>
        </w:rPr>
        <w:t xml:space="preserve"> 68.333, SD = 72.545; skewness = 2.505), hospital emigration (mean = 9.380, SD = 5.851; skewness = 1.142), and specialist </w:t>
      </w:r>
      <w:r>
        <w:rPr>
          <w:rFonts w:asciiTheme="minorEastAsia" w:hAnsiTheme="minorEastAsia"/>
          <w:lang w:val="en-GB"/>
        </w:rPr>
        <w:t>doctors</w:t>
      </w:r>
      <w:r w:rsidRPr="003622AB">
        <w:rPr>
          <w:rFonts w:asciiTheme="minorEastAsia" w:hAnsiTheme="minorEastAsia"/>
          <w:lang w:val="en-GB"/>
        </w:rPr>
        <w:t xml:space="preserve"> density (mean = 27.607, SD = 7.836; skewness = 1.084) all display moderate to high </w:t>
      </w:r>
      <w:r w:rsidRPr="003622AB">
        <w:rPr>
          <w:rFonts w:asciiTheme="minorEastAsia" w:hAnsiTheme="minorEastAsia"/>
          <w:lang w:val="en-GB"/>
        </w:rPr>
        <w:lastRenderedPageBreak/>
        <w:t>positive skewness, underscoring the uneve</w:t>
      </w:r>
      <w:r w:rsidRPr="003622AB">
        <w:rPr>
          <w:rFonts w:asciiTheme="minorEastAsia" w:hAnsiTheme="minorEastAsia" w:hint="eastAsia"/>
          <w:lang w:val="en-GB"/>
        </w:rPr>
        <w:t>n distribution of socioeconomic resources and health‐care outflows across the provinces.</w:t>
      </w:r>
    </w:p>
    <w:p w14:paraId="4DD77C80" w14:textId="77777777" w:rsidR="00211346" w:rsidRPr="007122EE" w:rsidRDefault="00211346" w:rsidP="00211346">
      <w:pPr>
        <w:jc w:val="both"/>
        <w:rPr>
          <w:rFonts w:asciiTheme="minorEastAsia" w:hAnsiTheme="minorEastAsia"/>
          <w:highlight w:val="yellow"/>
          <w:lang w:val="en-GB"/>
        </w:rPr>
      </w:pPr>
    </w:p>
    <w:tbl>
      <w:tblPr>
        <w:tblStyle w:val="TableGrid"/>
        <w:tblW w:w="9207" w:type="dxa"/>
        <w:tblBorders>
          <w:left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061"/>
        <w:gridCol w:w="794"/>
        <w:gridCol w:w="794"/>
        <w:gridCol w:w="794"/>
        <w:gridCol w:w="794"/>
        <w:gridCol w:w="794"/>
        <w:gridCol w:w="794"/>
        <w:gridCol w:w="794"/>
        <w:gridCol w:w="794"/>
        <w:gridCol w:w="794"/>
      </w:tblGrid>
      <w:tr w:rsidR="00211346" w:rsidRPr="005D28E6" w14:paraId="6E8F6BF3" w14:textId="77777777" w:rsidTr="00D25C60">
        <w:trPr>
          <w:trHeight w:val="290"/>
        </w:trPr>
        <w:tc>
          <w:tcPr>
            <w:tcW w:w="9207" w:type="dxa"/>
            <w:gridSpan w:val="10"/>
            <w:tcBorders>
              <w:top w:val="nil"/>
              <w:bottom w:val="nil"/>
            </w:tcBorders>
            <w:noWrap/>
          </w:tcPr>
          <w:p w14:paraId="5ED00CFF" w14:textId="77777777" w:rsidR="00211346" w:rsidRPr="005D28E6" w:rsidRDefault="00211346" w:rsidP="00D25C60">
            <w:pPr>
              <w:rPr>
                <w:rFonts w:asciiTheme="minorEastAsia" w:hAnsiTheme="minorEastAsia" w:cs="Arial"/>
                <w:sz w:val="16"/>
                <w:szCs w:val="16"/>
              </w:rPr>
            </w:pPr>
            <w:r w:rsidRPr="005D28E6">
              <w:rPr>
                <w:rFonts w:asciiTheme="minorEastAsia" w:hAnsiTheme="minorEastAsia" w:cs="Arial"/>
                <w:i/>
                <w:iCs/>
                <w:sz w:val="16"/>
                <w:szCs w:val="16"/>
              </w:rPr>
              <w:t xml:space="preserve">Table A.3 – </w:t>
            </w:r>
            <w:r w:rsidRPr="005D28E6">
              <w:rPr>
                <w:rFonts w:asciiTheme="minorEastAsia" w:hAnsiTheme="minorEastAsia" w:cs="Arial"/>
                <w:sz w:val="16"/>
                <w:szCs w:val="16"/>
              </w:rPr>
              <w:t>Summary statistics.</w:t>
            </w:r>
          </w:p>
        </w:tc>
      </w:tr>
      <w:tr w:rsidR="00211346" w:rsidRPr="005D28E6" w14:paraId="4B1BC23D" w14:textId="77777777" w:rsidTr="00D25C60">
        <w:trPr>
          <w:trHeight w:val="290"/>
        </w:trPr>
        <w:tc>
          <w:tcPr>
            <w:tcW w:w="2061" w:type="dxa"/>
            <w:tcBorders>
              <w:top w:val="nil"/>
            </w:tcBorders>
            <w:noWrap/>
            <w:vAlign w:val="center"/>
            <w:hideMark/>
          </w:tcPr>
          <w:p w14:paraId="0F2D36E7" w14:textId="77777777" w:rsidR="00211346" w:rsidRPr="005D28E6" w:rsidRDefault="00211346" w:rsidP="00D25C60">
            <w:pPr>
              <w:jc w:val="center"/>
              <w:rPr>
                <w:rFonts w:asciiTheme="minorEastAsia" w:hAnsiTheme="minorEastAsia" w:cs="Arial"/>
                <w:b/>
                <w:bCs/>
                <w:sz w:val="16"/>
                <w:szCs w:val="16"/>
              </w:rPr>
            </w:pPr>
            <w:r w:rsidRPr="005D28E6">
              <w:rPr>
                <w:rFonts w:asciiTheme="minorEastAsia" w:hAnsiTheme="minorEastAsia" w:cs="Arial"/>
                <w:b/>
                <w:bCs/>
                <w:sz w:val="16"/>
                <w:szCs w:val="16"/>
              </w:rPr>
              <w:t>variable</w:t>
            </w:r>
          </w:p>
        </w:tc>
        <w:tc>
          <w:tcPr>
            <w:tcW w:w="794" w:type="dxa"/>
            <w:tcBorders>
              <w:top w:val="nil"/>
            </w:tcBorders>
            <w:noWrap/>
            <w:vAlign w:val="center"/>
            <w:hideMark/>
          </w:tcPr>
          <w:p w14:paraId="549FE581" w14:textId="77777777" w:rsidR="00211346" w:rsidRPr="005D28E6" w:rsidRDefault="00211346" w:rsidP="00D25C60">
            <w:pPr>
              <w:jc w:val="center"/>
              <w:rPr>
                <w:rFonts w:asciiTheme="minorEastAsia" w:hAnsiTheme="minorEastAsia" w:cs="Arial"/>
                <w:b/>
                <w:bCs/>
                <w:sz w:val="16"/>
                <w:szCs w:val="16"/>
              </w:rPr>
            </w:pPr>
            <w:r w:rsidRPr="005D28E6">
              <w:rPr>
                <w:rFonts w:asciiTheme="minorEastAsia" w:hAnsiTheme="minorEastAsia" w:cs="Arial"/>
                <w:b/>
                <w:bCs/>
                <w:sz w:val="16"/>
                <w:szCs w:val="16"/>
              </w:rPr>
              <w:t>mean</w:t>
            </w:r>
          </w:p>
        </w:tc>
        <w:tc>
          <w:tcPr>
            <w:tcW w:w="794" w:type="dxa"/>
            <w:tcBorders>
              <w:top w:val="nil"/>
            </w:tcBorders>
            <w:noWrap/>
            <w:vAlign w:val="center"/>
            <w:hideMark/>
          </w:tcPr>
          <w:p w14:paraId="15345870" w14:textId="77777777" w:rsidR="00211346" w:rsidRPr="005D28E6" w:rsidRDefault="00211346" w:rsidP="00D25C60">
            <w:pPr>
              <w:jc w:val="center"/>
              <w:rPr>
                <w:rFonts w:asciiTheme="minorEastAsia" w:hAnsiTheme="minorEastAsia" w:cs="Arial"/>
                <w:b/>
                <w:bCs/>
                <w:sz w:val="16"/>
                <w:szCs w:val="16"/>
              </w:rPr>
            </w:pPr>
            <w:r w:rsidRPr="005D28E6">
              <w:rPr>
                <w:rFonts w:asciiTheme="minorEastAsia" w:hAnsiTheme="minorEastAsia" w:cs="Arial"/>
                <w:b/>
                <w:bCs/>
                <w:sz w:val="16"/>
                <w:szCs w:val="16"/>
              </w:rPr>
              <w:t>sd</w:t>
            </w:r>
          </w:p>
        </w:tc>
        <w:tc>
          <w:tcPr>
            <w:tcW w:w="794" w:type="dxa"/>
            <w:tcBorders>
              <w:top w:val="nil"/>
            </w:tcBorders>
            <w:noWrap/>
            <w:vAlign w:val="center"/>
            <w:hideMark/>
          </w:tcPr>
          <w:p w14:paraId="14317A9C" w14:textId="77777777" w:rsidR="00211346" w:rsidRPr="005D28E6" w:rsidRDefault="00211346" w:rsidP="00D25C60">
            <w:pPr>
              <w:jc w:val="center"/>
              <w:rPr>
                <w:rFonts w:asciiTheme="minorEastAsia" w:hAnsiTheme="minorEastAsia" w:cs="Arial"/>
                <w:b/>
                <w:bCs/>
                <w:sz w:val="16"/>
                <w:szCs w:val="16"/>
              </w:rPr>
            </w:pPr>
            <w:r w:rsidRPr="005D28E6">
              <w:rPr>
                <w:rFonts w:asciiTheme="minorEastAsia" w:hAnsiTheme="minorEastAsia" w:cs="Arial"/>
                <w:b/>
                <w:bCs/>
                <w:sz w:val="16"/>
                <w:szCs w:val="16"/>
              </w:rPr>
              <w:t>median</w:t>
            </w:r>
          </w:p>
        </w:tc>
        <w:tc>
          <w:tcPr>
            <w:tcW w:w="794" w:type="dxa"/>
            <w:tcBorders>
              <w:top w:val="nil"/>
            </w:tcBorders>
            <w:noWrap/>
            <w:vAlign w:val="center"/>
            <w:hideMark/>
          </w:tcPr>
          <w:p w14:paraId="493975CF" w14:textId="77777777" w:rsidR="00211346" w:rsidRPr="005D28E6" w:rsidRDefault="00211346" w:rsidP="00D25C60">
            <w:pPr>
              <w:jc w:val="center"/>
              <w:rPr>
                <w:rFonts w:asciiTheme="minorEastAsia" w:hAnsiTheme="minorEastAsia" w:cs="Arial"/>
                <w:b/>
                <w:bCs/>
                <w:sz w:val="16"/>
                <w:szCs w:val="16"/>
              </w:rPr>
            </w:pPr>
            <w:r w:rsidRPr="005D28E6">
              <w:rPr>
                <w:rFonts w:asciiTheme="minorEastAsia" w:hAnsiTheme="minorEastAsia" w:cs="Arial"/>
                <w:b/>
                <w:bCs/>
                <w:sz w:val="16"/>
                <w:szCs w:val="16"/>
              </w:rPr>
              <w:t>min</w:t>
            </w:r>
          </w:p>
        </w:tc>
        <w:tc>
          <w:tcPr>
            <w:tcW w:w="794" w:type="dxa"/>
            <w:tcBorders>
              <w:top w:val="nil"/>
            </w:tcBorders>
            <w:noWrap/>
            <w:vAlign w:val="center"/>
            <w:hideMark/>
          </w:tcPr>
          <w:p w14:paraId="3C695673" w14:textId="77777777" w:rsidR="00211346" w:rsidRPr="005D28E6" w:rsidRDefault="00211346" w:rsidP="00D25C60">
            <w:pPr>
              <w:jc w:val="center"/>
              <w:rPr>
                <w:rFonts w:asciiTheme="minorEastAsia" w:hAnsiTheme="minorEastAsia" w:cs="Arial"/>
                <w:b/>
                <w:bCs/>
                <w:sz w:val="16"/>
                <w:szCs w:val="16"/>
              </w:rPr>
            </w:pPr>
            <w:r w:rsidRPr="005D28E6">
              <w:rPr>
                <w:rFonts w:asciiTheme="minorEastAsia" w:hAnsiTheme="minorEastAsia" w:cs="Arial"/>
                <w:b/>
                <w:bCs/>
                <w:sz w:val="16"/>
                <w:szCs w:val="16"/>
              </w:rPr>
              <w:t>max</w:t>
            </w:r>
          </w:p>
        </w:tc>
        <w:tc>
          <w:tcPr>
            <w:tcW w:w="794" w:type="dxa"/>
            <w:tcBorders>
              <w:top w:val="nil"/>
            </w:tcBorders>
            <w:noWrap/>
            <w:vAlign w:val="center"/>
            <w:hideMark/>
          </w:tcPr>
          <w:p w14:paraId="302641DC" w14:textId="77777777" w:rsidR="00211346" w:rsidRPr="005D28E6" w:rsidRDefault="00211346" w:rsidP="00D25C60">
            <w:pPr>
              <w:jc w:val="center"/>
              <w:rPr>
                <w:rFonts w:asciiTheme="minorEastAsia" w:hAnsiTheme="minorEastAsia" w:cs="Arial"/>
                <w:b/>
                <w:bCs/>
                <w:sz w:val="16"/>
                <w:szCs w:val="16"/>
              </w:rPr>
            </w:pPr>
            <w:r w:rsidRPr="005D28E6">
              <w:rPr>
                <w:rFonts w:asciiTheme="minorEastAsia" w:hAnsiTheme="minorEastAsia" w:cs="Arial"/>
                <w:b/>
                <w:bCs/>
                <w:sz w:val="16"/>
                <w:szCs w:val="16"/>
              </w:rPr>
              <w:t>range</w:t>
            </w:r>
          </w:p>
        </w:tc>
        <w:tc>
          <w:tcPr>
            <w:tcW w:w="794" w:type="dxa"/>
            <w:tcBorders>
              <w:top w:val="nil"/>
            </w:tcBorders>
            <w:noWrap/>
            <w:vAlign w:val="center"/>
            <w:hideMark/>
          </w:tcPr>
          <w:p w14:paraId="46B964B8" w14:textId="77777777" w:rsidR="00211346" w:rsidRPr="005D28E6" w:rsidRDefault="00211346" w:rsidP="00D25C60">
            <w:pPr>
              <w:jc w:val="center"/>
              <w:rPr>
                <w:rFonts w:asciiTheme="minorEastAsia" w:hAnsiTheme="minorEastAsia" w:cs="Arial"/>
                <w:b/>
                <w:bCs/>
                <w:sz w:val="16"/>
                <w:szCs w:val="16"/>
              </w:rPr>
            </w:pPr>
            <w:r w:rsidRPr="005D28E6">
              <w:rPr>
                <w:rFonts w:asciiTheme="minorEastAsia" w:hAnsiTheme="minorEastAsia" w:cs="Arial"/>
                <w:b/>
                <w:bCs/>
                <w:sz w:val="16"/>
                <w:szCs w:val="16"/>
              </w:rPr>
              <w:t>skew</w:t>
            </w:r>
          </w:p>
        </w:tc>
        <w:tc>
          <w:tcPr>
            <w:tcW w:w="794" w:type="dxa"/>
            <w:tcBorders>
              <w:top w:val="nil"/>
            </w:tcBorders>
            <w:noWrap/>
            <w:vAlign w:val="center"/>
            <w:hideMark/>
          </w:tcPr>
          <w:p w14:paraId="5159D1D7" w14:textId="77777777" w:rsidR="00211346" w:rsidRPr="005D28E6" w:rsidRDefault="00211346" w:rsidP="00D25C60">
            <w:pPr>
              <w:jc w:val="center"/>
              <w:rPr>
                <w:rFonts w:asciiTheme="minorEastAsia" w:hAnsiTheme="minorEastAsia" w:cs="Arial"/>
                <w:b/>
                <w:bCs/>
                <w:sz w:val="16"/>
                <w:szCs w:val="16"/>
              </w:rPr>
            </w:pPr>
            <w:r w:rsidRPr="005D28E6">
              <w:rPr>
                <w:rFonts w:asciiTheme="minorEastAsia" w:hAnsiTheme="minorEastAsia" w:cs="Arial"/>
                <w:b/>
                <w:bCs/>
                <w:sz w:val="16"/>
                <w:szCs w:val="16"/>
              </w:rPr>
              <w:t>kurtosis</w:t>
            </w:r>
          </w:p>
        </w:tc>
        <w:tc>
          <w:tcPr>
            <w:tcW w:w="794" w:type="dxa"/>
            <w:tcBorders>
              <w:top w:val="nil"/>
            </w:tcBorders>
            <w:noWrap/>
            <w:vAlign w:val="center"/>
            <w:hideMark/>
          </w:tcPr>
          <w:p w14:paraId="7DD40DA1" w14:textId="77777777" w:rsidR="00211346" w:rsidRPr="005D28E6" w:rsidRDefault="00211346" w:rsidP="00D25C60">
            <w:pPr>
              <w:jc w:val="center"/>
              <w:rPr>
                <w:rFonts w:asciiTheme="minorEastAsia" w:hAnsiTheme="minorEastAsia" w:cs="Arial"/>
                <w:b/>
                <w:bCs/>
                <w:sz w:val="16"/>
                <w:szCs w:val="16"/>
              </w:rPr>
            </w:pPr>
            <w:r w:rsidRPr="005D28E6">
              <w:rPr>
                <w:rFonts w:asciiTheme="minorEastAsia" w:hAnsiTheme="minorEastAsia" w:cs="Arial"/>
                <w:b/>
                <w:bCs/>
                <w:sz w:val="16"/>
                <w:szCs w:val="16"/>
              </w:rPr>
              <w:t>se</w:t>
            </w:r>
          </w:p>
        </w:tc>
      </w:tr>
      <w:tr w:rsidR="00211346" w:rsidRPr="005D28E6" w14:paraId="46B32BEC" w14:textId="77777777" w:rsidTr="00D25C60">
        <w:trPr>
          <w:trHeight w:val="290"/>
        </w:trPr>
        <w:tc>
          <w:tcPr>
            <w:tcW w:w="2061" w:type="dxa"/>
            <w:noWrap/>
            <w:vAlign w:val="center"/>
            <w:hideMark/>
          </w:tcPr>
          <w:p w14:paraId="02F7759B" w14:textId="77777777" w:rsidR="00211346" w:rsidRPr="005D28E6" w:rsidRDefault="00211346" w:rsidP="00D25C60">
            <w:pPr>
              <w:rPr>
                <w:rFonts w:asciiTheme="minorEastAsia" w:hAnsiTheme="minorEastAsia" w:cs="Arial"/>
                <w:sz w:val="16"/>
                <w:szCs w:val="16"/>
              </w:rPr>
            </w:pPr>
            <w:r w:rsidRPr="005D28E6">
              <w:rPr>
                <w:rFonts w:asciiTheme="minorEastAsia" w:hAnsiTheme="minorEastAsia" w:cs="Arial"/>
                <w:sz w:val="16"/>
                <w:szCs w:val="16"/>
              </w:rPr>
              <w:t>PTR 2011</w:t>
            </w:r>
          </w:p>
        </w:tc>
        <w:tc>
          <w:tcPr>
            <w:tcW w:w="794" w:type="dxa"/>
            <w:noWrap/>
            <w:vAlign w:val="center"/>
            <w:hideMark/>
          </w:tcPr>
          <w:p w14:paraId="6A676DCF"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0.08</w:t>
            </w:r>
          </w:p>
        </w:tc>
        <w:tc>
          <w:tcPr>
            <w:tcW w:w="794" w:type="dxa"/>
            <w:noWrap/>
            <w:vAlign w:val="center"/>
            <w:hideMark/>
          </w:tcPr>
          <w:p w14:paraId="1CEC8861"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0.014</w:t>
            </w:r>
          </w:p>
        </w:tc>
        <w:tc>
          <w:tcPr>
            <w:tcW w:w="794" w:type="dxa"/>
            <w:noWrap/>
            <w:vAlign w:val="center"/>
            <w:hideMark/>
          </w:tcPr>
          <w:p w14:paraId="3938A41E"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0.079</w:t>
            </w:r>
          </w:p>
        </w:tc>
        <w:tc>
          <w:tcPr>
            <w:tcW w:w="794" w:type="dxa"/>
            <w:noWrap/>
            <w:vAlign w:val="center"/>
            <w:hideMark/>
          </w:tcPr>
          <w:p w14:paraId="4CFCD330"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0.049</w:t>
            </w:r>
          </w:p>
        </w:tc>
        <w:tc>
          <w:tcPr>
            <w:tcW w:w="794" w:type="dxa"/>
            <w:noWrap/>
            <w:vAlign w:val="center"/>
            <w:hideMark/>
          </w:tcPr>
          <w:p w14:paraId="1A3EAC6F"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0.104</w:t>
            </w:r>
          </w:p>
        </w:tc>
        <w:tc>
          <w:tcPr>
            <w:tcW w:w="794" w:type="dxa"/>
            <w:noWrap/>
            <w:vAlign w:val="center"/>
            <w:hideMark/>
          </w:tcPr>
          <w:p w14:paraId="7169E98D"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0.055</w:t>
            </w:r>
          </w:p>
        </w:tc>
        <w:tc>
          <w:tcPr>
            <w:tcW w:w="794" w:type="dxa"/>
            <w:noWrap/>
            <w:vAlign w:val="center"/>
            <w:hideMark/>
          </w:tcPr>
          <w:p w14:paraId="0731AE27"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-0.076</w:t>
            </w:r>
          </w:p>
        </w:tc>
        <w:tc>
          <w:tcPr>
            <w:tcW w:w="794" w:type="dxa"/>
            <w:noWrap/>
            <w:vAlign w:val="center"/>
            <w:hideMark/>
          </w:tcPr>
          <w:p w14:paraId="17F2BF40"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-1.184</w:t>
            </w:r>
          </w:p>
        </w:tc>
        <w:tc>
          <w:tcPr>
            <w:tcW w:w="794" w:type="dxa"/>
            <w:noWrap/>
            <w:vAlign w:val="center"/>
            <w:hideMark/>
          </w:tcPr>
          <w:p w14:paraId="569FACC0"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0.001</w:t>
            </w:r>
          </w:p>
        </w:tc>
      </w:tr>
      <w:tr w:rsidR="00211346" w:rsidRPr="005D28E6" w14:paraId="3E5C5457" w14:textId="77777777" w:rsidTr="00D25C60">
        <w:trPr>
          <w:trHeight w:val="290"/>
        </w:trPr>
        <w:tc>
          <w:tcPr>
            <w:tcW w:w="2061" w:type="dxa"/>
            <w:noWrap/>
            <w:vAlign w:val="center"/>
            <w:hideMark/>
          </w:tcPr>
          <w:p w14:paraId="62A8E555" w14:textId="77777777" w:rsidR="00211346" w:rsidRPr="005D28E6" w:rsidRDefault="00211346" w:rsidP="00D25C60">
            <w:pPr>
              <w:rPr>
                <w:rFonts w:asciiTheme="minorEastAsia" w:hAnsiTheme="minorEastAsia" w:cs="Arial"/>
                <w:sz w:val="16"/>
                <w:szCs w:val="16"/>
              </w:rPr>
            </w:pPr>
            <w:r w:rsidRPr="005D28E6">
              <w:rPr>
                <w:rFonts w:asciiTheme="minorEastAsia" w:hAnsiTheme="minorEastAsia" w:cs="Arial"/>
                <w:sz w:val="16"/>
                <w:szCs w:val="16"/>
              </w:rPr>
              <w:t>PTR 2020</w:t>
            </w:r>
          </w:p>
        </w:tc>
        <w:tc>
          <w:tcPr>
            <w:tcW w:w="794" w:type="dxa"/>
            <w:noWrap/>
            <w:vAlign w:val="center"/>
            <w:hideMark/>
          </w:tcPr>
          <w:p w14:paraId="0472DD9A"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0.081</w:t>
            </w:r>
          </w:p>
        </w:tc>
        <w:tc>
          <w:tcPr>
            <w:tcW w:w="794" w:type="dxa"/>
            <w:noWrap/>
            <w:vAlign w:val="center"/>
            <w:hideMark/>
          </w:tcPr>
          <w:p w14:paraId="45AC09C1"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0.015</w:t>
            </w:r>
          </w:p>
        </w:tc>
        <w:tc>
          <w:tcPr>
            <w:tcW w:w="794" w:type="dxa"/>
            <w:noWrap/>
            <w:vAlign w:val="center"/>
            <w:hideMark/>
          </w:tcPr>
          <w:p w14:paraId="73FEFC6A"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0.082</w:t>
            </w:r>
          </w:p>
        </w:tc>
        <w:tc>
          <w:tcPr>
            <w:tcW w:w="794" w:type="dxa"/>
            <w:noWrap/>
            <w:vAlign w:val="center"/>
            <w:hideMark/>
          </w:tcPr>
          <w:p w14:paraId="18265D68"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0.047</w:t>
            </w:r>
          </w:p>
        </w:tc>
        <w:tc>
          <w:tcPr>
            <w:tcW w:w="794" w:type="dxa"/>
            <w:noWrap/>
            <w:vAlign w:val="center"/>
            <w:hideMark/>
          </w:tcPr>
          <w:p w14:paraId="12DA0BAB"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0.112</w:t>
            </w:r>
          </w:p>
        </w:tc>
        <w:tc>
          <w:tcPr>
            <w:tcW w:w="794" w:type="dxa"/>
            <w:noWrap/>
            <w:vAlign w:val="center"/>
            <w:hideMark/>
          </w:tcPr>
          <w:p w14:paraId="51FE4B07"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0.065</w:t>
            </w:r>
          </w:p>
        </w:tc>
        <w:tc>
          <w:tcPr>
            <w:tcW w:w="794" w:type="dxa"/>
            <w:noWrap/>
            <w:vAlign w:val="center"/>
            <w:hideMark/>
          </w:tcPr>
          <w:p w14:paraId="23913651"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-0.201</w:t>
            </w:r>
          </w:p>
        </w:tc>
        <w:tc>
          <w:tcPr>
            <w:tcW w:w="794" w:type="dxa"/>
            <w:noWrap/>
            <w:vAlign w:val="center"/>
            <w:hideMark/>
          </w:tcPr>
          <w:p w14:paraId="14DD950C"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-1.107</w:t>
            </w:r>
          </w:p>
        </w:tc>
        <w:tc>
          <w:tcPr>
            <w:tcW w:w="794" w:type="dxa"/>
            <w:noWrap/>
            <w:vAlign w:val="center"/>
            <w:hideMark/>
          </w:tcPr>
          <w:p w14:paraId="13ABBC1D"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0.002</w:t>
            </w:r>
          </w:p>
        </w:tc>
      </w:tr>
      <w:tr w:rsidR="00211346" w:rsidRPr="005D28E6" w14:paraId="3588C43D" w14:textId="77777777" w:rsidTr="00D25C60">
        <w:trPr>
          <w:trHeight w:val="290"/>
        </w:trPr>
        <w:tc>
          <w:tcPr>
            <w:tcW w:w="2061" w:type="dxa"/>
            <w:noWrap/>
            <w:vAlign w:val="bottom"/>
            <w:hideMark/>
          </w:tcPr>
          <w:p w14:paraId="771C6318" w14:textId="77777777" w:rsidR="00211346" w:rsidRPr="005D28E6" w:rsidRDefault="00211346" w:rsidP="00D25C60">
            <w:pPr>
              <w:rPr>
                <w:rFonts w:asciiTheme="minorEastAsia" w:hAnsiTheme="minorEastAsia" w:cs="Arial"/>
                <w:sz w:val="16"/>
                <w:szCs w:val="16"/>
                <w:highlight w:val="yellow"/>
              </w:rPr>
            </w:pPr>
            <w:r w:rsidRPr="005D28E6">
              <w:rPr>
                <w:rFonts w:asciiTheme="minorEastAsia" w:hAnsiTheme="minorEastAsia" w:cs="Arial"/>
                <w:sz w:val="16"/>
                <w:szCs w:val="16"/>
              </w:rPr>
              <w:t>Infant mortality</w:t>
            </w:r>
          </w:p>
        </w:tc>
        <w:tc>
          <w:tcPr>
            <w:tcW w:w="794" w:type="dxa"/>
            <w:noWrap/>
            <w:vAlign w:val="center"/>
            <w:hideMark/>
          </w:tcPr>
          <w:p w14:paraId="17129997"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2.911</w:t>
            </w:r>
          </w:p>
        </w:tc>
        <w:tc>
          <w:tcPr>
            <w:tcW w:w="794" w:type="dxa"/>
            <w:noWrap/>
            <w:vAlign w:val="center"/>
            <w:hideMark/>
          </w:tcPr>
          <w:p w14:paraId="3F9AF1B9"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1.282</w:t>
            </w:r>
          </w:p>
        </w:tc>
        <w:tc>
          <w:tcPr>
            <w:tcW w:w="794" w:type="dxa"/>
            <w:noWrap/>
            <w:vAlign w:val="center"/>
            <w:hideMark/>
          </w:tcPr>
          <w:p w14:paraId="36382511"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3</w:t>
            </w:r>
          </w:p>
        </w:tc>
        <w:tc>
          <w:tcPr>
            <w:tcW w:w="794" w:type="dxa"/>
            <w:noWrap/>
            <w:vAlign w:val="center"/>
            <w:hideMark/>
          </w:tcPr>
          <w:p w14:paraId="22F2D55E"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0.6</w:t>
            </w:r>
          </w:p>
        </w:tc>
        <w:tc>
          <w:tcPr>
            <w:tcW w:w="794" w:type="dxa"/>
            <w:noWrap/>
            <w:vAlign w:val="center"/>
            <w:hideMark/>
          </w:tcPr>
          <w:p w14:paraId="58F048F8"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6.9</w:t>
            </w:r>
          </w:p>
        </w:tc>
        <w:tc>
          <w:tcPr>
            <w:tcW w:w="794" w:type="dxa"/>
            <w:noWrap/>
            <w:vAlign w:val="center"/>
            <w:hideMark/>
          </w:tcPr>
          <w:p w14:paraId="152C396C"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6.3</w:t>
            </w:r>
          </w:p>
        </w:tc>
        <w:tc>
          <w:tcPr>
            <w:tcW w:w="794" w:type="dxa"/>
            <w:noWrap/>
            <w:vAlign w:val="center"/>
            <w:hideMark/>
          </w:tcPr>
          <w:p w14:paraId="5CA3AA37"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0.459</w:t>
            </w:r>
          </w:p>
        </w:tc>
        <w:tc>
          <w:tcPr>
            <w:tcW w:w="794" w:type="dxa"/>
            <w:noWrap/>
            <w:vAlign w:val="center"/>
            <w:hideMark/>
          </w:tcPr>
          <w:p w14:paraId="0DC5F2D9"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0.431</w:t>
            </w:r>
          </w:p>
        </w:tc>
        <w:tc>
          <w:tcPr>
            <w:tcW w:w="794" w:type="dxa"/>
            <w:noWrap/>
            <w:vAlign w:val="center"/>
            <w:hideMark/>
          </w:tcPr>
          <w:p w14:paraId="7E0233C3"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0.126</w:t>
            </w:r>
          </w:p>
        </w:tc>
      </w:tr>
      <w:tr w:rsidR="00211346" w:rsidRPr="005D28E6" w14:paraId="02DF85B7" w14:textId="77777777" w:rsidTr="00D25C60">
        <w:trPr>
          <w:trHeight w:val="290"/>
        </w:trPr>
        <w:tc>
          <w:tcPr>
            <w:tcW w:w="2061" w:type="dxa"/>
            <w:noWrap/>
            <w:vAlign w:val="bottom"/>
            <w:hideMark/>
          </w:tcPr>
          <w:p w14:paraId="5ADD3080" w14:textId="77777777" w:rsidR="00211346" w:rsidRPr="005D28E6" w:rsidRDefault="00211346" w:rsidP="00D25C60">
            <w:pPr>
              <w:rPr>
                <w:rFonts w:asciiTheme="minorEastAsia" w:hAnsiTheme="minorEastAsia" w:cs="Arial"/>
                <w:sz w:val="16"/>
                <w:szCs w:val="16"/>
                <w:highlight w:val="yellow"/>
              </w:rPr>
            </w:pPr>
            <w:r w:rsidRPr="005D28E6">
              <w:rPr>
                <w:rFonts w:asciiTheme="minorEastAsia" w:hAnsiTheme="minorEastAsia" w:cs="Arial"/>
                <w:sz w:val="16"/>
                <w:szCs w:val="16"/>
              </w:rPr>
              <w:t>Mortality from road accidents (ages 15–34)</w:t>
            </w:r>
          </w:p>
        </w:tc>
        <w:tc>
          <w:tcPr>
            <w:tcW w:w="794" w:type="dxa"/>
            <w:noWrap/>
            <w:vAlign w:val="center"/>
            <w:hideMark/>
          </w:tcPr>
          <w:p w14:paraId="729A7E41"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0.987</w:t>
            </w:r>
          </w:p>
        </w:tc>
        <w:tc>
          <w:tcPr>
            <w:tcW w:w="794" w:type="dxa"/>
            <w:noWrap/>
            <w:vAlign w:val="center"/>
            <w:hideMark/>
          </w:tcPr>
          <w:p w14:paraId="2BEA8910"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0.536</w:t>
            </w:r>
          </w:p>
        </w:tc>
        <w:tc>
          <w:tcPr>
            <w:tcW w:w="794" w:type="dxa"/>
            <w:noWrap/>
            <w:vAlign w:val="center"/>
            <w:hideMark/>
          </w:tcPr>
          <w:p w14:paraId="5F98F19E"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0.9</w:t>
            </w:r>
          </w:p>
        </w:tc>
        <w:tc>
          <w:tcPr>
            <w:tcW w:w="794" w:type="dxa"/>
            <w:noWrap/>
            <w:vAlign w:val="center"/>
            <w:hideMark/>
          </w:tcPr>
          <w:p w14:paraId="097A2D31"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0.1</w:t>
            </w:r>
          </w:p>
        </w:tc>
        <w:tc>
          <w:tcPr>
            <w:tcW w:w="794" w:type="dxa"/>
            <w:noWrap/>
            <w:vAlign w:val="center"/>
            <w:hideMark/>
          </w:tcPr>
          <w:p w14:paraId="2F246EC5"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2.9</w:t>
            </w:r>
          </w:p>
        </w:tc>
        <w:tc>
          <w:tcPr>
            <w:tcW w:w="794" w:type="dxa"/>
            <w:noWrap/>
            <w:vAlign w:val="center"/>
            <w:hideMark/>
          </w:tcPr>
          <w:p w14:paraId="23BA375C"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2.8</w:t>
            </w:r>
          </w:p>
        </w:tc>
        <w:tc>
          <w:tcPr>
            <w:tcW w:w="794" w:type="dxa"/>
            <w:noWrap/>
            <w:vAlign w:val="center"/>
            <w:hideMark/>
          </w:tcPr>
          <w:p w14:paraId="39EA9C50"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1.272</w:t>
            </w:r>
          </w:p>
        </w:tc>
        <w:tc>
          <w:tcPr>
            <w:tcW w:w="794" w:type="dxa"/>
            <w:noWrap/>
            <w:vAlign w:val="center"/>
            <w:hideMark/>
          </w:tcPr>
          <w:p w14:paraId="787B855F"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2.222</w:t>
            </w:r>
          </w:p>
        </w:tc>
        <w:tc>
          <w:tcPr>
            <w:tcW w:w="794" w:type="dxa"/>
            <w:noWrap/>
            <w:vAlign w:val="center"/>
            <w:hideMark/>
          </w:tcPr>
          <w:p w14:paraId="35B88553"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0.053</w:t>
            </w:r>
          </w:p>
        </w:tc>
      </w:tr>
      <w:tr w:rsidR="00211346" w:rsidRPr="005D28E6" w14:paraId="04841630" w14:textId="77777777" w:rsidTr="00D25C60">
        <w:trPr>
          <w:trHeight w:val="290"/>
        </w:trPr>
        <w:tc>
          <w:tcPr>
            <w:tcW w:w="2061" w:type="dxa"/>
            <w:noWrap/>
            <w:vAlign w:val="bottom"/>
            <w:hideMark/>
          </w:tcPr>
          <w:p w14:paraId="541978AC" w14:textId="77777777" w:rsidR="00211346" w:rsidRPr="005D28E6" w:rsidRDefault="00211346" w:rsidP="00D25C60">
            <w:pPr>
              <w:rPr>
                <w:rFonts w:asciiTheme="minorEastAsia" w:hAnsiTheme="minorEastAsia" w:cs="Arial"/>
                <w:sz w:val="16"/>
                <w:szCs w:val="16"/>
                <w:highlight w:val="yellow"/>
              </w:rPr>
            </w:pPr>
            <w:r w:rsidRPr="005D28E6">
              <w:rPr>
                <w:rFonts w:asciiTheme="minorEastAsia" w:hAnsiTheme="minorEastAsia" w:cs="Arial"/>
                <w:sz w:val="16"/>
                <w:szCs w:val="16"/>
              </w:rPr>
              <w:t>Mortality from cancer (ages 20–64)</w:t>
            </w:r>
          </w:p>
        </w:tc>
        <w:tc>
          <w:tcPr>
            <w:tcW w:w="794" w:type="dxa"/>
            <w:noWrap/>
            <w:vAlign w:val="center"/>
            <w:hideMark/>
          </w:tcPr>
          <w:p w14:paraId="70374B5B"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9.502</w:t>
            </w:r>
          </w:p>
        </w:tc>
        <w:tc>
          <w:tcPr>
            <w:tcW w:w="794" w:type="dxa"/>
            <w:noWrap/>
            <w:vAlign w:val="center"/>
            <w:hideMark/>
          </w:tcPr>
          <w:p w14:paraId="1452CFFB"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0.931</w:t>
            </w:r>
          </w:p>
        </w:tc>
        <w:tc>
          <w:tcPr>
            <w:tcW w:w="794" w:type="dxa"/>
            <w:noWrap/>
            <w:vAlign w:val="center"/>
            <w:hideMark/>
          </w:tcPr>
          <w:p w14:paraId="480195A4"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9.45</w:t>
            </w:r>
          </w:p>
        </w:tc>
        <w:tc>
          <w:tcPr>
            <w:tcW w:w="794" w:type="dxa"/>
            <w:noWrap/>
            <w:vAlign w:val="center"/>
            <w:hideMark/>
          </w:tcPr>
          <w:p w14:paraId="7FD69D06"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7.6</w:t>
            </w:r>
          </w:p>
        </w:tc>
        <w:tc>
          <w:tcPr>
            <w:tcW w:w="794" w:type="dxa"/>
            <w:noWrap/>
            <w:vAlign w:val="center"/>
            <w:hideMark/>
          </w:tcPr>
          <w:p w14:paraId="6752F753"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12.7</w:t>
            </w:r>
          </w:p>
        </w:tc>
        <w:tc>
          <w:tcPr>
            <w:tcW w:w="794" w:type="dxa"/>
            <w:noWrap/>
            <w:vAlign w:val="center"/>
            <w:hideMark/>
          </w:tcPr>
          <w:p w14:paraId="74E706A3"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5.1</w:t>
            </w:r>
          </w:p>
        </w:tc>
        <w:tc>
          <w:tcPr>
            <w:tcW w:w="794" w:type="dxa"/>
            <w:noWrap/>
            <w:vAlign w:val="center"/>
            <w:hideMark/>
          </w:tcPr>
          <w:p w14:paraId="5DF69319"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0.474</w:t>
            </w:r>
          </w:p>
        </w:tc>
        <w:tc>
          <w:tcPr>
            <w:tcW w:w="794" w:type="dxa"/>
            <w:noWrap/>
            <w:vAlign w:val="center"/>
            <w:hideMark/>
          </w:tcPr>
          <w:p w14:paraId="577617E6"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0.149</w:t>
            </w:r>
          </w:p>
        </w:tc>
        <w:tc>
          <w:tcPr>
            <w:tcW w:w="794" w:type="dxa"/>
            <w:noWrap/>
            <w:vAlign w:val="center"/>
            <w:hideMark/>
          </w:tcPr>
          <w:p w14:paraId="687FA905"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0.091</w:t>
            </w:r>
          </w:p>
        </w:tc>
      </w:tr>
      <w:tr w:rsidR="00211346" w:rsidRPr="005D28E6" w14:paraId="4FEE4243" w14:textId="77777777" w:rsidTr="00D25C60">
        <w:trPr>
          <w:trHeight w:val="290"/>
        </w:trPr>
        <w:tc>
          <w:tcPr>
            <w:tcW w:w="2061" w:type="dxa"/>
            <w:noWrap/>
            <w:vAlign w:val="bottom"/>
            <w:hideMark/>
          </w:tcPr>
          <w:p w14:paraId="5A53DC18" w14:textId="77777777" w:rsidR="00211346" w:rsidRPr="005D28E6" w:rsidRDefault="00211346" w:rsidP="00D25C60">
            <w:pPr>
              <w:rPr>
                <w:rFonts w:asciiTheme="minorEastAsia" w:hAnsiTheme="minorEastAsia" w:cs="Arial"/>
                <w:sz w:val="16"/>
                <w:szCs w:val="16"/>
                <w:highlight w:val="yellow"/>
              </w:rPr>
            </w:pPr>
            <w:r w:rsidRPr="005D28E6">
              <w:rPr>
                <w:rFonts w:asciiTheme="minorEastAsia" w:hAnsiTheme="minorEastAsia" w:cs="Arial"/>
                <w:sz w:val="16"/>
                <w:szCs w:val="16"/>
              </w:rPr>
              <w:t>Mortality from dementia and nervous system diseases (ages 65 and over)</w:t>
            </w:r>
          </w:p>
        </w:tc>
        <w:tc>
          <w:tcPr>
            <w:tcW w:w="794" w:type="dxa"/>
            <w:noWrap/>
            <w:vAlign w:val="center"/>
            <w:hideMark/>
          </w:tcPr>
          <w:p w14:paraId="5E2F6872"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28.144</w:t>
            </w:r>
          </w:p>
        </w:tc>
        <w:tc>
          <w:tcPr>
            <w:tcW w:w="794" w:type="dxa"/>
            <w:noWrap/>
            <w:vAlign w:val="center"/>
            <w:hideMark/>
          </w:tcPr>
          <w:p w14:paraId="5BC6D48C"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4.623</w:t>
            </w:r>
          </w:p>
        </w:tc>
        <w:tc>
          <w:tcPr>
            <w:tcW w:w="794" w:type="dxa"/>
            <w:noWrap/>
            <w:vAlign w:val="center"/>
            <w:hideMark/>
          </w:tcPr>
          <w:p w14:paraId="75D4F7B7"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28.1</w:t>
            </w:r>
          </w:p>
        </w:tc>
        <w:tc>
          <w:tcPr>
            <w:tcW w:w="794" w:type="dxa"/>
            <w:noWrap/>
            <w:vAlign w:val="center"/>
            <w:hideMark/>
          </w:tcPr>
          <w:p w14:paraId="0630272A"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18.8</w:t>
            </w:r>
          </w:p>
        </w:tc>
        <w:tc>
          <w:tcPr>
            <w:tcW w:w="794" w:type="dxa"/>
            <w:noWrap/>
            <w:vAlign w:val="center"/>
            <w:hideMark/>
          </w:tcPr>
          <w:p w14:paraId="005B1728"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39.9</w:t>
            </w:r>
          </w:p>
        </w:tc>
        <w:tc>
          <w:tcPr>
            <w:tcW w:w="794" w:type="dxa"/>
            <w:noWrap/>
            <w:vAlign w:val="center"/>
            <w:hideMark/>
          </w:tcPr>
          <w:p w14:paraId="4194030B"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21.1</w:t>
            </w:r>
          </w:p>
        </w:tc>
        <w:tc>
          <w:tcPr>
            <w:tcW w:w="794" w:type="dxa"/>
            <w:noWrap/>
            <w:vAlign w:val="center"/>
            <w:hideMark/>
          </w:tcPr>
          <w:p w14:paraId="66458899"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0.248</w:t>
            </w:r>
          </w:p>
        </w:tc>
        <w:tc>
          <w:tcPr>
            <w:tcW w:w="794" w:type="dxa"/>
            <w:noWrap/>
            <w:vAlign w:val="center"/>
            <w:hideMark/>
          </w:tcPr>
          <w:p w14:paraId="14964860"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-0.253</w:t>
            </w:r>
          </w:p>
        </w:tc>
        <w:tc>
          <w:tcPr>
            <w:tcW w:w="794" w:type="dxa"/>
            <w:noWrap/>
            <w:vAlign w:val="center"/>
            <w:hideMark/>
          </w:tcPr>
          <w:p w14:paraId="646348D7"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0.453</w:t>
            </w:r>
          </w:p>
        </w:tc>
      </w:tr>
      <w:tr w:rsidR="00211346" w:rsidRPr="005D28E6" w14:paraId="38312053" w14:textId="77777777" w:rsidTr="00D25C60">
        <w:trPr>
          <w:trHeight w:val="290"/>
        </w:trPr>
        <w:tc>
          <w:tcPr>
            <w:tcW w:w="2061" w:type="dxa"/>
            <w:noWrap/>
            <w:vAlign w:val="bottom"/>
            <w:hideMark/>
          </w:tcPr>
          <w:p w14:paraId="0270DC3C" w14:textId="77777777" w:rsidR="00211346" w:rsidRPr="005D28E6" w:rsidRDefault="00211346" w:rsidP="00D25C60">
            <w:pPr>
              <w:rPr>
                <w:rFonts w:asciiTheme="minorEastAsia" w:hAnsiTheme="minorEastAsia" w:cs="Arial"/>
                <w:sz w:val="16"/>
                <w:szCs w:val="16"/>
                <w:highlight w:val="yellow"/>
              </w:rPr>
            </w:pPr>
            <w:r w:rsidRPr="005D28E6">
              <w:rPr>
                <w:rFonts w:asciiTheme="minorEastAsia" w:hAnsiTheme="minorEastAsia" w:cs="Arial"/>
                <w:sz w:val="16"/>
                <w:szCs w:val="16"/>
              </w:rPr>
              <w:t>Children benefiting from municipal early childhood services</w:t>
            </w:r>
          </w:p>
        </w:tc>
        <w:tc>
          <w:tcPr>
            <w:tcW w:w="794" w:type="dxa"/>
            <w:noWrap/>
            <w:vAlign w:val="center"/>
            <w:hideMark/>
          </w:tcPr>
          <w:p w14:paraId="3EBD9FBF"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13.531</w:t>
            </w:r>
          </w:p>
        </w:tc>
        <w:tc>
          <w:tcPr>
            <w:tcW w:w="794" w:type="dxa"/>
            <w:noWrap/>
            <w:vAlign w:val="center"/>
            <w:hideMark/>
          </w:tcPr>
          <w:p w14:paraId="0BA633D7"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7.246</w:t>
            </w:r>
          </w:p>
        </w:tc>
        <w:tc>
          <w:tcPr>
            <w:tcW w:w="794" w:type="dxa"/>
            <w:noWrap/>
            <w:vAlign w:val="center"/>
            <w:hideMark/>
          </w:tcPr>
          <w:p w14:paraId="021F743C"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13.65</w:t>
            </w:r>
          </w:p>
        </w:tc>
        <w:tc>
          <w:tcPr>
            <w:tcW w:w="794" w:type="dxa"/>
            <w:noWrap/>
            <w:vAlign w:val="center"/>
            <w:hideMark/>
          </w:tcPr>
          <w:p w14:paraId="0BBACCF6"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0.6</w:t>
            </w:r>
          </w:p>
        </w:tc>
        <w:tc>
          <w:tcPr>
            <w:tcW w:w="794" w:type="dxa"/>
            <w:noWrap/>
            <w:vAlign w:val="center"/>
            <w:hideMark/>
          </w:tcPr>
          <w:p w14:paraId="18559E76"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33.4</w:t>
            </w:r>
          </w:p>
        </w:tc>
        <w:tc>
          <w:tcPr>
            <w:tcW w:w="794" w:type="dxa"/>
            <w:noWrap/>
            <w:vAlign w:val="center"/>
            <w:hideMark/>
          </w:tcPr>
          <w:p w14:paraId="27ACDBF7"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32.8</w:t>
            </w:r>
          </w:p>
        </w:tc>
        <w:tc>
          <w:tcPr>
            <w:tcW w:w="794" w:type="dxa"/>
            <w:noWrap/>
            <w:vAlign w:val="center"/>
            <w:hideMark/>
          </w:tcPr>
          <w:p w14:paraId="2D7F6BC9"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0.213</w:t>
            </w:r>
          </w:p>
        </w:tc>
        <w:tc>
          <w:tcPr>
            <w:tcW w:w="794" w:type="dxa"/>
            <w:noWrap/>
            <w:vAlign w:val="center"/>
            <w:hideMark/>
          </w:tcPr>
          <w:p w14:paraId="0C56C013"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-0.664</w:t>
            </w:r>
          </w:p>
        </w:tc>
        <w:tc>
          <w:tcPr>
            <w:tcW w:w="794" w:type="dxa"/>
            <w:noWrap/>
            <w:vAlign w:val="center"/>
            <w:hideMark/>
          </w:tcPr>
          <w:p w14:paraId="77133DA7"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0.711</w:t>
            </w:r>
          </w:p>
        </w:tc>
      </w:tr>
      <w:tr w:rsidR="00211346" w:rsidRPr="005D28E6" w14:paraId="03E47D0E" w14:textId="77777777" w:rsidTr="00D25C60">
        <w:trPr>
          <w:trHeight w:val="290"/>
        </w:trPr>
        <w:tc>
          <w:tcPr>
            <w:tcW w:w="2061" w:type="dxa"/>
            <w:noWrap/>
            <w:vAlign w:val="bottom"/>
            <w:hideMark/>
          </w:tcPr>
          <w:p w14:paraId="4FB1DA8E" w14:textId="77777777" w:rsidR="00211346" w:rsidRPr="005D28E6" w:rsidRDefault="00211346" w:rsidP="00D25C60">
            <w:pPr>
              <w:rPr>
                <w:rFonts w:asciiTheme="minorEastAsia" w:hAnsiTheme="minorEastAsia" w:cs="Arial"/>
                <w:sz w:val="16"/>
                <w:szCs w:val="16"/>
                <w:highlight w:val="yellow"/>
              </w:rPr>
            </w:pPr>
            <w:r w:rsidRPr="005D28E6">
              <w:rPr>
                <w:rFonts w:asciiTheme="minorEastAsia" w:hAnsiTheme="minorEastAsia" w:cs="Arial"/>
                <w:sz w:val="16"/>
                <w:szCs w:val="16"/>
              </w:rPr>
              <w:t>Municipal administrators under the age of 40</w:t>
            </w:r>
          </w:p>
        </w:tc>
        <w:tc>
          <w:tcPr>
            <w:tcW w:w="794" w:type="dxa"/>
            <w:noWrap/>
            <w:vAlign w:val="center"/>
            <w:hideMark/>
          </w:tcPr>
          <w:p w14:paraId="751A6195"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31.441</w:t>
            </w:r>
          </w:p>
        </w:tc>
        <w:tc>
          <w:tcPr>
            <w:tcW w:w="794" w:type="dxa"/>
            <w:noWrap/>
            <w:vAlign w:val="center"/>
            <w:hideMark/>
          </w:tcPr>
          <w:p w14:paraId="101E95D5"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4.703</w:t>
            </w:r>
          </w:p>
        </w:tc>
        <w:tc>
          <w:tcPr>
            <w:tcW w:w="794" w:type="dxa"/>
            <w:noWrap/>
            <w:vAlign w:val="center"/>
            <w:hideMark/>
          </w:tcPr>
          <w:p w14:paraId="0066B3DF"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31.35</w:t>
            </w:r>
          </w:p>
        </w:tc>
        <w:tc>
          <w:tcPr>
            <w:tcW w:w="794" w:type="dxa"/>
            <w:noWrap/>
            <w:vAlign w:val="center"/>
            <w:hideMark/>
          </w:tcPr>
          <w:p w14:paraId="7F0F1AEB"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19.9</w:t>
            </w:r>
          </w:p>
        </w:tc>
        <w:tc>
          <w:tcPr>
            <w:tcW w:w="794" w:type="dxa"/>
            <w:noWrap/>
            <w:vAlign w:val="center"/>
            <w:hideMark/>
          </w:tcPr>
          <w:p w14:paraId="0188B053"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43.3</w:t>
            </w:r>
          </w:p>
        </w:tc>
        <w:tc>
          <w:tcPr>
            <w:tcW w:w="794" w:type="dxa"/>
            <w:noWrap/>
            <w:vAlign w:val="center"/>
            <w:hideMark/>
          </w:tcPr>
          <w:p w14:paraId="73E100E5"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23.4</w:t>
            </w:r>
          </w:p>
        </w:tc>
        <w:tc>
          <w:tcPr>
            <w:tcW w:w="794" w:type="dxa"/>
            <w:noWrap/>
            <w:vAlign w:val="center"/>
            <w:hideMark/>
          </w:tcPr>
          <w:p w14:paraId="19EC397F"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-0.043</w:t>
            </w:r>
          </w:p>
        </w:tc>
        <w:tc>
          <w:tcPr>
            <w:tcW w:w="794" w:type="dxa"/>
            <w:noWrap/>
            <w:vAlign w:val="center"/>
            <w:hideMark/>
          </w:tcPr>
          <w:p w14:paraId="16667629"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-0.427</w:t>
            </w:r>
          </w:p>
        </w:tc>
        <w:tc>
          <w:tcPr>
            <w:tcW w:w="794" w:type="dxa"/>
            <w:noWrap/>
            <w:vAlign w:val="center"/>
            <w:hideMark/>
          </w:tcPr>
          <w:p w14:paraId="73CFBF22"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0.461</w:t>
            </w:r>
          </w:p>
        </w:tc>
      </w:tr>
      <w:tr w:rsidR="00211346" w:rsidRPr="005D28E6" w14:paraId="56382806" w14:textId="77777777" w:rsidTr="00D25C60">
        <w:trPr>
          <w:trHeight w:val="290"/>
        </w:trPr>
        <w:tc>
          <w:tcPr>
            <w:tcW w:w="2061" w:type="dxa"/>
            <w:noWrap/>
            <w:vAlign w:val="bottom"/>
            <w:hideMark/>
          </w:tcPr>
          <w:p w14:paraId="6F9E45BE" w14:textId="77777777" w:rsidR="00211346" w:rsidRPr="005D28E6" w:rsidRDefault="00211346" w:rsidP="00D25C60">
            <w:pPr>
              <w:rPr>
                <w:rFonts w:asciiTheme="minorEastAsia" w:hAnsiTheme="minorEastAsia" w:cs="Arial"/>
                <w:sz w:val="16"/>
                <w:szCs w:val="16"/>
                <w:highlight w:val="yellow"/>
              </w:rPr>
            </w:pPr>
            <w:r w:rsidRPr="005D28E6">
              <w:rPr>
                <w:rFonts w:asciiTheme="minorEastAsia" w:hAnsiTheme="minorEastAsia" w:cs="Arial"/>
                <w:sz w:val="16"/>
                <w:szCs w:val="16"/>
              </w:rPr>
              <w:t>Municipality's revenue collection capacity</w:t>
            </w:r>
          </w:p>
        </w:tc>
        <w:tc>
          <w:tcPr>
            <w:tcW w:w="794" w:type="dxa"/>
            <w:noWrap/>
            <w:vAlign w:val="center"/>
            <w:hideMark/>
          </w:tcPr>
          <w:p w14:paraId="25E68B0D"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74.548</w:t>
            </w:r>
          </w:p>
        </w:tc>
        <w:tc>
          <w:tcPr>
            <w:tcW w:w="794" w:type="dxa"/>
            <w:noWrap/>
            <w:vAlign w:val="center"/>
            <w:hideMark/>
          </w:tcPr>
          <w:p w14:paraId="18714379"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10.19</w:t>
            </w:r>
          </w:p>
        </w:tc>
        <w:tc>
          <w:tcPr>
            <w:tcW w:w="794" w:type="dxa"/>
            <w:noWrap/>
            <w:vAlign w:val="center"/>
            <w:hideMark/>
          </w:tcPr>
          <w:p w14:paraId="4C3632F3"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76</w:t>
            </w:r>
          </w:p>
        </w:tc>
        <w:tc>
          <w:tcPr>
            <w:tcW w:w="794" w:type="dxa"/>
            <w:noWrap/>
            <w:vAlign w:val="center"/>
            <w:hideMark/>
          </w:tcPr>
          <w:p w14:paraId="564D84BE"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47</w:t>
            </w:r>
          </w:p>
        </w:tc>
        <w:tc>
          <w:tcPr>
            <w:tcW w:w="794" w:type="dxa"/>
            <w:noWrap/>
            <w:vAlign w:val="center"/>
            <w:hideMark/>
          </w:tcPr>
          <w:p w14:paraId="76EA5F83"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95</w:t>
            </w:r>
          </w:p>
        </w:tc>
        <w:tc>
          <w:tcPr>
            <w:tcW w:w="794" w:type="dxa"/>
            <w:noWrap/>
            <w:vAlign w:val="center"/>
            <w:hideMark/>
          </w:tcPr>
          <w:p w14:paraId="185F1369"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48</w:t>
            </w:r>
          </w:p>
        </w:tc>
        <w:tc>
          <w:tcPr>
            <w:tcW w:w="794" w:type="dxa"/>
            <w:noWrap/>
            <w:vAlign w:val="center"/>
            <w:hideMark/>
          </w:tcPr>
          <w:p w14:paraId="12786F80"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-0.468</w:t>
            </w:r>
          </w:p>
        </w:tc>
        <w:tc>
          <w:tcPr>
            <w:tcW w:w="794" w:type="dxa"/>
            <w:noWrap/>
            <w:vAlign w:val="center"/>
            <w:hideMark/>
          </w:tcPr>
          <w:p w14:paraId="315A3880"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-0.249</w:t>
            </w:r>
          </w:p>
        </w:tc>
        <w:tc>
          <w:tcPr>
            <w:tcW w:w="794" w:type="dxa"/>
            <w:noWrap/>
            <w:vAlign w:val="center"/>
            <w:hideMark/>
          </w:tcPr>
          <w:p w14:paraId="6D364669"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0.999</w:t>
            </w:r>
          </w:p>
        </w:tc>
      </w:tr>
      <w:tr w:rsidR="00211346" w:rsidRPr="005D28E6" w14:paraId="12351161" w14:textId="77777777" w:rsidTr="00D25C60">
        <w:trPr>
          <w:trHeight w:val="290"/>
        </w:trPr>
        <w:tc>
          <w:tcPr>
            <w:tcW w:w="2061" w:type="dxa"/>
            <w:noWrap/>
            <w:vAlign w:val="bottom"/>
            <w:hideMark/>
          </w:tcPr>
          <w:p w14:paraId="43644E03" w14:textId="77777777" w:rsidR="00211346" w:rsidRPr="005D28E6" w:rsidRDefault="00211346" w:rsidP="00D25C60">
            <w:pPr>
              <w:rPr>
                <w:rFonts w:asciiTheme="minorEastAsia" w:hAnsiTheme="minorEastAsia" w:cs="Arial"/>
                <w:sz w:val="16"/>
                <w:szCs w:val="16"/>
                <w:highlight w:val="yellow"/>
              </w:rPr>
            </w:pPr>
            <w:r w:rsidRPr="005D28E6">
              <w:rPr>
                <w:rFonts w:asciiTheme="minorEastAsia" w:hAnsiTheme="minorEastAsia" w:cs="Arial"/>
                <w:sz w:val="16"/>
                <w:szCs w:val="16"/>
              </w:rPr>
              <w:t>Reported robberies</w:t>
            </w:r>
          </w:p>
        </w:tc>
        <w:tc>
          <w:tcPr>
            <w:tcW w:w="794" w:type="dxa"/>
            <w:noWrap/>
            <w:vAlign w:val="center"/>
            <w:hideMark/>
          </w:tcPr>
          <w:p w14:paraId="7A11AF24"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42.086</w:t>
            </w:r>
          </w:p>
        </w:tc>
        <w:tc>
          <w:tcPr>
            <w:tcW w:w="794" w:type="dxa"/>
            <w:noWrap/>
            <w:vAlign w:val="center"/>
            <w:hideMark/>
          </w:tcPr>
          <w:p w14:paraId="1378E10E"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36.443</w:t>
            </w:r>
          </w:p>
        </w:tc>
        <w:tc>
          <w:tcPr>
            <w:tcW w:w="794" w:type="dxa"/>
            <w:noWrap/>
            <w:vAlign w:val="center"/>
            <w:hideMark/>
          </w:tcPr>
          <w:p w14:paraId="1F5E9BFF"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31.1</w:t>
            </w:r>
          </w:p>
        </w:tc>
        <w:tc>
          <w:tcPr>
            <w:tcW w:w="794" w:type="dxa"/>
            <w:noWrap/>
            <w:vAlign w:val="center"/>
            <w:hideMark/>
          </w:tcPr>
          <w:p w14:paraId="0B934B2C"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5.7</w:t>
            </w:r>
          </w:p>
        </w:tc>
        <w:tc>
          <w:tcPr>
            <w:tcW w:w="794" w:type="dxa"/>
            <w:noWrap/>
            <w:vAlign w:val="center"/>
            <w:hideMark/>
          </w:tcPr>
          <w:p w14:paraId="2CB7A00A"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268.3</w:t>
            </w:r>
          </w:p>
        </w:tc>
        <w:tc>
          <w:tcPr>
            <w:tcW w:w="794" w:type="dxa"/>
            <w:noWrap/>
            <w:vAlign w:val="center"/>
            <w:hideMark/>
          </w:tcPr>
          <w:p w14:paraId="1B837D4C"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262.6</w:t>
            </w:r>
          </w:p>
        </w:tc>
        <w:tc>
          <w:tcPr>
            <w:tcW w:w="794" w:type="dxa"/>
            <w:noWrap/>
            <w:vAlign w:val="center"/>
            <w:hideMark/>
          </w:tcPr>
          <w:p w14:paraId="1E6A8209"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3.095</w:t>
            </w:r>
          </w:p>
        </w:tc>
        <w:tc>
          <w:tcPr>
            <w:tcW w:w="794" w:type="dxa"/>
            <w:noWrap/>
            <w:vAlign w:val="center"/>
            <w:hideMark/>
          </w:tcPr>
          <w:p w14:paraId="770B5A4C"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13.545</w:t>
            </w:r>
          </w:p>
        </w:tc>
        <w:tc>
          <w:tcPr>
            <w:tcW w:w="794" w:type="dxa"/>
            <w:noWrap/>
            <w:vAlign w:val="center"/>
            <w:hideMark/>
          </w:tcPr>
          <w:p w14:paraId="09941D4F"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3.574</w:t>
            </w:r>
          </w:p>
        </w:tc>
      </w:tr>
      <w:tr w:rsidR="00211346" w:rsidRPr="005D28E6" w14:paraId="4DF76FF1" w14:textId="77777777" w:rsidTr="00D25C60">
        <w:trPr>
          <w:trHeight w:val="290"/>
        </w:trPr>
        <w:tc>
          <w:tcPr>
            <w:tcW w:w="2061" w:type="dxa"/>
            <w:noWrap/>
            <w:vAlign w:val="center"/>
          </w:tcPr>
          <w:p w14:paraId="18E87A20" w14:textId="77777777" w:rsidR="00211346" w:rsidRPr="005D28E6" w:rsidRDefault="00211346" w:rsidP="00D25C60">
            <w:pPr>
              <w:rPr>
                <w:rFonts w:asciiTheme="minorEastAsia" w:hAnsiTheme="minorEastAsia" w:cs="Arial"/>
                <w:sz w:val="16"/>
                <w:szCs w:val="16"/>
                <w:highlight w:val="yellow"/>
              </w:rPr>
            </w:pPr>
            <w:r w:rsidRPr="005D28E6">
              <w:rPr>
                <w:rFonts w:asciiTheme="minorEastAsia" w:hAnsiTheme="minorEastAsia" w:cs="Arial"/>
                <w:color w:val="000000"/>
                <w:sz w:val="16"/>
                <w:szCs w:val="16"/>
                <w14:ligatures w14:val="none"/>
              </w:rPr>
              <w:t>Spread of agritourism enterprises</w:t>
            </w:r>
          </w:p>
        </w:tc>
        <w:tc>
          <w:tcPr>
            <w:tcW w:w="794" w:type="dxa"/>
            <w:noWrap/>
            <w:vAlign w:val="center"/>
          </w:tcPr>
          <w:p w14:paraId="29A1E6D5"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6.596</w:t>
            </w:r>
          </w:p>
        </w:tc>
        <w:tc>
          <w:tcPr>
            <w:tcW w:w="794" w:type="dxa"/>
            <w:noWrap/>
            <w:vAlign w:val="center"/>
          </w:tcPr>
          <w:p w14:paraId="43213E9D"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5.256</w:t>
            </w:r>
          </w:p>
        </w:tc>
        <w:tc>
          <w:tcPr>
            <w:tcW w:w="794" w:type="dxa"/>
            <w:noWrap/>
            <w:vAlign w:val="center"/>
          </w:tcPr>
          <w:p w14:paraId="6D6BE094"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4.9</w:t>
            </w:r>
          </w:p>
        </w:tc>
        <w:tc>
          <w:tcPr>
            <w:tcW w:w="794" w:type="dxa"/>
            <w:noWrap/>
            <w:vAlign w:val="center"/>
          </w:tcPr>
          <w:p w14:paraId="5E937BE9"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0.7</w:t>
            </w:r>
          </w:p>
        </w:tc>
        <w:tc>
          <w:tcPr>
            <w:tcW w:w="794" w:type="dxa"/>
            <w:noWrap/>
            <w:vAlign w:val="center"/>
          </w:tcPr>
          <w:p w14:paraId="5B057415"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27.8</w:t>
            </w:r>
          </w:p>
        </w:tc>
        <w:tc>
          <w:tcPr>
            <w:tcW w:w="794" w:type="dxa"/>
            <w:noWrap/>
            <w:vAlign w:val="center"/>
          </w:tcPr>
          <w:p w14:paraId="7B432CAE"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27.1</w:t>
            </w:r>
          </w:p>
        </w:tc>
        <w:tc>
          <w:tcPr>
            <w:tcW w:w="794" w:type="dxa"/>
            <w:noWrap/>
            <w:vAlign w:val="center"/>
          </w:tcPr>
          <w:p w14:paraId="5B16145B"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1.577</w:t>
            </w:r>
          </w:p>
        </w:tc>
        <w:tc>
          <w:tcPr>
            <w:tcW w:w="794" w:type="dxa"/>
            <w:noWrap/>
            <w:vAlign w:val="center"/>
          </w:tcPr>
          <w:p w14:paraId="7917DEB7"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2.456</w:t>
            </w:r>
          </w:p>
        </w:tc>
        <w:tc>
          <w:tcPr>
            <w:tcW w:w="794" w:type="dxa"/>
            <w:noWrap/>
            <w:vAlign w:val="center"/>
          </w:tcPr>
          <w:p w14:paraId="23C815C2"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0.515</w:t>
            </w:r>
          </w:p>
        </w:tc>
      </w:tr>
      <w:tr w:rsidR="00211346" w:rsidRPr="005D28E6" w14:paraId="7E56BF1E" w14:textId="77777777" w:rsidTr="00D25C60">
        <w:trPr>
          <w:trHeight w:val="290"/>
        </w:trPr>
        <w:tc>
          <w:tcPr>
            <w:tcW w:w="2061" w:type="dxa"/>
            <w:noWrap/>
            <w:vAlign w:val="center"/>
          </w:tcPr>
          <w:p w14:paraId="288E60CC" w14:textId="77777777" w:rsidR="00211346" w:rsidRPr="005D28E6" w:rsidRDefault="00211346" w:rsidP="00D25C60">
            <w:pPr>
              <w:rPr>
                <w:rFonts w:asciiTheme="minorEastAsia" w:hAnsiTheme="minorEastAsia" w:cs="Arial"/>
                <w:sz w:val="16"/>
                <w:szCs w:val="16"/>
                <w:highlight w:val="yellow"/>
              </w:rPr>
            </w:pPr>
            <w:r w:rsidRPr="005D28E6">
              <w:rPr>
                <w:rFonts w:asciiTheme="minorEastAsia" w:hAnsiTheme="minorEastAsia" w:cs="Arial"/>
                <w:color w:val="000000"/>
                <w:sz w:val="16"/>
                <w:szCs w:val="16"/>
                <w14:ligatures w14:val="none"/>
              </w:rPr>
              <w:t>Density of historical green areas</w:t>
            </w:r>
          </w:p>
        </w:tc>
        <w:tc>
          <w:tcPr>
            <w:tcW w:w="794" w:type="dxa"/>
            <w:noWrap/>
            <w:vAlign w:val="center"/>
          </w:tcPr>
          <w:p w14:paraId="79242954"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1.682</w:t>
            </w:r>
          </w:p>
        </w:tc>
        <w:tc>
          <w:tcPr>
            <w:tcW w:w="794" w:type="dxa"/>
            <w:noWrap/>
            <w:vAlign w:val="center"/>
          </w:tcPr>
          <w:p w14:paraId="7B5276B2"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4.168</w:t>
            </w:r>
          </w:p>
        </w:tc>
        <w:tc>
          <w:tcPr>
            <w:tcW w:w="794" w:type="dxa"/>
            <w:noWrap/>
            <w:vAlign w:val="center"/>
          </w:tcPr>
          <w:p w14:paraId="25A07C2F"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0.7</w:t>
            </w:r>
          </w:p>
        </w:tc>
        <w:tc>
          <w:tcPr>
            <w:tcW w:w="794" w:type="dxa"/>
            <w:noWrap/>
            <w:vAlign w:val="center"/>
          </w:tcPr>
          <w:p w14:paraId="18C8D1BF"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w:t>
            </w:r>
          </w:p>
        </w:tc>
        <w:tc>
          <w:tcPr>
            <w:tcW w:w="794" w:type="dxa"/>
            <w:noWrap/>
            <w:vAlign w:val="center"/>
          </w:tcPr>
          <w:p w14:paraId="6B23487A"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36.9</w:t>
            </w:r>
          </w:p>
        </w:tc>
        <w:tc>
          <w:tcPr>
            <w:tcW w:w="794" w:type="dxa"/>
            <w:noWrap/>
            <w:vAlign w:val="center"/>
          </w:tcPr>
          <w:p w14:paraId="43A06416"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36.9</w:t>
            </w:r>
          </w:p>
        </w:tc>
        <w:tc>
          <w:tcPr>
            <w:tcW w:w="794" w:type="dxa"/>
            <w:noWrap/>
            <w:vAlign w:val="center"/>
          </w:tcPr>
          <w:p w14:paraId="7B2C6BE4"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6.582</w:t>
            </w:r>
          </w:p>
        </w:tc>
        <w:tc>
          <w:tcPr>
            <w:tcW w:w="794" w:type="dxa"/>
            <w:noWrap/>
            <w:vAlign w:val="center"/>
          </w:tcPr>
          <w:p w14:paraId="72340A1A"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49.248</w:t>
            </w:r>
          </w:p>
        </w:tc>
        <w:tc>
          <w:tcPr>
            <w:tcW w:w="794" w:type="dxa"/>
            <w:noWrap/>
            <w:vAlign w:val="center"/>
          </w:tcPr>
          <w:p w14:paraId="51748673"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0.409</w:t>
            </w:r>
          </w:p>
        </w:tc>
      </w:tr>
      <w:tr w:rsidR="00211346" w:rsidRPr="005D28E6" w14:paraId="407CB58E" w14:textId="77777777" w:rsidTr="00D25C60">
        <w:trPr>
          <w:trHeight w:val="290"/>
        </w:trPr>
        <w:tc>
          <w:tcPr>
            <w:tcW w:w="2061" w:type="dxa"/>
            <w:noWrap/>
            <w:vAlign w:val="center"/>
          </w:tcPr>
          <w:p w14:paraId="60EEDDD4" w14:textId="77777777" w:rsidR="00211346" w:rsidRPr="005D28E6" w:rsidRDefault="00211346" w:rsidP="00D25C60">
            <w:pPr>
              <w:rPr>
                <w:rFonts w:asciiTheme="minorEastAsia" w:hAnsiTheme="minorEastAsia" w:cs="Arial"/>
                <w:sz w:val="16"/>
                <w:szCs w:val="16"/>
                <w:highlight w:val="yellow"/>
              </w:rPr>
            </w:pPr>
            <w:r w:rsidRPr="005D28E6">
              <w:rPr>
                <w:rFonts w:asciiTheme="minorEastAsia" w:hAnsiTheme="minorEastAsia" w:cs="Arial"/>
                <w:color w:val="000000"/>
                <w:sz w:val="16"/>
                <w:szCs w:val="16"/>
                <w14:ligatures w14:val="none"/>
              </w:rPr>
              <w:t>Availability of urban green space</w:t>
            </w:r>
          </w:p>
        </w:tc>
        <w:tc>
          <w:tcPr>
            <w:tcW w:w="794" w:type="dxa"/>
            <w:noWrap/>
            <w:vAlign w:val="center"/>
          </w:tcPr>
          <w:p w14:paraId="46C0F8A3"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45.329</w:t>
            </w:r>
          </w:p>
        </w:tc>
        <w:tc>
          <w:tcPr>
            <w:tcW w:w="794" w:type="dxa"/>
            <w:noWrap/>
            <w:vAlign w:val="center"/>
          </w:tcPr>
          <w:p w14:paraId="740F7142"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102.598</w:t>
            </w:r>
          </w:p>
        </w:tc>
        <w:tc>
          <w:tcPr>
            <w:tcW w:w="794" w:type="dxa"/>
            <w:noWrap/>
            <w:vAlign w:val="center"/>
          </w:tcPr>
          <w:p w14:paraId="0F78EE56"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22.7</w:t>
            </w:r>
          </w:p>
        </w:tc>
        <w:tc>
          <w:tcPr>
            <w:tcW w:w="794" w:type="dxa"/>
            <w:noWrap/>
            <w:vAlign w:val="center"/>
          </w:tcPr>
          <w:p w14:paraId="2D5C0860"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3.4</w:t>
            </w:r>
          </w:p>
        </w:tc>
        <w:tc>
          <w:tcPr>
            <w:tcW w:w="794" w:type="dxa"/>
            <w:noWrap/>
            <w:vAlign w:val="center"/>
          </w:tcPr>
          <w:p w14:paraId="3EBA0804"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960.5</w:t>
            </w:r>
          </w:p>
        </w:tc>
        <w:tc>
          <w:tcPr>
            <w:tcW w:w="794" w:type="dxa"/>
            <w:noWrap/>
            <w:vAlign w:val="center"/>
          </w:tcPr>
          <w:p w14:paraId="01D263B0"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957.1</w:t>
            </w:r>
          </w:p>
        </w:tc>
        <w:tc>
          <w:tcPr>
            <w:tcW w:w="794" w:type="dxa"/>
            <w:noWrap/>
            <w:vAlign w:val="center"/>
          </w:tcPr>
          <w:p w14:paraId="7F470F6E"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7.194</w:t>
            </w:r>
          </w:p>
        </w:tc>
        <w:tc>
          <w:tcPr>
            <w:tcW w:w="794" w:type="dxa"/>
            <w:noWrap/>
            <w:vAlign w:val="center"/>
          </w:tcPr>
          <w:p w14:paraId="6427ED84"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58.851</w:t>
            </w:r>
          </w:p>
        </w:tc>
        <w:tc>
          <w:tcPr>
            <w:tcW w:w="794" w:type="dxa"/>
            <w:noWrap/>
            <w:vAlign w:val="center"/>
          </w:tcPr>
          <w:p w14:paraId="6ACFC9C7"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10.061</w:t>
            </w:r>
          </w:p>
        </w:tc>
      </w:tr>
      <w:tr w:rsidR="00211346" w:rsidRPr="005D28E6" w14:paraId="32AF02FF" w14:textId="77777777" w:rsidTr="00D25C60">
        <w:trPr>
          <w:trHeight w:val="290"/>
        </w:trPr>
        <w:tc>
          <w:tcPr>
            <w:tcW w:w="2061" w:type="dxa"/>
            <w:noWrap/>
            <w:vAlign w:val="bottom"/>
            <w:hideMark/>
          </w:tcPr>
          <w:p w14:paraId="0B4DCF8C" w14:textId="77777777" w:rsidR="00211346" w:rsidRPr="005D28E6" w:rsidRDefault="00211346" w:rsidP="00D25C60">
            <w:pPr>
              <w:rPr>
                <w:rFonts w:asciiTheme="minorEastAsia" w:hAnsiTheme="minorEastAsia" w:cs="Arial"/>
                <w:sz w:val="16"/>
                <w:szCs w:val="16"/>
                <w:highlight w:val="yellow"/>
              </w:rPr>
            </w:pPr>
            <w:r w:rsidRPr="005D28E6">
              <w:rPr>
                <w:rFonts w:asciiTheme="minorEastAsia" w:hAnsiTheme="minorEastAsia" w:cs="Arial"/>
                <w:sz w:val="16"/>
                <w:szCs w:val="16"/>
              </w:rPr>
              <w:t>Urban waste produced</w:t>
            </w:r>
          </w:p>
        </w:tc>
        <w:tc>
          <w:tcPr>
            <w:tcW w:w="794" w:type="dxa"/>
            <w:noWrap/>
            <w:vAlign w:val="center"/>
            <w:hideMark/>
          </w:tcPr>
          <w:p w14:paraId="431FE1DC"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522.942</w:t>
            </w:r>
          </w:p>
        </w:tc>
        <w:tc>
          <w:tcPr>
            <w:tcW w:w="794" w:type="dxa"/>
            <w:noWrap/>
            <w:vAlign w:val="center"/>
            <w:hideMark/>
          </w:tcPr>
          <w:p w14:paraId="39289102"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95.549</w:t>
            </w:r>
          </w:p>
        </w:tc>
        <w:tc>
          <w:tcPr>
            <w:tcW w:w="794" w:type="dxa"/>
            <w:noWrap/>
            <w:vAlign w:val="center"/>
            <w:hideMark/>
          </w:tcPr>
          <w:p w14:paraId="644FDCA1"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500.5</w:t>
            </w:r>
          </w:p>
        </w:tc>
        <w:tc>
          <w:tcPr>
            <w:tcW w:w="794" w:type="dxa"/>
            <w:noWrap/>
            <w:vAlign w:val="center"/>
            <w:hideMark/>
          </w:tcPr>
          <w:p w14:paraId="66D003B2"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336</w:t>
            </w:r>
          </w:p>
        </w:tc>
        <w:tc>
          <w:tcPr>
            <w:tcW w:w="794" w:type="dxa"/>
            <w:noWrap/>
            <w:vAlign w:val="center"/>
            <w:hideMark/>
          </w:tcPr>
          <w:p w14:paraId="552AC37E"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802</w:t>
            </w:r>
          </w:p>
        </w:tc>
        <w:tc>
          <w:tcPr>
            <w:tcW w:w="794" w:type="dxa"/>
            <w:noWrap/>
            <w:vAlign w:val="center"/>
            <w:hideMark/>
          </w:tcPr>
          <w:p w14:paraId="649A8DF7"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466</w:t>
            </w:r>
          </w:p>
        </w:tc>
        <w:tc>
          <w:tcPr>
            <w:tcW w:w="794" w:type="dxa"/>
            <w:noWrap/>
            <w:vAlign w:val="center"/>
            <w:hideMark/>
          </w:tcPr>
          <w:p w14:paraId="18452ABA"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0.683</w:t>
            </w:r>
          </w:p>
        </w:tc>
        <w:tc>
          <w:tcPr>
            <w:tcW w:w="794" w:type="dxa"/>
            <w:noWrap/>
            <w:vAlign w:val="center"/>
            <w:hideMark/>
          </w:tcPr>
          <w:p w14:paraId="3084EDEC"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0.231</w:t>
            </w:r>
          </w:p>
        </w:tc>
        <w:tc>
          <w:tcPr>
            <w:tcW w:w="794" w:type="dxa"/>
            <w:noWrap/>
            <w:vAlign w:val="center"/>
            <w:hideMark/>
          </w:tcPr>
          <w:p w14:paraId="76A85418"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9.369</w:t>
            </w:r>
          </w:p>
        </w:tc>
      </w:tr>
      <w:tr w:rsidR="00211346" w:rsidRPr="005D28E6" w14:paraId="01309374" w14:textId="77777777" w:rsidTr="00D25C60">
        <w:trPr>
          <w:trHeight w:val="290"/>
        </w:trPr>
        <w:tc>
          <w:tcPr>
            <w:tcW w:w="2061" w:type="dxa"/>
            <w:noWrap/>
            <w:vAlign w:val="bottom"/>
            <w:hideMark/>
          </w:tcPr>
          <w:p w14:paraId="7F12C839" w14:textId="77777777" w:rsidR="00211346" w:rsidRPr="005D28E6" w:rsidRDefault="00211346" w:rsidP="00D25C60">
            <w:pPr>
              <w:rPr>
                <w:rFonts w:asciiTheme="minorEastAsia" w:hAnsiTheme="minorEastAsia" w:cs="Arial"/>
                <w:sz w:val="16"/>
                <w:szCs w:val="16"/>
                <w:highlight w:val="yellow"/>
              </w:rPr>
            </w:pPr>
            <w:r w:rsidRPr="005D28E6">
              <w:rPr>
                <w:rFonts w:asciiTheme="minorEastAsia" w:hAnsiTheme="minorEastAsia" w:cs="Arial"/>
                <w:sz w:val="16"/>
                <w:szCs w:val="16"/>
              </w:rPr>
              <w:t>Propensity to patent</w:t>
            </w:r>
          </w:p>
        </w:tc>
        <w:tc>
          <w:tcPr>
            <w:tcW w:w="794" w:type="dxa"/>
            <w:noWrap/>
            <w:vAlign w:val="center"/>
            <w:hideMark/>
          </w:tcPr>
          <w:p w14:paraId="0E983FE0"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68.333</w:t>
            </w:r>
          </w:p>
        </w:tc>
        <w:tc>
          <w:tcPr>
            <w:tcW w:w="794" w:type="dxa"/>
            <w:noWrap/>
            <w:vAlign w:val="center"/>
            <w:hideMark/>
          </w:tcPr>
          <w:p w14:paraId="01D72FF2"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72.545</w:t>
            </w:r>
          </w:p>
        </w:tc>
        <w:tc>
          <w:tcPr>
            <w:tcW w:w="794" w:type="dxa"/>
            <w:noWrap/>
            <w:vAlign w:val="center"/>
            <w:hideMark/>
          </w:tcPr>
          <w:p w14:paraId="375719E7"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47.4</w:t>
            </w:r>
          </w:p>
        </w:tc>
        <w:tc>
          <w:tcPr>
            <w:tcW w:w="794" w:type="dxa"/>
            <w:noWrap/>
            <w:vAlign w:val="center"/>
            <w:hideMark/>
          </w:tcPr>
          <w:p w14:paraId="2389753C"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0.6</w:t>
            </w:r>
          </w:p>
        </w:tc>
        <w:tc>
          <w:tcPr>
            <w:tcW w:w="794" w:type="dxa"/>
            <w:noWrap/>
            <w:vAlign w:val="center"/>
            <w:hideMark/>
          </w:tcPr>
          <w:p w14:paraId="6B633FC2"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512</w:t>
            </w:r>
          </w:p>
        </w:tc>
        <w:tc>
          <w:tcPr>
            <w:tcW w:w="794" w:type="dxa"/>
            <w:noWrap/>
            <w:vAlign w:val="center"/>
            <w:hideMark/>
          </w:tcPr>
          <w:p w14:paraId="5991E1D2"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511.4</w:t>
            </w:r>
          </w:p>
        </w:tc>
        <w:tc>
          <w:tcPr>
            <w:tcW w:w="794" w:type="dxa"/>
            <w:noWrap/>
            <w:vAlign w:val="center"/>
            <w:hideMark/>
          </w:tcPr>
          <w:p w14:paraId="4C91284E"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2.505</w:t>
            </w:r>
          </w:p>
        </w:tc>
        <w:tc>
          <w:tcPr>
            <w:tcW w:w="794" w:type="dxa"/>
            <w:noWrap/>
            <w:vAlign w:val="center"/>
            <w:hideMark/>
          </w:tcPr>
          <w:p w14:paraId="77C40B34"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11.44</w:t>
            </w:r>
          </w:p>
        </w:tc>
        <w:tc>
          <w:tcPr>
            <w:tcW w:w="794" w:type="dxa"/>
            <w:noWrap/>
            <w:vAlign w:val="center"/>
            <w:hideMark/>
          </w:tcPr>
          <w:p w14:paraId="36EEC60C"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7.114</w:t>
            </w:r>
          </w:p>
        </w:tc>
      </w:tr>
      <w:tr w:rsidR="00211346" w:rsidRPr="005D28E6" w14:paraId="0990819F" w14:textId="77777777" w:rsidTr="00D25C60">
        <w:trPr>
          <w:trHeight w:val="290"/>
        </w:trPr>
        <w:tc>
          <w:tcPr>
            <w:tcW w:w="2061" w:type="dxa"/>
            <w:noWrap/>
            <w:vAlign w:val="bottom"/>
            <w:hideMark/>
          </w:tcPr>
          <w:p w14:paraId="3F957B7E" w14:textId="77777777" w:rsidR="00211346" w:rsidRPr="005D28E6" w:rsidRDefault="00211346" w:rsidP="00D25C60">
            <w:pPr>
              <w:rPr>
                <w:rFonts w:asciiTheme="minorEastAsia" w:hAnsiTheme="minorEastAsia" w:cs="Arial"/>
                <w:sz w:val="16"/>
                <w:szCs w:val="16"/>
                <w:highlight w:val="yellow"/>
              </w:rPr>
            </w:pPr>
            <w:r w:rsidRPr="005D28E6">
              <w:rPr>
                <w:rFonts w:asciiTheme="minorEastAsia" w:hAnsiTheme="minorEastAsia" w:cs="Arial"/>
                <w:sz w:val="16"/>
                <w:szCs w:val="16"/>
              </w:rPr>
              <w:t>Employees in cultural enterprises</w:t>
            </w:r>
          </w:p>
        </w:tc>
        <w:tc>
          <w:tcPr>
            <w:tcW w:w="794" w:type="dxa"/>
            <w:noWrap/>
            <w:vAlign w:val="center"/>
            <w:hideMark/>
          </w:tcPr>
          <w:p w14:paraId="64AF6D02"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1.169</w:t>
            </w:r>
          </w:p>
        </w:tc>
        <w:tc>
          <w:tcPr>
            <w:tcW w:w="794" w:type="dxa"/>
            <w:noWrap/>
            <w:vAlign w:val="center"/>
            <w:hideMark/>
          </w:tcPr>
          <w:p w14:paraId="38F5E209"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0.418</w:t>
            </w:r>
          </w:p>
        </w:tc>
        <w:tc>
          <w:tcPr>
            <w:tcW w:w="794" w:type="dxa"/>
            <w:noWrap/>
            <w:vAlign w:val="center"/>
            <w:hideMark/>
          </w:tcPr>
          <w:p w14:paraId="4BED33DB"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1.1</w:t>
            </w:r>
          </w:p>
        </w:tc>
        <w:tc>
          <w:tcPr>
            <w:tcW w:w="794" w:type="dxa"/>
            <w:noWrap/>
            <w:vAlign w:val="center"/>
            <w:hideMark/>
          </w:tcPr>
          <w:p w14:paraId="65EB486D"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0.7</w:t>
            </w:r>
          </w:p>
        </w:tc>
        <w:tc>
          <w:tcPr>
            <w:tcW w:w="794" w:type="dxa"/>
            <w:noWrap/>
            <w:vAlign w:val="center"/>
            <w:hideMark/>
          </w:tcPr>
          <w:p w14:paraId="0E465EB5"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3.8</w:t>
            </w:r>
          </w:p>
        </w:tc>
        <w:tc>
          <w:tcPr>
            <w:tcW w:w="794" w:type="dxa"/>
            <w:noWrap/>
            <w:vAlign w:val="center"/>
            <w:hideMark/>
          </w:tcPr>
          <w:p w14:paraId="3CAC08D1"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3.1</w:t>
            </w:r>
          </w:p>
        </w:tc>
        <w:tc>
          <w:tcPr>
            <w:tcW w:w="794" w:type="dxa"/>
            <w:noWrap/>
            <w:vAlign w:val="center"/>
            <w:hideMark/>
          </w:tcPr>
          <w:p w14:paraId="2EDB0335"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3.661</w:t>
            </w:r>
          </w:p>
        </w:tc>
        <w:tc>
          <w:tcPr>
            <w:tcW w:w="794" w:type="dxa"/>
            <w:noWrap/>
            <w:vAlign w:val="center"/>
            <w:hideMark/>
          </w:tcPr>
          <w:p w14:paraId="2316D475"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18.133</w:t>
            </w:r>
          </w:p>
        </w:tc>
        <w:tc>
          <w:tcPr>
            <w:tcW w:w="794" w:type="dxa"/>
            <w:noWrap/>
            <w:vAlign w:val="center"/>
            <w:hideMark/>
          </w:tcPr>
          <w:p w14:paraId="3DE15BEE"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0.041</w:t>
            </w:r>
          </w:p>
        </w:tc>
      </w:tr>
      <w:tr w:rsidR="00211346" w:rsidRPr="005D28E6" w14:paraId="7D0987D9" w14:textId="77777777" w:rsidTr="00D25C60">
        <w:trPr>
          <w:trHeight w:val="290"/>
        </w:trPr>
        <w:tc>
          <w:tcPr>
            <w:tcW w:w="2061" w:type="dxa"/>
            <w:noWrap/>
            <w:vAlign w:val="bottom"/>
            <w:hideMark/>
          </w:tcPr>
          <w:p w14:paraId="07C9612B" w14:textId="77777777" w:rsidR="00211346" w:rsidRPr="005D28E6" w:rsidRDefault="00211346" w:rsidP="00D25C60">
            <w:pPr>
              <w:rPr>
                <w:rFonts w:asciiTheme="minorEastAsia" w:hAnsiTheme="minorEastAsia" w:cs="Arial"/>
                <w:sz w:val="16"/>
                <w:szCs w:val="16"/>
                <w:highlight w:val="yellow"/>
              </w:rPr>
            </w:pPr>
            <w:r w:rsidRPr="005D28E6">
              <w:rPr>
                <w:rFonts w:asciiTheme="minorEastAsia" w:hAnsiTheme="minorEastAsia" w:cs="Arial"/>
                <w:sz w:val="16"/>
                <w:szCs w:val="16"/>
              </w:rPr>
              <w:t>Hospital-related emigration to another region</w:t>
            </w:r>
          </w:p>
        </w:tc>
        <w:tc>
          <w:tcPr>
            <w:tcW w:w="794" w:type="dxa"/>
            <w:noWrap/>
            <w:vAlign w:val="center"/>
            <w:hideMark/>
          </w:tcPr>
          <w:p w14:paraId="53A16F22"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9.38</w:t>
            </w:r>
          </w:p>
        </w:tc>
        <w:tc>
          <w:tcPr>
            <w:tcW w:w="794" w:type="dxa"/>
            <w:noWrap/>
            <w:vAlign w:val="center"/>
            <w:hideMark/>
          </w:tcPr>
          <w:p w14:paraId="73315440"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5.851</w:t>
            </w:r>
          </w:p>
        </w:tc>
        <w:tc>
          <w:tcPr>
            <w:tcW w:w="794" w:type="dxa"/>
            <w:noWrap/>
            <w:vAlign w:val="center"/>
            <w:hideMark/>
          </w:tcPr>
          <w:p w14:paraId="467A007A"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7.7</w:t>
            </w:r>
          </w:p>
        </w:tc>
        <w:tc>
          <w:tcPr>
            <w:tcW w:w="794" w:type="dxa"/>
            <w:noWrap/>
            <w:vAlign w:val="center"/>
            <w:hideMark/>
          </w:tcPr>
          <w:p w14:paraId="51713172"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1.8</w:t>
            </w:r>
          </w:p>
        </w:tc>
        <w:tc>
          <w:tcPr>
            <w:tcW w:w="794" w:type="dxa"/>
            <w:noWrap/>
            <w:vAlign w:val="center"/>
            <w:hideMark/>
          </w:tcPr>
          <w:p w14:paraId="7E82B62E"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27.4</w:t>
            </w:r>
          </w:p>
        </w:tc>
        <w:tc>
          <w:tcPr>
            <w:tcW w:w="794" w:type="dxa"/>
            <w:noWrap/>
            <w:vAlign w:val="center"/>
            <w:hideMark/>
          </w:tcPr>
          <w:p w14:paraId="779405C2"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25.6</w:t>
            </w:r>
          </w:p>
        </w:tc>
        <w:tc>
          <w:tcPr>
            <w:tcW w:w="794" w:type="dxa"/>
            <w:noWrap/>
            <w:vAlign w:val="center"/>
            <w:hideMark/>
          </w:tcPr>
          <w:p w14:paraId="04ADD7D8"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1.142</w:t>
            </w:r>
          </w:p>
        </w:tc>
        <w:tc>
          <w:tcPr>
            <w:tcW w:w="794" w:type="dxa"/>
            <w:noWrap/>
            <w:vAlign w:val="center"/>
            <w:hideMark/>
          </w:tcPr>
          <w:p w14:paraId="1C3E3065"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0.79</w:t>
            </w:r>
          </w:p>
        </w:tc>
        <w:tc>
          <w:tcPr>
            <w:tcW w:w="794" w:type="dxa"/>
            <w:noWrap/>
            <w:vAlign w:val="center"/>
            <w:hideMark/>
          </w:tcPr>
          <w:p w14:paraId="18D34BA4"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0.574</w:t>
            </w:r>
          </w:p>
        </w:tc>
      </w:tr>
      <w:tr w:rsidR="00211346" w:rsidRPr="005D28E6" w14:paraId="69932F63" w14:textId="77777777" w:rsidTr="00D25C60">
        <w:trPr>
          <w:trHeight w:val="290"/>
        </w:trPr>
        <w:tc>
          <w:tcPr>
            <w:tcW w:w="2061" w:type="dxa"/>
            <w:noWrap/>
            <w:vAlign w:val="bottom"/>
            <w:hideMark/>
          </w:tcPr>
          <w:p w14:paraId="71AD95A7" w14:textId="77777777" w:rsidR="00211346" w:rsidRPr="005D28E6" w:rsidRDefault="00211346" w:rsidP="00D25C60">
            <w:pPr>
              <w:rPr>
                <w:rFonts w:asciiTheme="minorEastAsia" w:hAnsiTheme="minorEastAsia" w:cs="Arial"/>
                <w:sz w:val="16"/>
                <w:szCs w:val="16"/>
                <w:highlight w:val="yellow"/>
              </w:rPr>
            </w:pPr>
            <w:r w:rsidRPr="005D28E6">
              <w:rPr>
                <w:rFonts w:asciiTheme="minorEastAsia" w:hAnsiTheme="minorEastAsia" w:cs="Arial"/>
                <w:sz w:val="16"/>
                <w:szCs w:val="16"/>
              </w:rPr>
              <w:t>Specialistic doctors</w:t>
            </w:r>
          </w:p>
        </w:tc>
        <w:tc>
          <w:tcPr>
            <w:tcW w:w="794" w:type="dxa"/>
            <w:noWrap/>
            <w:vAlign w:val="center"/>
            <w:hideMark/>
          </w:tcPr>
          <w:p w14:paraId="2B531165"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27.607</w:t>
            </w:r>
          </w:p>
        </w:tc>
        <w:tc>
          <w:tcPr>
            <w:tcW w:w="794" w:type="dxa"/>
            <w:noWrap/>
            <w:vAlign w:val="center"/>
            <w:hideMark/>
          </w:tcPr>
          <w:p w14:paraId="2CCF0E8F"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7.836</w:t>
            </w:r>
          </w:p>
        </w:tc>
        <w:tc>
          <w:tcPr>
            <w:tcW w:w="794" w:type="dxa"/>
            <w:noWrap/>
            <w:vAlign w:val="center"/>
            <w:hideMark/>
          </w:tcPr>
          <w:p w14:paraId="1E6E46A3"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24.8</w:t>
            </w:r>
          </w:p>
        </w:tc>
        <w:tc>
          <w:tcPr>
            <w:tcW w:w="794" w:type="dxa"/>
            <w:noWrap/>
            <w:vAlign w:val="center"/>
            <w:hideMark/>
          </w:tcPr>
          <w:p w14:paraId="0798A805"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16.4</w:t>
            </w:r>
          </w:p>
        </w:tc>
        <w:tc>
          <w:tcPr>
            <w:tcW w:w="794" w:type="dxa"/>
            <w:noWrap/>
            <w:vAlign w:val="center"/>
            <w:hideMark/>
          </w:tcPr>
          <w:p w14:paraId="06728244"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50.9</w:t>
            </w:r>
          </w:p>
        </w:tc>
        <w:tc>
          <w:tcPr>
            <w:tcW w:w="794" w:type="dxa"/>
            <w:noWrap/>
            <w:vAlign w:val="center"/>
            <w:hideMark/>
          </w:tcPr>
          <w:p w14:paraId="71FC11E3"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34.5</w:t>
            </w:r>
          </w:p>
        </w:tc>
        <w:tc>
          <w:tcPr>
            <w:tcW w:w="794" w:type="dxa"/>
            <w:noWrap/>
            <w:vAlign w:val="center"/>
            <w:hideMark/>
          </w:tcPr>
          <w:p w14:paraId="6E473197"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1.084</w:t>
            </w:r>
          </w:p>
        </w:tc>
        <w:tc>
          <w:tcPr>
            <w:tcW w:w="794" w:type="dxa"/>
            <w:noWrap/>
            <w:vAlign w:val="center"/>
            <w:hideMark/>
          </w:tcPr>
          <w:p w14:paraId="3C465F13"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0.325</w:t>
            </w:r>
          </w:p>
        </w:tc>
        <w:tc>
          <w:tcPr>
            <w:tcW w:w="794" w:type="dxa"/>
            <w:noWrap/>
            <w:vAlign w:val="center"/>
            <w:hideMark/>
          </w:tcPr>
          <w:p w14:paraId="72BA210F" w14:textId="77777777" w:rsidR="00211346" w:rsidRPr="005D28E6" w:rsidRDefault="00211346" w:rsidP="00D25C60">
            <w:pPr>
              <w:jc w:val="center"/>
              <w:rPr>
                <w:rFonts w:asciiTheme="minorEastAsia" w:hAnsiTheme="minorEastAsia" w:cs="Arial"/>
                <w:sz w:val="16"/>
                <w:szCs w:val="16"/>
              </w:rPr>
            </w:pPr>
            <w:r w:rsidRPr="005D28E6">
              <w:rPr>
                <w:rFonts w:asciiTheme="minorEastAsia" w:hAnsiTheme="minorEastAsia" w:cs="Arial"/>
                <w:sz w:val="16"/>
                <w:szCs w:val="16"/>
              </w:rPr>
              <w:t>0.768</w:t>
            </w:r>
          </w:p>
        </w:tc>
      </w:tr>
    </w:tbl>
    <w:p w14:paraId="4E8DDB61" w14:textId="77777777" w:rsidR="00211346" w:rsidRPr="007122EE" w:rsidRDefault="00211346" w:rsidP="00211346">
      <w:pPr>
        <w:jc w:val="both"/>
        <w:rPr>
          <w:rFonts w:asciiTheme="minorEastAsia" w:hAnsiTheme="minorEastAsia"/>
          <w:highlight w:val="yellow"/>
          <w:lang w:val="en-GB"/>
        </w:rPr>
      </w:pPr>
    </w:p>
    <w:p w14:paraId="33260017" w14:textId="77777777" w:rsidR="00211346" w:rsidRDefault="00211346" w:rsidP="00211346">
      <w:pPr>
        <w:jc w:val="both"/>
        <w:rPr>
          <w:rFonts w:asciiTheme="minorEastAsia" w:hAnsiTheme="minorEastAsia"/>
          <w:lang w:val="en-GB"/>
        </w:rPr>
      </w:pPr>
    </w:p>
    <w:p w14:paraId="53DE42C1" w14:textId="77777777" w:rsidR="00211346" w:rsidRDefault="00211346" w:rsidP="00211346">
      <w:pPr>
        <w:jc w:val="both"/>
        <w:rPr>
          <w:rFonts w:asciiTheme="minorEastAsia" w:hAnsiTheme="minorEastAsia"/>
          <w:lang w:val="en-GB"/>
        </w:rPr>
      </w:pPr>
    </w:p>
    <w:p w14:paraId="10B3BC22" w14:textId="77777777" w:rsidR="00211346" w:rsidRDefault="00211346" w:rsidP="00211346">
      <w:pPr>
        <w:jc w:val="both"/>
        <w:rPr>
          <w:rFonts w:asciiTheme="minorEastAsia" w:hAnsiTheme="minorEastAsia"/>
          <w:lang w:val="en-GB"/>
        </w:rPr>
      </w:pPr>
    </w:p>
    <w:p w14:paraId="5A452BE8" w14:textId="77777777" w:rsidR="00211346" w:rsidRDefault="00211346" w:rsidP="00211346">
      <w:pPr>
        <w:jc w:val="both"/>
        <w:rPr>
          <w:rFonts w:asciiTheme="minorEastAsia" w:hAnsiTheme="minorEastAsia"/>
          <w:lang w:val="en-GB"/>
        </w:rPr>
      </w:pPr>
    </w:p>
    <w:p w14:paraId="2AB24F08" w14:textId="77777777" w:rsidR="00211346" w:rsidRDefault="00211346" w:rsidP="00211346">
      <w:pPr>
        <w:jc w:val="both"/>
        <w:rPr>
          <w:rFonts w:asciiTheme="minorEastAsia" w:hAnsiTheme="minorEastAsia"/>
          <w:lang w:val="en-GB"/>
        </w:rPr>
      </w:pPr>
      <w:r>
        <w:rPr>
          <w:rFonts w:asciiTheme="minorEastAsia" w:hAnsiTheme="minorEastAsia"/>
          <w:lang w:val="en-GB"/>
        </w:rPr>
        <w:t>APPENDIX B</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211346" w14:paraId="1BC44916" w14:textId="77777777" w:rsidTr="00D25C60">
        <w:tc>
          <w:tcPr>
            <w:tcW w:w="9016" w:type="dxa"/>
          </w:tcPr>
          <w:p w14:paraId="158EA107" w14:textId="77777777" w:rsidR="00211346" w:rsidRDefault="00211346" w:rsidP="00D25C60">
            <w:pPr>
              <w:jc w:val="both"/>
              <w:rPr>
                <w:rFonts w:asciiTheme="minorEastAsia" w:hAnsiTheme="minorEastAsia"/>
              </w:rPr>
            </w:pPr>
            <w:r>
              <w:rPr>
                <w:rFonts w:asciiTheme="minorEastAsia" w:hAnsiTheme="minorEastAsia"/>
                <w:noProof/>
              </w:rPr>
              <w:lastRenderedPageBreak/>
              <w:drawing>
                <wp:inline distT="0" distB="0" distL="0" distR="0" wp14:anchorId="065E9544" wp14:editId="75911270">
                  <wp:extent cx="5557607" cy="2901950"/>
                  <wp:effectExtent l="0" t="0" r="5080" b="0"/>
                  <wp:docPr id="319526078" name="Picture 2"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526078" name="Picture 2" descr="A graph of different colored lines&#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559619" cy="2903001"/>
                          </a:xfrm>
                          <a:prstGeom prst="rect">
                            <a:avLst/>
                          </a:prstGeom>
                        </pic:spPr>
                      </pic:pic>
                    </a:graphicData>
                  </a:graphic>
                </wp:inline>
              </w:drawing>
            </w:r>
          </w:p>
        </w:tc>
      </w:tr>
      <w:tr w:rsidR="00211346" w14:paraId="7DF8BF31" w14:textId="77777777" w:rsidTr="00D25C60">
        <w:tc>
          <w:tcPr>
            <w:tcW w:w="9016" w:type="dxa"/>
          </w:tcPr>
          <w:p w14:paraId="543485AA" w14:textId="77777777" w:rsidR="00211346" w:rsidRDefault="00211346" w:rsidP="00D25C60">
            <w:pPr>
              <w:jc w:val="both"/>
              <w:rPr>
                <w:rFonts w:asciiTheme="minorEastAsia" w:hAnsiTheme="minorEastAsia"/>
              </w:rPr>
            </w:pPr>
            <w:r w:rsidRPr="00C1409D">
              <w:rPr>
                <w:rFonts w:asciiTheme="minorEastAsia" w:hAnsiTheme="minorEastAsia"/>
                <w:i/>
                <w:iCs/>
              </w:rPr>
              <w:t>Figure</w:t>
            </w:r>
            <w:r>
              <w:rPr>
                <w:rFonts w:asciiTheme="minorEastAsia" w:hAnsiTheme="minorEastAsia"/>
                <w:i/>
                <w:iCs/>
              </w:rPr>
              <w:t xml:space="preserve"> B.1</w:t>
            </w:r>
            <w:r>
              <w:rPr>
                <w:rFonts w:asciiTheme="minorEastAsia" w:hAnsiTheme="minorEastAsia"/>
              </w:rPr>
              <w:t xml:space="preserve"> – Trends for mean values of the standardized P</w:t>
            </w:r>
            <w:r w:rsidRPr="00C1409D">
              <w:rPr>
                <w:rFonts w:asciiTheme="minorEastAsia" w:hAnsiTheme="minorEastAsia"/>
              </w:rPr>
              <w:t>opulation Turnover Rate</w:t>
            </w:r>
            <w:r>
              <w:rPr>
                <w:rFonts w:asciiTheme="minorEastAsia" w:hAnsiTheme="minorEastAsia"/>
              </w:rPr>
              <w:t xml:space="preserve"> (*1000)</w:t>
            </w:r>
            <w:r w:rsidRPr="00C1409D">
              <w:rPr>
                <w:rFonts w:asciiTheme="minorEastAsia" w:hAnsiTheme="minorEastAsia"/>
              </w:rPr>
              <w:t xml:space="preserve"> and </w:t>
            </w:r>
            <w:r>
              <w:rPr>
                <w:rFonts w:asciiTheme="minorEastAsia" w:hAnsiTheme="minorEastAsia"/>
              </w:rPr>
              <w:t>its components (*100)</w:t>
            </w:r>
            <w:r w:rsidRPr="00C1409D">
              <w:rPr>
                <w:rFonts w:asciiTheme="minorEastAsia" w:hAnsiTheme="minorEastAsia"/>
              </w:rPr>
              <w:t xml:space="preserve"> for </w:t>
            </w:r>
            <w:r>
              <w:rPr>
                <w:rFonts w:asciiTheme="minorEastAsia" w:hAnsiTheme="minorEastAsia"/>
              </w:rPr>
              <w:t>Italian</w:t>
            </w:r>
            <w:r w:rsidRPr="00C1409D">
              <w:rPr>
                <w:rFonts w:asciiTheme="minorEastAsia" w:hAnsiTheme="minorEastAsia"/>
              </w:rPr>
              <w:t xml:space="preserve"> provinces by </w:t>
            </w:r>
            <w:r>
              <w:rPr>
                <w:rFonts w:asciiTheme="minorEastAsia" w:hAnsiTheme="minorEastAsia"/>
              </w:rPr>
              <w:t>DEGURBA classification</w:t>
            </w:r>
            <w:r w:rsidRPr="00C1409D">
              <w:rPr>
                <w:rFonts w:asciiTheme="minorEastAsia" w:hAnsiTheme="minorEastAsia"/>
              </w:rPr>
              <w:t>, 20</w:t>
            </w:r>
            <w:r>
              <w:rPr>
                <w:rFonts w:asciiTheme="minorEastAsia" w:hAnsiTheme="minorEastAsia"/>
              </w:rPr>
              <w:t>1</w:t>
            </w:r>
            <w:r w:rsidRPr="00C1409D">
              <w:rPr>
                <w:rFonts w:asciiTheme="minorEastAsia" w:hAnsiTheme="minorEastAsia"/>
              </w:rPr>
              <w:t>1</w:t>
            </w:r>
            <w:r w:rsidRPr="00C1409D">
              <w:rPr>
                <w:rFonts w:asciiTheme="minorEastAsia" w:hAnsiTheme="minorEastAsia" w:hint="eastAsia"/>
              </w:rPr>
              <w:t>–</w:t>
            </w:r>
            <w:r w:rsidRPr="00C1409D">
              <w:rPr>
                <w:rFonts w:asciiTheme="minorEastAsia" w:hAnsiTheme="minorEastAsia"/>
              </w:rPr>
              <w:t>202</w:t>
            </w:r>
            <w:r>
              <w:rPr>
                <w:rFonts w:asciiTheme="minorEastAsia" w:hAnsiTheme="minorEastAsia"/>
              </w:rPr>
              <w:t>0. Note: different scales for y axes.</w:t>
            </w:r>
          </w:p>
        </w:tc>
      </w:tr>
    </w:tbl>
    <w:p w14:paraId="4ACBC558" w14:textId="77777777" w:rsidR="00211346" w:rsidRPr="000372AA" w:rsidRDefault="00211346" w:rsidP="00211346">
      <w:pPr>
        <w:jc w:val="both"/>
        <w:rPr>
          <w:rFonts w:asciiTheme="minorEastAsia" w:hAnsiTheme="minorEastAsia"/>
        </w:rPr>
      </w:pPr>
    </w:p>
    <w:p w14:paraId="0D0DD8B4" w14:textId="77777777" w:rsidR="00DE6AE2" w:rsidRDefault="00DE6AE2"/>
    <w:sectPr w:rsidR="00DE6AE2" w:rsidSect="002113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64012C"/>
    <w:multiLevelType w:val="hybridMultilevel"/>
    <w:tmpl w:val="47D2CD3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24566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346"/>
    <w:rsid w:val="00195413"/>
    <w:rsid w:val="00211346"/>
    <w:rsid w:val="003D0186"/>
    <w:rsid w:val="007278E4"/>
    <w:rsid w:val="00943B44"/>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35574"/>
  <w15:chartTrackingRefBased/>
  <w15:docId w15:val="{E223E1B2-CD2E-4B49-BB88-3835EB4FB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1346"/>
    <w:pPr>
      <w:spacing w:line="259" w:lineRule="auto"/>
    </w:pPr>
    <w:rPr>
      <w:rFonts w:eastAsiaTheme="minorEastAsia"/>
      <w:kern w:val="0"/>
      <w:sz w:val="22"/>
      <w:szCs w:val="22"/>
      <w:lang w:eastAsia="zh-CN" w:bidi="he-IL"/>
    </w:rPr>
  </w:style>
  <w:style w:type="paragraph" w:styleId="Heading1">
    <w:name w:val="heading 1"/>
    <w:basedOn w:val="Normal"/>
    <w:next w:val="Normal"/>
    <w:link w:val="Heading1Char"/>
    <w:uiPriority w:val="9"/>
    <w:qFormat/>
    <w:rsid w:val="002113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13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134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134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134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13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13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13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13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13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13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13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13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13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13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13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13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1346"/>
    <w:rPr>
      <w:rFonts w:eastAsiaTheme="majorEastAsia" w:cstheme="majorBidi"/>
      <w:color w:val="272727" w:themeColor="text1" w:themeTint="D8"/>
    </w:rPr>
  </w:style>
  <w:style w:type="paragraph" w:styleId="Title">
    <w:name w:val="Title"/>
    <w:basedOn w:val="Normal"/>
    <w:next w:val="Normal"/>
    <w:link w:val="TitleChar"/>
    <w:uiPriority w:val="10"/>
    <w:qFormat/>
    <w:rsid w:val="002113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13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13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13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1346"/>
    <w:pPr>
      <w:spacing w:before="160"/>
      <w:jc w:val="center"/>
    </w:pPr>
    <w:rPr>
      <w:i/>
      <w:iCs/>
      <w:color w:val="404040" w:themeColor="text1" w:themeTint="BF"/>
    </w:rPr>
  </w:style>
  <w:style w:type="character" w:customStyle="1" w:styleId="QuoteChar">
    <w:name w:val="Quote Char"/>
    <w:basedOn w:val="DefaultParagraphFont"/>
    <w:link w:val="Quote"/>
    <w:uiPriority w:val="29"/>
    <w:rsid w:val="00211346"/>
    <w:rPr>
      <w:i/>
      <w:iCs/>
      <w:color w:val="404040" w:themeColor="text1" w:themeTint="BF"/>
    </w:rPr>
  </w:style>
  <w:style w:type="paragraph" w:styleId="ListParagraph">
    <w:name w:val="List Paragraph"/>
    <w:basedOn w:val="Normal"/>
    <w:uiPriority w:val="34"/>
    <w:qFormat/>
    <w:rsid w:val="00211346"/>
    <w:pPr>
      <w:ind w:left="720"/>
      <w:contextualSpacing/>
    </w:pPr>
  </w:style>
  <w:style w:type="character" w:styleId="IntenseEmphasis">
    <w:name w:val="Intense Emphasis"/>
    <w:basedOn w:val="DefaultParagraphFont"/>
    <w:uiPriority w:val="21"/>
    <w:qFormat/>
    <w:rsid w:val="00211346"/>
    <w:rPr>
      <w:i/>
      <w:iCs/>
      <w:color w:val="0F4761" w:themeColor="accent1" w:themeShade="BF"/>
    </w:rPr>
  </w:style>
  <w:style w:type="paragraph" w:styleId="IntenseQuote">
    <w:name w:val="Intense Quote"/>
    <w:basedOn w:val="Normal"/>
    <w:next w:val="Normal"/>
    <w:link w:val="IntenseQuoteChar"/>
    <w:uiPriority w:val="30"/>
    <w:qFormat/>
    <w:rsid w:val="002113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1346"/>
    <w:rPr>
      <w:i/>
      <w:iCs/>
      <w:color w:val="0F4761" w:themeColor="accent1" w:themeShade="BF"/>
    </w:rPr>
  </w:style>
  <w:style w:type="character" w:styleId="IntenseReference">
    <w:name w:val="Intense Reference"/>
    <w:basedOn w:val="DefaultParagraphFont"/>
    <w:uiPriority w:val="32"/>
    <w:qFormat/>
    <w:rsid w:val="00211346"/>
    <w:rPr>
      <w:b/>
      <w:bCs/>
      <w:smallCaps/>
      <w:color w:val="0F4761" w:themeColor="accent1" w:themeShade="BF"/>
      <w:spacing w:val="5"/>
    </w:rPr>
  </w:style>
  <w:style w:type="table" w:styleId="TableGrid">
    <w:name w:val="Table Grid"/>
    <w:basedOn w:val="TableNormal"/>
    <w:uiPriority w:val="39"/>
    <w:rsid w:val="00211346"/>
    <w:pPr>
      <w:spacing w:after="0" w:line="240" w:lineRule="auto"/>
    </w:pPr>
    <w:rPr>
      <w:rFonts w:eastAsiaTheme="minorEastAsia"/>
      <w:kern w:val="0"/>
      <w:sz w:val="22"/>
      <w:szCs w:val="22"/>
      <w:lang w:val="en-GB" w:eastAsia="zh-CN"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1546</Words>
  <Characters>8817</Characters>
  <Application>Microsoft Office Word</Application>
  <DocSecurity>0</DocSecurity>
  <Lines>73</Lines>
  <Paragraphs>20</Paragraphs>
  <ScaleCrop>false</ScaleCrop>
  <Company>Springer Nature</Company>
  <LinksUpToDate>false</LinksUpToDate>
  <CharactersWithSpaces>10343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2025-07-28T13:39:00Z</dcterms:created>
  <dcterms:modified xsi:type="dcterms:W3CDTF">2025-07-28T13:39:00Z</dcterms:modified>
</cp:coreProperties>
</file>