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E4267" w14:textId="50E93086" w:rsidR="001F63C6" w:rsidRDefault="001F63C6" w:rsidP="001F63C6">
      <w:pPr>
        <w:spacing w:line="240" w:lineRule="auto"/>
      </w:pPr>
      <w:r>
        <w:t>Supplementary Table 1. Search terms that were used to search the databases.</w:t>
      </w:r>
    </w:p>
    <w:tbl>
      <w:tblPr>
        <w:tblStyle w:val="TableGrid"/>
        <w:tblW w:w="13705" w:type="dxa"/>
        <w:tblLook w:val="04A0" w:firstRow="1" w:lastRow="0" w:firstColumn="1" w:lastColumn="0" w:noHBand="0" w:noVBand="1"/>
      </w:tblPr>
      <w:tblGrid>
        <w:gridCol w:w="4813"/>
        <w:gridCol w:w="8892"/>
      </w:tblGrid>
      <w:tr w:rsidR="001F63C6" w14:paraId="221B8306" w14:textId="77777777" w:rsidTr="00526A65">
        <w:trPr>
          <w:trHeight w:val="276"/>
        </w:trPr>
        <w:tc>
          <w:tcPr>
            <w:tcW w:w="4813" w:type="dxa"/>
            <w:vAlign w:val="center"/>
          </w:tcPr>
          <w:p w14:paraId="73E259E0" w14:textId="7845A1AE" w:rsidR="001F63C6" w:rsidRDefault="001F63C6" w:rsidP="00526A65">
            <w:pPr>
              <w:pStyle w:val="NoSpacing"/>
              <w:jc w:val="center"/>
            </w:pPr>
            <w:r w:rsidRPr="001F63C6">
              <w:rPr>
                <w:lang w:val="en-GB"/>
              </w:rPr>
              <w:t>Search Category</w:t>
            </w:r>
          </w:p>
        </w:tc>
        <w:tc>
          <w:tcPr>
            <w:tcW w:w="8892" w:type="dxa"/>
            <w:vAlign w:val="center"/>
          </w:tcPr>
          <w:p w14:paraId="4D9EEA8C" w14:textId="225876CA" w:rsidR="001F63C6" w:rsidRDefault="001F63C6" w:rsidP="00526A65">
            <w:pPr>
              <w:pStyle w:val="NoSpacing"/>
              <w:jc w:val="center"/>
            </w:pPr>
            <w:r w:rsidRPr="001F63C6">
              <w:rPr>
                <w:lang w:val="en-GB"/>
              </w:rPr>
              <w:t>Search Terms</w:t>
            </w:r>
          </w:p>
        </w:tc>
      </w:tr>
      <w:tr w:rsidR="001F63C6" w14:paraId="0C8764B1" w14:textId="77777777" w:rsidTr="00526A65">
        <w:trPr>
          <w:trHeight w:val="233"/>
        </w:trPr>
        <w:tc>
          <w:tcPr>
            <w:tcW w:w="4813" w:type="dxa"/>
            <w:vAlign w:val="center"/>
          </w:tcPr>
          <w:p w14:paraId="58D2C748" w14:textId="4BB07FE0" w:rsidR="001F63C6" w:rsidRDefault="00F65CE7" w:rsidP="00F65CE7">
            <w:pPr>
              <w:pStyle w:val="NoSpacing"/>
              <w:jc w:val="center"/>
            </w:pPr>
            <w:r>
              <w:rPr>
                <w:lang w:val="en-GB"/>
              </w:rPr>
              <w:t xml:space="preserve">General </w:t>
            </w:r>
            <w:r w:rsidR="001F63C6" w:rsidRPr="001F63C6">
              <w:rPr>
                <w:lang w:val="en-GB"/>
              </w:rPr>
              <w:t>STH &amp; MDA</w:t>
            </w:r>
            <w:r>
              <w:rPr>
                <w:lang w:val="en-GB"/>
              </w:rPr>
              <w:t xml:space="preserve"> &amp; Region</w:t>
            </w:r>
          </w:p>
        </w:tc>
        <w:tc>
          <w:tcPr>
            <w:tcW w:w="8892" w:type="dxa"/>
            <w:vAlign w:val="center"/>
          </w:tcPr>
          <w:p w14:paraId="2933F73D" w14:textId="2F039B5E" w:rsidR="001F63C6" w:rsidRDefault="001F63C6" w:rsidP="00526A65">
            <w:pPr>
              <w:pStyle w:val="NoSpacing"/>
              <w:jc w:val="center"/>
            </w:pPr>
            <w:r w:rsidRPr="001F63C6">
              <w:rPr>
                <w:lang w:val="en-GB"/>
              </w:rPr>
              <w:t>"Soil-transmitted helminths AND Mass Drug Administration AND Southeast Asia"</w:t>
            </w:r>
          </w:p>
        </w:tc>
      </w:tr>
      <w:tr w:rsidR="00664042" w14:paraId="29A9B79D" w14:textId="77777777" w:rsidTr="00526A65">
        <w:trPr>
          <w:trHeight w:val="188"/>
        </w:trPr>
        <w:tc>
          <w:tcPr>
            <w:tcW w:w="4813" w:type="dxa"/>
            <w:vMerge w:val="restart"/>
            <w:vAlign w:val="center"/>
          </w:tcPr>
          <w:p w14:paraId="348FF610" w14:textId="7C570146" w:rsidR="00664042" w:rsidRDefault="00F65CE7" w:rsidP="00526A65">
            <w:pPr>
              <w:pStyle w:val="NoSpacing"/>
              <w:jc w:val="center"/>
            </w:pPr>
            <w:r>
              <w:rPr>
                <w:lang w:val="en-GB"/>
              </w:rPr>
              <w:t>STH</w:t>
            </w:r>
            <w:r w:rsidR="00664042" w:rsidRPr="001F63C6">
              <w:rPr>
                <w:lang w:val="en-GB"/>
              </w:rPr>
              <w:t xml:space="preserve"> &amp; MDA</w:t>
            </w:r>
            <w:r>
              <w:rPr>
                <w:lang w:val="en-GB"/>
              </w:rPr>
              <w:t xml:space="preserve"> &amp; </w:t>
            </w:r>
            <w:r w:rsidRPr="001F63C6">
              <w:rPr>
                <w:lang w:val="en-GB"/>
              </w:rPr>
              <w:t>Country</w:t>
            </w:r>
            <w:r>
              <w:rPr>
                <w:lang w:val="en-GB"/>
              </w:rPr>
              <w:t>*</w:t>
            </w:r>
          </w:p>
        </w:tc>
        <w:tc>
          <w:tcPr>
            <w:tcW w:w="8892" w:type="dxa"/>
            <w:vAlign w:val="center"/>
          </w:tcPr>
          <w:p w14:paraId="11DF94E3" w14:textId="2769733F" w:rsidR="00664042" w:rsidRDefault="00664042" w:rsidP="00526A65">
            <w:pPr>
              <w:pStyle w:val="NoSpacing"/>
              <w:jc w:val="center"/>
            </w:pPr>
            <w:r w:rsidRPr="001F63C6">
              <w:rPr>
                <w:lang w:val="en-GB"/>
              </w:rPr>
              <w:t>"Soil-transmitted helminths AND Mass Drug Administration AND Thailand"</w:t>
            </w:r>
          </w:p>
        </w:tc>
      </w:tr>
      <w:tr w:rsidR="00664042" w14:paraId="17B78B46" w14:textId="77777777" w:rsidTr="00526A65">
        <w:trPr>
          <w:trHeight w:val="142"/>
        </w:trPr>
        <w:tc>
          <w:tcPr>
            <w:tcW w:w="4813" w:type="dxa"/>
            <w:vMerge/>
            <w:vAlign w:val="center"/>
          </w:tcPr>
          <w:p w14:paraId="72363AC9" w14:textId="77777777" w:rsidR="00664042" w:rsidRDefault="00664042" w:rsidP="00526A65">
            <w:pPr>
              <w:pStyle w:val="NoSpacing"/>
              <w:jc w:val="center"/>
            </w:pPr>
          </w:p>
        </w:tc>
        <w:tc>
          <w:tcPr>
            <w:tcW w:w="8892" w:type="dxa"/>
            <w:vAlign w:val="center"/>
          </w:tcPr>
          <w:p w14:paraId="257A2024" w14:textId="1376F482" w:rsidR="00664042" w:rsidRDefault="00664042" w:rsidP="00526A65">
            <w:pPr>
              <w:pStyle w:val="NoSpacing"/>
              <w:jc w:val="center"/>
            </w:pPr>
            <w:r w:rsidRPr="001F63C6">
              <w:rPr>
                <w:lang w:val="en-GB"/>
              </w:rPr>
              <w:t>"Soil-transmitted helminths AND Mass Drug Administration AND Myanmar"</w:t>
            </w:r>
          </w:p>
        </w:tc>
      </w:tr>
      <w:tr w:rsidR="00664042" w14:paraId="13BE7598" w14:textId="77777777" w:rsidTr="00526A65">
        <w:trPr>
          <w:trHeight w:val="142"/>
        </w:trPr>
        <w:tc>
          <w:tcPr>
            <w:tcW w:w="4813" w:type="dxa"/>
            <w:vMerge/>
            <w:vAlign w:val="center"/>
          </w:tcPr>
          <w:p w14:paraId="18EFD86E" w14:textId="77777777" w:rsidR="00664042" w:rsidRDefault="00664042" w:rsidP="00526A65">
            <w:pPr>
              <w:pStyle w:val="NoSpacing"/>
              <w:jc w:val="center"/>
            </w:pPr>
          </w:p>
        </w:tc>
        <w:tc>
          <w:tcPr>
            <w:tcW w:w="8892" w:type="dxa"/>
            <w:vAlign w:val="center"/>
          </w:tcPr>
          <w:p w14:paraId="444EB560" w14:textId="558ED0AE" w:rsidR="00664042" w:rsidRDefault="00664042" w:rsidP="00526A65">
            <w:pPr>
              <w:pStyle w:val="NoSpacing"/>
              <w:jc w:val="center"/>
            </w:pPr>
            <w:r w:rsidRPr="001F63C6">
              <w:rPr>
                <w:lang w:val="en-GB"/>
              </w:rPr>
              <w:t>"Soil-transmitted helminths AND Mass Drug Administration AND Cambodia"</w:t>
            </w:r>
          </w:p>
        </w:tc>
      </w:tr>
      <w:tr w:rsidR="00664042" w14:paraId="4CC781D6" w14:textId="77777777" w:rsidTr="00526A65">
        <w:trPr>
          <w:trHeight w:val="142"/>
        </w:trPr>
        <w:tc>
          <w:tcPr>
            <w:tcW w:w="4813" w:type="dxa"/>
            <w:vMerge/>
            <w:vAlign w:val="center"/>
          </w:tcPr>
          <w:p w14:paraId="44ECA37A" w14:textId="77777777" w:rsidR="00664042" w:rsidRDefault="00664042" w:rsidP="00526A65">
            <w:pPr>
              <w:pStyle w:val="NoSpacing"/>
              <w:jc w:val="center"/>
            </w:pPr>
          </w:p>
        </w:tc>
        <w:tc>
          <w:tcPr>
            <w:tcW w:w="8892" w:type="dxa"/>
            <w:vAlign w:val="center"/>
          </w:tcPr>
          <w:p w14:paraId="45484681" w14:textId="62E8788D" w:rsidR="00664042" w:rsidRDefault="00664042" w:rsidP="00526A65">
            <w:pPr>
              <w:pStyle w:val="NoSpacing"/>
              <w:jc w:val="center"/>
            </w:pPr>
            <w:r w:rsidRPr="001F63C6">
              <w:rPr>
                <w:lang w:val="en-GB"/>
              </w:rPr>
              <w:t>"Soil-transmitted helminths AND Mass Drug Administration AND Laos"</w:t>
            </w:r>
          </w:p>
        </w:tc>
      </w:tr>
      <w:tr w:rsidR="00664042" w14:paraId="18F49964" w14:textId="77777777" w:rsidTr="00526A65">
        <w:trPr>
          <w:trHeight w:val="142"/>
        </w:trPr>
        <w:tc>
          <w:tcPr>
            <w:tcW w:w="4813" w:type="dxa"/>
            <w:vMerge/>
            <w:vAlign w:val="center"/>
          </w:tcPr>
          <w:p w14:paraId="7E4B97A6" w14:textId="77777777" w:rsidR="00664042" w:rsidRDefault="00664042" w:rsidP="00526A65">
            <w:pPr>
              <w:pStyle w:val="NoSpacing"/>
              <w:jc w:val="center"/>
            </w:pPr>
          </w:p>
        </w:tc>
        <w:tc>
          <w:tcPr>
            <w:tcW w:w="8892" w:type="dxa"/>
            <w:vAlign w:val="center"/>
          </w:tcPr>
          <w:p w14:paraId="3505C540" w14:textId="7AAD6000" w:rsidR="00664042" w:rsidRPr="001F63C6" w:rsidRDefault="00664042" w:rsidP="00526A65">
            <w:pPr>
              <w:pStyle w:val="NoSpacing"/>
              <w:jc w:val="center"/>
              <w:rPr>
                <w:lang w:val="en-GB"/>
              </w:rPr>
            </w:pPr>
            <w:r w:rsidRPr="001F63C6">
              <w:rPr>
                <w:lang w:val="en-GB"/>
              </w:rPr>
              <w:t>"Soil-transmitted helminths AND Mass Drug Administration AND Vietnam"</w:t>
            </w:r>
          </w:p>
        </w:tc>
      </w:tr>
      <w:tr w:rsidR="00664042" w14:paraId="74EE44A6" w14:textId="77777777" w:rsidTr="00526A65">
        <w:trPr>
          <w:trHeight w:val="142"/>
        </w:trPr>
        <w:tc>
          <w:tcPr>
            <w:tcW w:w="4813" w:type="dxa"/>
            <w:vMerge/>
            <w:vAlign w:val="center"/>
          </w:tcPr>
          <w:p w14:paraId="6C9D1EF4" w14:textId="77777777" w:rsidR="00664042" w:rsidRDefault="00664042" w:rsidP="00526A65">
            <w:pPr>
              <w:pStyle w:val="NoSpacing"/>
              <w:jc w:val="center"/>
            </w:pPr>
          </w:p>
        </w:tc>
        <w:tc>
          <w:tcPr>
            <w:tcW w:w="8892" w:type="dxa"/>
            <w:vAlign w:val="center"/>
          </w:tcPr>
          <w:p w14:paraId="62B96FCC" w14:textId="73CC788E" w:rsidR="00664042" w:rsidRPr="001F63C6" w:rsidRDefault="00664042" w:rsidP="00526A65">
            <w:pPr>
              <w:pStyle w:val="NoSpacing"/>
              <w:jc w:val="center"/>
              <w:rPr>
                <w:lang w:val="en-GB"/>
              </w:rPr>
            </w:pPr>
            <w:r w:rsidRPr="001F63C6">
              <w:rPr>
                <w:lang w:val="en-GB"/>
              </w:rPr>
              <w:t>"Soil-transmitted helminths AND Mass Drug Administration AND Philippines"</w:t>
            </w:r>
          </w:p>
        </w:tc>
      </w:tr>
      <w:tr w:rsidR="00664042" w14:paraId="3A3BF087" w14:textId="77777777" w:rsidTr="00526A65">
        <w:trPr>
          <w:trHeight w:val="142"/>
        </w:trPr>
        <w:tc>
          <w:tcPr>
            <w:tcW w:w="4813" w:type="dxa"/>
            <w:vMerge/>
            <w:vAlign w:val="center"/>
          </w:tcPr>
          <w:p w14:paraId="54C12C03" w14:textId="77777777" w:rsidR="00664042" w:rsidRDefault="00664042" w:rsidP="00526A65">
            <w:pPr>
              <w:pStyle w:val="NoSpacing"/>
              <w:jc w:val="center"/>
            </w:pPr>
          </w:p>
        </w:tc>
        <w:tc>
          <w:tcPr>
            <w:tcW w:w="8892" w:type="dxa"/>
            <w:vAlign w:val="center"/>
          </w:tcPr>
          <w:p w14:paraId="11C2402A" w14:textId="28872CD5" w:rsidR="00664042" w:rsidRPr="001F63C6" w:rsidRDefault="00664042" w:rsidP="00526A65">
            <w:pPr>
              <w:pStyle w:val="NoSpacing"/>
              <w:jc w:val="center"/>
              <w:rPr>
                <w:lang w:val="en-GB"/>
              </w:rPr>
            </w:pPr>
            <w:r w:rsidRPr="001F63C6">
              <w:rPr>
                <w:lang w:val="en-GB"/>
              </w:rPr>
              <w:t>"Soil-transmitted helminths AND Mass Drug Administration AND Malaysia"</w:t>
            </w:r>
          </w:p>
        </w:tc>
      </w:tr>
      <w:tr w:rsidR="00664042" w14:paraId="43ABC292" w14:textId="77777777" w:rsidTr="00526A65">
        <w:trPr>
          <w:trHeight w:val="142"/>
        </w:trPr>
        <w:tc>
          <w:tcPr>
            <w:tcW w:w="4813" w:type="dxa"/>
            <w:vMerge/>
            <w:vAlign w:val="center"/>
          </w:tcPr>
          <w:p w14:paraId="248ECD44" w14:textId="77777777" w:rsidR="00664042" w:rsidRDefault="00664042" w:rsidP="00526A65">
            <w:pPr>
              <w:pStyle w:val="NoSpacing"/>
              <w:jc w:val="center"/>
            </w:pPr>
          </w:p>
        </w:tc>
        <w:tc>
          <w:tcPr>
            <w:tcW w:w="8892" w:type="dxa"/>
            <w:vAlign w:val="center"/>
          </w:tcPr>
          <w:p w14:paraId="156570BD" w14:textId="2F54364E" w:rsidR="00664042" w:rsidRPr="001F63C6" w:rsidRDefault="00664042" w:rsidP="00526A65">
            <w:pPr>
              <w:pStyle w:val="NoSpacing"/>
              <w:jc w:val="center"/>
              <w:rPr>
                <w:lang w:val="en-GB"/>
              </w:rPr>
            </w:pPr>
            <w:r w:rsidRPr="001F63C6">
              <w:rPr>
                <w:lang w:val="en-GB"/>
              </w:rPr>
              <w:t>"Soil-transmitted helminths AND Mass Drug Administration AND Timor-Leste"</w:t>
            </w:r>
          </w:p>
        </w:tc>
      </w:tr>
      <w:tr w:rsidR="00664042" w14:paraId="642B6E17" w14:textId="77777777" w:rsidTr="00526A65">
        <w:trPr>
          <w:trHeight w:val="142"/>
        </w:trPr>
        <w:tc>
          <w:tcPr>
            <w:tcW w:w="4813" w:type="dxa"/>
            <w:vMerge/>
            <w:vAlign w:val="center"/>
          </w:tcPr>
          <w:p w14:paraId="76AB1CAD" w14:textId="77777777" w:rsidR="00664042" w:rsidRDefault="00664042" w:rsidP="00526A65">
            <w:pPr>
              <w:pStyle w:val="NoSpacing"/>
              <w:jc w:val="center"/>
            </w:pPr>
          </w:p>
        </w:tc>
        <w:tc>
          <w:tcPr>
            <w:tcW w:w="8892" w:type="dxa"/>
            <w:vAlign w:val="center"/>
          </w:tcPr>
          <w:p w14:paraId="1D7804E6" w14:textId="623AE5A5" w:rsidR="00664042" w:rsidRPr="001F63C6" w:rsidRDefault="00664042" w:rsidP="00526A65">
            <w:pPr>
              <w:pStyle w:val="NoSpacing"/>
              <w:jc w:val="center"/>
              <w:rPr>
                <w:lang w:val="en-GB"/>
              </w:rPr>
            </w:pPr>
            <w:r w:rsidRPr="001F63C6">
              <w:rPr>
                <w:lang w:val="en-GB"/>
              </w:rPr>
              <w:t>"Soil-transmitted helminths AND Mass Drug Administration AND Indonesia"</w:t>
            </w:r>
          </w:p>
        </w:tc>
      </w:tr>
      <w:tr w:rsidR="00664042" w14:paraId="5C3DC80A" w14:textId="77777777" w:rsidTr="00526A65">
        <w:trPr>
          <w:trHeight w:val="142"/>
        </w:trPr>
        <w:tc>
          <w:tcPr>
            <w:tcW w:w="4813" w:type="dxa"/>
            <w:vMerge/>
            <w:vAlign w:val="center"/>
          </w:tcPr>
          <w:p w14:paraId="4E6DECFE" w14:textId="77777777" w:rsidR="00664042" w:rsidRDefault="00664042" w:rsidP="00664042">
            <w:pPr>
              <w:pStyle w:val="NoSpacing"/>
              <w:jc w:val="center"/>
            </w:pPr>
          </w:p>
        </w:tc>
        <w:tc>
          <w:tcPr>
            <w:tcW w:w="8892" w:type="dxa"/>
            <w:vAlign w:val="center"/>
          </w:tcPr>
          <w:p w14:paraId="6A29AF7A" w14:textId="3DA8BDC2" w:rsidR="00664042" w:rsidRPr="001F63C6" w:rsidRDefault="00664042" w:rsidP="00664042">
            <w:pPr>
              <w:pStyle w:val="NoSpacing"/>
              <w:jc w:val="center"/>
              <w:rPr>
                <w:lang w:val="en-GB"/>
              </w:rPr>
            </w:pPr>
            <w:r w:rsidRPr="001F63C6">
              <w:rPr>
                <w:lang w:val="en-GB"/>
              </w:rPr>
              <w:t xml:space="preserve">"Soil-transmitted helminths AND Mass Drug Administration AND </w:t>
            </w:r>
            <w:r>
              <w:rPr>
                <w:lang w:val="en-GB"/>
              </w:rPr>
              <w:t>Singapore</w:t>
            </w:r>
            <w:r w:rsidRPr="001F63C6">
              <w:rPr>
                <w:lang w:val="en-GB"/>
              </w:rPr>
              <w:t>"</w:t>
            </w:r>
          </w:p>
        </w:tc>
      </w:tr>
      <w:tr w:rsidR="00664042" w14:paraId="630EA462" w14:textId="77777777" w:rsidTr="00526A65">
        <w:trPr>
          <w:trHeight w:val="142"/>
        </w:trPr>
        <w:tc>
          <w:tcPr>
            <w:tcW w:w="4813" w:type="dxa"/>
            <w:vMerge/>
            <w:vAlign w:val="center"/>
          </w:tcPr>
          <w:p w14:paraId="54D3C07F" w14:textId="77777777" w:rsidR="00664042" w:rsidRDefault="00664042" w:rsidP="00664042">
            <w:pPr>
              <w:pStyle w:val="NoSpacing"/>
              <w:jc w:val="center"/>
            </w:pPr>
          </w:p>
        </w:tc>
        <w:tc>
          <w:tcPr>
            <w:tcW w:w="8892" w:type="dxa"/>
            <w:vAlign w:val="center"/>
          </w:tcPr>
          <w:p w14:paraId="5A8CB528" w14:textId="38116289" w:rsidR="00664042" w:rsidRPr="001F63C6" w:rsidRDefault="00664042" w:rsidP="00664042">
            <w:pPr>
              <w:pStyle w:val="NoSpacing"/>
              <w:jc w:val="center"/>
              <w:rPr>
                <w:lang w:val="en-GB"/>
              </w:rPr>
            </w:pPr>
            <w:r w:rsidRPr="001F63C6">
              <w:rPr>
                <w:lang w:val="en-GB"/>
              </w:rPr>
              <w:t xml:space="preserve">"Soil-transmitted helminths AND Mass Drug Administration AND </w:t>
            </w:r>
            <w:r>
              <w:rPr>
                <w:lang w:val="en-GB"/>
              </w:rPr>
              <w:t>Brunei Darussalam</w:t>
            </w:r>
            <w:r w:rsidRPr="001F63C6">
              <w:rPr>
                <w:lang w:val="en-GB"/>
              </w:rPr>
              <w:t>"</w:t>
            </w:r>
          </w:p>
        </w:tc>
      </w:tr>
      <w:tr w:rsidR="00664042" w14:paraId="55396429" w14:textId="77777777" w:rsidTr="00526A65">
        <w:trPr>
          <w:trHeight w:val="276"/>
        </w:trPr>
        <w:tc>
          <w:tcPr>
            <w:tcW w:w="4813" w:type="dxa"/>
            <w:vMerge w:val="restart"/>
            <w:vAlign w:val="center"/>
          </w:tcPr>
          <w:p w14:paraId="290187F0" w14:textId="0566223F" w:rsidR="00664042" w:rsidRDefault="00F65CE7" w:rsidP="00664042">
            <w:pPr>
              <w:pStyle w:val="NoSpacing"/>
              <w:jc w:val="center"/>
            </w:pPr>
            <w:r>
              <w:rPr>
                <w:lang w:val="en-GB"/>
              </w:rPr>
              <w:t xml:space="preserve">Specific </w:t>
            </w:r>
            <w:r w:rsidR="00664042" w:rsidRPr="001F63C6">
              <w:rPr>
                <w:lang w:val="en-GB"/>
              </w:rPr>
              <w:t>STH &amp; MDA</w:t>
            </w:r>
            <w:r>
              <w:rPr>
                <w:lang w:val="en-GB"/>
              </w:rPr>
              <w:t xml:space="preserve"> &amp; Region</w:t>
            </w:r>
          </w:p>
        </w:tc>
        <w:tc>
          <w:tcPr>
            <w:tcW w:w="8892" w:type="dxa"/>
            <w:vAlign w:val="center"/>
          </w:tcPr>
          <w:p w14:paraId="3AC8D1D6" w14:textId="28534036" w:rsidR="00664042" w:rsidRPr="001F63C6" w:rsidRDefault="00664042" w:rsidP="00664042">
            <w:pPr>
              <w:pStyle w:val="NoSpacing"/>
              <w:jc w:val="center"/>
              <w:rPr>
                <w:lang w:val="en-GB"/>
              </w:rPr>
            </w:pPr>
            <w:r w:rsidRPr="001F63C6">
              <w:rPr>
                <w:lang w:val="en-GB"/>
              </w:rPr>
              <w:t>"Hookworm AND Mass Drug Administration AND Southeast Asia"</w:t>
            </w:r>
          </w:p>
        </w:tc>
      </w:tr>
      <w:tr w:rsidR="00664042" w14:paraId="585A8A50" w14:textId="77777777" w:rsidTr="00526A65">
        <w:trPr>
          <w:trHeight w:val="142"/>
        </w:trPr>
        <w:tc>
          <w:tcPr>
            <w:tcW w:w="4813" w:type="dxa"/>
            <w:vMerge/>
            <w:vAlign w:val="center"/>
          </w:tcPr>
          <w:p w14:paraId="73C0E5DF" w14:textId="77777777" w:rsidR="00664042" w:rsidRPr="001F63C6" w:rsidRDefault="00664042" w:rsidP="00664042">
            <w:pPr>
              <w:pStyle w:val="NoSpacing"/>
              <w:jc w:val="center"/>
              <w:rPr>
                <w:lang w:val="en-GB"/>
              </w:rPr>
            </w:pPr>
          </w:p>
        </w:tc>
        <w:tc>
          <w:tcPr>
            <w:tcW w:w="8892" w:type="dxa"/>
            <w:vAlign w:val="center"/>
          </w:tcPr>
          <w:p w14:paraId="4A3F8237" w14:textId="24791706" w:rsidR="00664042" w:rsidRPr="001F63C6" w:rsidRDefault="00664042" w:rsidP="00664042">
            <w:pPr>
              <w:pStyle w:val="NoSpacing"/>
              <w:jc w:val="center"/>
              <w:rPr>
                <w:lang w:val="en-GB"/>
              </w:rPr>
            </w:pPr>
            <w:r w:rsidRPr="001F63C6">
              <w:rPr>
                <w:lang w:val="en-GB"/>
              </w:rPr>
              <w:t>"Ascaris AND Mass Drug Administration AND Southeast Asia"</w:t>
            </w:r>
          </w:p>
        </w:tc>
      </w:tr>
      <w:tr w:rsidR="00664042" w14:paraId="5C93869F" w14:textId="77777777" w:rsidTr="00923EDC">
        <w:trPr>
          <w:trHeight w:val="142"/>
        </w:trPr>
        <w:tc>
          <w:tcPr>
            <w:tcW w:w="4813" w:type="dxa"/>
            <w:vMerge/>
            <w:tcBorders>
              <w:bottom w:val="single" w:sz="4" w:space="0" w:color="auto"/>
            </w:tcBorders>
            <w:vAlign w:val="center"/>
          </w:tcPr>
          <w:p w14:paraId="7CBB173F" w14:textId="77777777" w:rsidR="00664042" w:rsidRPr="001F63C6" w:rsidRDefault="00664042" w:rsidP="00664042">
            <w:pPr>
              <w:pStyle w:val="NoSpacing"/>
              <w:jc w:val="center"/>
              <w:rPr>
                <w:lang w:val="en-GB"/>
              </w:rPr>
            </w:pPr>
          </w:p>
        </w:tc>
        <w:tc>
          <w:tcPr>
            <w:tcW w:w="8892" w:type="dxa"/>
            <w:tcBorders>
              <w:bottom w:val="single" w:sz="4" w:space="0" w:color="auto"/>
            </w:tcBorders>
            <w:vAlign w:val="center"/>
          </w:tcPr>
          <w:p w14:paraId="3077C4E6" w14:textId="22A07AFF" w:rsidR="00664042" w:rsidRPr="001F63C6" w:rsidRDefault="00664042" w:rsidP="00664042">
            <w:pPr>
              <w:pStyle w:val="NoSpacing"/>
              <w:jc w:val="center"/>
              <w:rPr>
                <w:lang w:val="en-GB"/>
              </w:rPr>
            </w:pPr>
            <w:r w:rsidRPr="001F63C6">
              <w:rPr>
                <w:lang w:val="en-GB"/>
              </w:rPr>
              <w:t>"Trichuris AND Mass Drug Administration AND Southeast Asia"</w:t>
            </w:r>
          </w:p>
        </w:tc>
      </w:tr>
      <w:tr w:rsidR="00664042" w14:paraId="018C58F2" w14:textId="77777777" w:rsidTr="00923EDC">
        <w:trPr>
          <w:trHeight w:val="142"/>
        </w:trPr>
        <w:tc>
          <w:tcPr>
            <w:tcW w:w="13705" w:type="dxa"/>
            <w:gridSpan w:val="2"/>
            <w:tcBorders>
              <w:left w:val="nil"/>
              <w:bottom w:val="nil"/>
              <w:right w:val="nil"/>
            </w:tcBorders>
            <w:vAlign w:val="center"/>
          </w:tcPr>
          <w:p w14:paraId="062CD8F8" w14:textId="68643725" w:rsidR="00664042" w:rsidRPr="001F63C6" w:rsidRDefault="00664042" w:rsidP="00664042">
            <w:pPr>
              <w:pStyle w:val="NoSpacing"/>
              <w:rPr>
                <w:lang w:val="en-GB"/>
              </w:rPr>
            </w:pPr>
            <w:r w:rsidRPr="00923EDC">
              <w:rPr>
                <w:lang w:val="en-GB"/>
              </w:rPr>
              <w:t>*</w:t>
            </w:r>
            <w:r>
              <w:rPr>
                <w:lang w:val="en-GB"/>
              </w:rPr>
              <w:t xml:space="preserve"> Countries included are the members of Association of Southeast Asian Nations</w:t>
            </w:r>
          </w:p>
        </w:tc>
      </w:tr>
    </w:tbl>
    <w:p w14:paraId="646EA4A5" w14:textId="0B120749" w:rsidR="001F63C6" w:rsidRDefault="001F63C6" w:rsidP="001F63C6">
      <w:pPr>
        <w:spacing w:line="240" w:lineRule="auto"/>
      </w:pPr>
      <w:r>
        <w:br w:type="page"/>
      </w:r>
    </w:p>
    <w:p w14:paraId="0F325165" w14:textId="4E1D3118" w:rsidR="003D203C" w:rsidRPr="003D203C" w:rsidRDefault="003D203C" w:rsidP="003D203C">
      <w:pPr>
        <w:spacing w:line="240" w:lineRule="auto"/>
        <w:rPr>
          <w:rFonts w:eastAsia="Calibri" w:cs="Times New Roman"/>
        </w:rPr>
      </w:pPr>
      <w:r w:rsidRPr="003D203C">
        <w:rPr>
          <w:rFonts w:eastAsia="Calibri" w:cs="Times New Roman"/>
        </w:rPr>
        <w:lastRenderedPageBreak/>
        <w:t xml:space="preserve">Supplementary </w:t>
      </w:r>
      <w:r w:rsidRPr="003D203C">
        <w:rPr>
          <w:rFonts w:eastAsia="Calibri" w:cs="Times New Roman"/>
        </w:rPr>
        <w:t xml:space="preserve">Table </w:t>
      </w:r>
      <w:r w:rsidRPr="003D203C">
        <w:rPr>
          <w:rFonts w:eastAsia="Calibri" w:cs="Times New Roman"/>
        </w:rPr>
        <w:t>2</w:t>
      </w:r>
      <w:r w:rsidRPr="003D203C">
        <w:rPr>
          <w:rFonts w:eastAsia="Calibri" w:cs="Times New Roman"/>
        </w:rPr>
        <w:t>. Inclusion and exclusion criteria that were used to screen papers.</w:t>
      </w:r>
    </w:p>
    <w:tbl>
      <w:tblPr>
        <w:tblStyle w:val="TableGrid"/>
        <w:tblW w:w="9201" w:type="dxa"/>
        <w:jc w:val="center"/>
        <w:tblLook w:val="04A0" w:firstRow="1" w:lastRow="0" w:firstColumn="1" w:lastColumn="0" w:noHBand="0" w:noVBand="1"/>
      </w:tblPr>
      <w:tblGrid>
        <w:gridCol w:w="4671"/>
        <w:gridCol w:w="4530"/>
      </w:tblGrid>
      <w:tr w:rsidR="003D203C" w:rsidRPr="003D203C" w14:paraId="5A9E1EC5" w14:textId="77777777" w:rsidTr="003D203C">
        <w:trPr>
          <w:trHeight w:val="272"/>
          <w:jc w:val="center"/>
        </w:trPr>
        <w:tc>
          <w:tcPr>
            <w:tcW w:w="4671" w:type="dxa"/>
          </w:tcPr>
          <w:p w14:paraId="18693ADA" w14:textId="77777777" w:rsidR="003D203C" w:rsidRPr="003D203C" w:rsidRDefault="003D203C" w:rsidP="008F66EA">
            <w:pPr>
              <w:jc w:val="center"/>
              <w:rPr>
                <w:rFonts w:cs="Times New Roman"/>
              </w:rPr>
            </w:pPr>
            <w:r w:rsidRPr="003D203C">
              <w:rPr>
                <w:rFonts w:cs="Times New Roman"/>
              </w:rPr>
              <w:t>Inclusion Criteria</w:t>
            </w:r>
          </w:p>
        </w:tc>
        <w:tc>
          <w:tcPr>
            <w:tcW w:w="4530" w:type="dxa"/>
          </w:tcPr>
          <w:p w14:paraId="180388A7" w14:textId="77777777" w:rsidR="003D203C" w:rsidRPr="003D203C" w:rsidRDefault="003D203C" w:rsidP="008F66EA">
            <w:pPr>
              <w:jc w:val="center"/>
              <w:rPr>
                <w:rFonts w:cs="Times New Roman"/>
              </w:rPr>
            </w:pPr>
            <w:r w:rsidRPr="003D203C">
              <w:rPr>
                <w:rFonts w:cs="Times New Roman"/>
              </w:rPr>
              <w:t>Exclusion Criteria</w:t>
            </w:r>
          </w:p>
        </w:tc>
      </w:tr>
      <w:tr w:rsidR="003D203C" w:rsidRPr="003D203C" w14:paraId="7205B532" w14:textId="77777777" w:rsidTr="003D203C">
        <w:trPr>
          <w:trHeight w:val="1130"/>
          <w:jc w:val="center"/>
        </w:trPr>
        <w:tc>
          <w:tcPr>
            <w:tcW w:w="4671" w:type="dxa"/>
          </w:tcPr>
          <w:p w14:paraId="7F0F5CEE" w14:textId="77777777" w:rsidR="003D203C" w:rsidRPr="003D203C" w:rsidRDefault="003D203C" w:rsidP="008F66EA">
            <w:pPr>
              <w:ind w:left="-17"/>
              <w:jc w:val="center"/>
              <w:rPr>
                <w:rFonts w:cs="Times New Roman"/>
              </w:rPr>
            </w:pPr>
            <w:r w:rsidRPr="003D203C">
              <w:rPr>
                <w:rFonts w:cs="Times New Roman"/>
              </w:rPr>
              <w:t>1. Studies that report the effects of PC against STH infections</w:t>
            </w:r>
          </w:p>
        </w:tc>
        <w:tc>
          <w:tcPr>
            <w:tcW w:w="4530" w:type="dxa"/>
            <w:vAlign w:val="center"/>
          </w:tcPr>
          <w:p w14:paraId="0B6D0FD9" w14:textId="77777777" w:rsidR="003D203C" w:rsidRPr="003D203C" w:rsidRDefault="003D203C" w:rsidP="008F66EA">
            <w:pPr>
              <w:ind w:left="41"/>
              <w:jc w:val="center"/>
              <w:rPr>
                <w:rFonts w:cs="Times New Roman"/>
              </w:rPr>
            </w:pPr>
            <w:r w:rsidRPr="003D203C">
              <w:rPr>
                <w:rFonts w:cs="Times New Roman"/>
              </w:rPr>
              <w:t>1. Studies not reporting MDA efficacy end-points (e.g., cure rates, egg reduction rates, and/or changes in infection prevalence)</w:t>
            </w:r>
          </w:p>
        </w:tc>
      </w:tr>
      <w:tr w:rsidR="003D203C" w:rsidRPr="003D203C" w14:paraId="179B66A7" w14:textId="77777777" w:rsidTr="003D203C">
        <w:trPr>
          <w:trHeight w:val="843"/>
          <w:jc w:val="center"/>
        </w:trPr>
        <w:tc>
          <w:tcPr>
            <w:tcW w:w="4671" w:type="dxa"/>
          </w:tcPr>
          <w:p w14:paraId="6005364C" w14:textId="77777777" w:rsidR="003D203C" w:rsidRPr="003D203C" w:rsidRDefault="003D203C" w:rsidP="008F66EA">
            <w:pPr>
              <w:ind w:left="-17"/>
              <w:jc w:val="center"/>
              <w:rPr>
                <w:rFonts w:cs="Times New Roman"/>
              </w:rPr>
            </w:pPr>
            <w:r w:rsidRPr="003D203C">
              <w:rPr>
                <w:rFonts w:cs="Times New Roman"/>
              </w:rPr>
              <w:t>2. Studies using randomized control trials, intervention studies, and observational studies</w:t>
            </w:r>
          </w:p>
        </w:tc>
        <w:tc>
          <w:tcPr>
            <w:tcW w:w="4530" w:type="dxa"/>
            <w:vAlign w:val="center"/>
          </w:tcPr>
          <w:p w14:paraId="4300FA9E" w14:textId="77777777" w:rsidR="003D203C" w:rsidRPr="003D203C" w:rsidRDefault="003D203C" w:rsidP="008F66EA">
            <w:pPr>
              <w:ind w:left="41"/>
              <w:jc w:val="center"/>
              <w:rPr>
                <w:rFonts w:cs="Times New Roman"/>
              </w:rPr>
            </w:pPr>
            <w:r w:rsidRPr="003D203C">
              <w:rPr>
                <w:rFonts w:cs="Times New Roman"/>
              </w:rPr>
              <w:t>2. Studies published beyond January 2011 to January 2025</w:t>
            </w:r>
          </w:p>
        </w:tc>
      </w:tr>
      <w:tr w:rsidR="003D203C" w:rsidRPr="003D203C" w14:paraId="6190B616" w14:textId="77777777" w:rsidTr="003D203C">
        <w:trPr>
          <w:trHeight w:val="843"/>
          <w:jc w:val="center"/>
        </w:trPr>
        <w:tc>
          <w:tcPr>
            <w:tcW w:w="4671" w:type="dxa"/>
          </w:tcPr>
          <w:p w14:paraId="3FBDD3AF" w14:textId="77777777" w:rsidR="003D203C" w:rsidRPr="003D203C" w:rsidRDefault="003D203C" w:rsidP="008F66EA">
            <w:pPr>
              <w:ind w:left="-17"/>
              <w:jc w:val="center"/>
              <w:rPr>
                <w:rFonts w:cs="Times New Roman"/>
              </w:rPr>
            </w:pPr>
            <w:r w:rsidRPr="003D203C">
              <w:rPr>
                <w:rFonts w:cs="Times New Roman"/>
              </w:rPr>
              <w:t>3. Studies using anthelmintics as monotherapy or combination therapy interventions</w:t>
            </w:r>
          </w:p>
        </w:tc>
        <w:tc>
          <w:tcPr>
            <w:tcW w:w="4530" w:type="dxa"/>
            <w:vAlign w:val="center"/>
          </w:tcPr>
          <w:p w14:paraId="706EB132" w14:textId="77777777" w:rsidR="003D203C" w:rsidRPr="003D203C" w:rsidRDefault="003D203C" w:rsidP="008F66EA">
            <w:pPr>
              <w:ind w:left="41"/>
              <w:jc w:val="center"/>
              <w:rPr>
                <w:rFonts w:cs="Times New Roman"/>
              </w:rPr>
            </w:pPr>
            <w:r w:rsidRPr="003D203C">
              <w:rPr>
                <w:rFonts w:cs="Times New Roman"/>
              </w:rPr>
              <w:t>3. Studies not conducted in any SEA country*</w:t>
            </w:r>
          </w:p>
        </w:tc>
      </w:tr>
      <w:tr w:rsidR="003D203C" w:rsidRPr="003D203C" w14:paraId="28FA14BE" w14:textId="77777777" w:rsidTr="003D203C">
        <w:trPr>
          <w:trHeight w:val="1115"/>
          <w:jc w:val="center"/>
        </w:trPr>
        <w:tc>
          <w:tcPr>
            <w:tcW w:w="4671" w:type="dxa"/>
          </w:tcPr>
          <w:p w14:paraId="07A64BA1" w14:textId="77777777" w:rsidR="003D203C" w:rsidRPr="003D203C" w:rsidRDefault="003D203C" w:rsidP="008F66EA">
            <w:pPr>
              <w:ind w:left="-17"/>
              <w:jc w:val="center"/>
              <w:rPr>
                <w:rFonts w:cs="Times New Roman"/>
              </w:rPr>
            </w:pPr>
            <w:r w:rsidRPr="003D203C">
              <w:rPr>
                <w:rFonts w:cs="Times New Roman"/>
              </w:rPr>
              <w:t>4. Studies that conducted single or multiple dose administration or mentioned histories of such administrations in the population studied</w:t>
            </w:r>
          </w:p>
        </w:tc>
        <w:tc>
          <w:tcPr>
            <w:tcW w:w="4530" w:type="dxa"/>
            <w:vAlign w:val="center"/>
          </w:tcPr>
          <w:p w14:paraId="11B0069B" w14:textId="77777777" w:rsidR="003D203C" w:rsidRPr="003D203C" w:rsidRDefault="003D203C" w:rsidP="008F66EA">
            <w:pPr>
              <w:ind w:left="41"/>
              <w:jc w:val="center"/>
              <w:rPr>
                <w:rFonts w:cs="Times New Roman"/>
              </w:rPr>
            </w:pPr>
            <w:r w:rsidRPr="003D203C">
              <w:rPr>
                <w:rFonts w:cs="Times New Roman"/>
              </w:rPr>
              <w:t>4. Studies not in the English language</w:t>
            </w:r>
          </w:p>
        </w:tc>
      </w:tr>
      <w:tr w:rsidR="003D203C" w:rsidRPr="003D203C" w14:paraId="256A5B78" w14:textId="77777777" w:rsidTr="003D203C">
        <w:trPr>
          <w:trHeight w:val="558"/>
          <w:jc w:val="center"/>
        </w:trPr>
        <w:tc>
          <w:tcPr>
            <w:tcW w:w="4671" w:type="dxa"/>
            <w:vMerge w:val="restart"/>
          </w:tcPr>
          <w:p w14:paraId="1CFA8BDA" w14:textId="77777777" w:rsidR="003D203C" w:rsidRPr="003D203C" w:rsidRDefault="003D203C" w:rsidP="008F66EA">
            <w:pPr>
              <w:ind w:left="-17"/>
              <w:jc w:val="center"/>
              <w:rPr>
                <w:rFonts w:cs="Times New Roman"/>
              </w:rPr>
            </w:pPr>
            <w:r w:rsidRPr="003D203C">
              <w:rPr>
                <w:rFonts w:cs="Times New Roman"/>
              </w:rPr>
              <w:t>5. Studies conducted on preschool- and school-aged children, adults, and other vulnerable groups (i.e., women of reproductive age and immunocompromised individuals).</w:t>
            </w:r>
          </w:p>
        </w:tc>
        <w:tc>
          <w:tcPr>
            <w:tcW w:w="4530" w:type="dxa"/>
            <w:vAlign w:val="center"/>
          </w:tcPr>
          <w:p w14:paraId="52D3E0F8" w14:textId="77777777" w:rsidR="003D203C" w:rsidRPr="003D203C" w:rsidRDefault="003D203C" w:rsidP="008F66EA">
            <w:pPr>
              <w:ind w:left="41"/>
              <w:jc w:val="center"/>
              <w:rPr>
                <w:rFonts w:cs="Times New Roman"/>
              </w:rPr>
            </w:pPr>
            <w:r w:rsidRPr="003D203C">
              <w:rPr>
                <w:rFonts w:cs="Times New Roman"/>
              </w:rPr>
              <w:t>5. Literature reviews, comments, perspectives and protocols</w:t>
            </w:r>
          </w:p>
        </w:tc>
      </w:tr>
      <w:tr w:rsidR="003D203C" w:rsidRPr="003D203C" w14:paraId="4CA1805B" w14:textId="77777777" w:rsidTr="003D203C">
        <w:trPr>
          <w:trHeight w:val="146"/>
          <w:jc w:val="center"/>
        </w:trPr>
        <w:tc>
          <w:tcPr>
            <w:tcW w:w="4671" w:type="dxa"/>
            <w:vMerge/>
            <w:tcBorders>
              <w:bottom w:val="single" w:sz="4" w:space="0" w:color="auto"/>
            </w:tcBorders>
          </w:tcPr>
          <w:p w14:paraId="7C43C81B" w14:textId="77777777" w:rsidR="003D203C" w:rsidRPr="003D203C" w:rsidRDefault="003D203C" w:rsidP="008F66EA">
            <w:pPr>
              <w:ind w:left="-17"/>
              <w:jc w:val="center"/>
              <w:rPr>
                <w:rFonts w:cs="Times New Roman"/>
              </w:rPr>
            </w:pPr>
          </w:p>
        </w:tc>
        <w:tc>
          <w:tcPr>
            <w:tcW w:w="4530" w:type="dxa"/>
            <w:tcBorders>
              <w:bottom w:val="single" w:sz="4" w:space="0" w:color="auto"/>
            </w:tcBorders>
            <w:vAlign w:val="center"/>
          </w:tcPr>
          <w:p w14:paraId="4F60B8E1" w14:textId="77777777" w:rsidR="003D203C" w:rsidRPr="003D203C" w:rsidRDefault="003D203C" w:rsidP="008F66EA">
            <w:pPr>
              <w:ind w:left="41"/>
              <w:jc w:val="center"/>
              <w:rPr>
                <w:rFonts w:cs="Times New Roman"/>
              </w:rPr>
            </w:pPr>
            <w:r w:rsidRPr="003D203C">
              <w:rPr>
                <w:rFonts w:cs="Times New Roman"/>
              </w:rPr>
              <w:t>6. Studies not yet published in a peer-reviewed journal (i.e., preprints)</w:t>
            </w:r>
          </w:p>
        </w:tc>
      </w:tr>
      <w:tr w:rsidR="003D203C" w:rsidRPr="003D203C" w14:paraId="488C74D7" w14:textId="77777777" w:rsidTr="003D203C">
        <w:trPr>
          <w:trHeight w:val="146"/>
          <w:jc w:val="center"/>
        </w:trPr>
        <w:tc>
          <w:tcPr>
            <w:tcW w:w="9201" w:type="dxa"/>
            <w:gridSpan w:val="2"/>
            <w:tcBorders>
              <w:left w:val="nil"/>
              <w:bottom w:val="nil"/>
              <w:right w:val="nil"/>
            </w:tcBorders>
            <w:vAlign w:val="center"/>
          </w:tcPr>
          <w:p w14:paraId="6AC5FD1F" w14:textId="77777777" w:rsidR="003D203C" w:rsidRPr="003D203C" w:rsidRDefault="003D203C" w:rsidP="008F66EA">
            <w:pPr>
              <w:ind w:left="41"/>
              <w:rPr>
                <w:rFonts w:cs="Times New Roman"/>
              </w:rPr>
            </w:pPr>
            <w:r w:rsidRPr="003D203C">
              <w:rPr>
                <w:rFonts w:cs="Times New Roman"/>
              </w:rPr>
              <w:t>* Countries are limited to the member states of the ASEAN.</w:t>
            </w:r>
          </w:p>
        </w:tc>
      </w:tr>
    </w:tbl>
    <w:p w14:paraId="03A94114" w14:textId="77777777" w:rsidR="003D203C" w:rsidRDefault="003D203C" w:rsidP="001F63C6">
      <w:pPr>
        <w:spacing w:line="240" w:lineRule="auto"/>
      </w:pPr>
      <w:r>
        <w:br w:type="page"/>
      </w:r>
    </w:p>
    <w:p w14:paraId="046CE132" w14:textId="585AE47C" w:rsidR="006A7FBD" w:rsidRDefault="006A7FBD" w:rsidP="001F63C6">
      <w:pPr>
        <w:spacing w:line="240" w:lineRule="auto"/>
      </w:pPr>
      <w:r>
        <w:lastRenderedPageBreak/>
        <w:t xml:space="preserve">Supplementary Table </w:t>
      </w:r>
      <w:r w:rsidR="003D203C">
        <w:t>3</w:t>
      </w:r>
      <w:r>
        <w:t xml:space="preserve">. </w:t>
      </w:r>
      <w:r w:rsidR="006A3465">
        <w:t>Study codes and key information of the selected studies in this systematic review.</w:t>
      </w:r>
    </w:p>
    <w:tbl>
      <w:tblPr>
        <w:tblW w:w="13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2088"/>
        <w:gridCol w:w="1251"/>
        <w:gridCol w:w="1228"/>
        <w:gridCol w:w="8303"/>
      </w:tblGrid>
      <w:tr w:rsidR="006A7FBD" w:rsidRPr="006A7FBD" w14:paraId="32E90C48" w14:textId="77777777" w:rsidTr="00CD7B55">
        <w:trPr>
          <w:trHeight w:val="576"/>
        </w:trPr>
        <w:tc>
          <w:tcPr>
            <w:tcW w:w="907" w:type="dxa"/>
            <w:shd w:val="clear" w:color="auto" w:fill="auto"/>
            <w:noWrap/>
            <w:vAlign w:val="center"/>
            <w:hideMark/>
          </w:tcPr>
          <w:p w14:paraId="6007FFC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Code</w:t>
            </w:r>
          </w:p>
        </w:tc>
        <w:tc>
          <w:tcPr>
            <w:tcW w:w="2088" w:type="dxa"/>
            <w:shd w:val="clear" w:color="auto" w:fill="auto"/>
            <w:noWrap/>
            <w:vAlign w:val="center"/>
            <w:hideMark/>
          </w:tcPr>
          <w:p w14:paraId="2DED1DA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Authors</w:t>
            </w:r>
          </w:p>
        </w:tc>
        <w:tc>
          <w:tcPr>
            <w:tcW w:w="1251" w:type="dxa"/>
            <w:shd w:val="clear" w:color="auto" w:fill="auto"/>
            <w:vAlign w:val="center"/>
            <w:hideMark/>
          </w:tcPr>
          <w:p w14:paraId="7C96B89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Year of Publication</w:t>
            </w:r>
          </w:p>
        </w:tc>
        <w:tc>
          <w:tcPr>
            <w:tcW w:w="1228" w:type="dxa"/>
            <w:shd w:val="clear" w:color="auto" w:fill="auto"/>
            <w:vAlign w:val="center"/>
            <w:hideMark/>
          </w:tcPr>
          <w:p w14:paraId="3D34C33D"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Country</w:t>
            </w:r>
          </w:p>
        </w:tc>
        <w:tc>
          <w:tcPr>
            <w:tcW w:w="8303" w:type="dxa"/>
            <w:shd w:val="clear" w:color="auto" w:fill="auto"/>
            <w:noWrap/>
            <w:vAlign w:val="center"/>
            <w:hideMark/>
          </w:tcPr>
          <w:p w14:paraId="2C32C62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Title</w:t>
            </w:r>
          </w:p>
        </w:tc>
      </w:tr>
      <w:tr w:rsidR="006A7FBD" w:rsidRPr="006A7FBD" w14:paraId="09FD5187" w14:textId="77777777" w:rsidTr="00CD7B55">
        <w:trPr>
          <w:trHeight w:val="576"/>
        </w:trPr>
        <w:tc>
          <w:tcPr>
            <w:tcW w:w="907" w:type="dxa"/>
            <w:shd w:val="clear" w:color="auto" w:fill="auto"/>
            <w:noWrap/>
            <w:vAlign w:val="center"/>
            <w:hideMark/>
          </w:tcPr>
          <w:p w14:paraId="3188E386"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w:t>
            </w:r>
          </w:p>
        </w:tc>
        <w:tc>
          <w:tcPr>
            <w:tcW w:w="2088" w:type="dxa"/>
            <w:shd w:val="clear" w:color="auto" w:fill="auto"/>
            <w:vAlign w:val="center"/>
            <w:hideMark/>
          </w:tcPr>
          <w:p w14:paraId="6B8D5C7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Soukhathammavong et al.</w:t>
            </w:r>
          </w:p>
        </w:tc>
        <w:tc>
          <w:tcPr>
            <w:tcW w:w="1251" w:type="dxa"/>
            <w:shd w:val="clear" w:color="auto" w:fill="auto"/>
            <w:vAlign w:val="center"/>
            <w:hideMark/>
          </w:tcPr>
          <w:p w14:paraId="2920A0A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2012</w:t>
            </w:r>
          </w:p>
        </w:tc>
        <w:tc>
          <w:tcPr>
            <w:tcW w:w="1228" w:type="dxa"/>
            <w:shd w:val="clear" w:color="auto" w:fill="auto"/>
            <w:vAlign w:val="center"/>
            <w:hideMark/>
          </w:tcPr>
          <w:p w14:paraId="63BF669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Lao PDR</w:t>
            </w:r>
          </w:p>
        </w:tc>
        <w:tc>
          <w:tcPr>
            <w:tcW w:w="8303" w:type="dxa"/>
            <w:shd w:val="clear" w:color="auto" w:fill="auto"/>
            <w:vAlign w:val="center"/>
            <w:hideMark/>
          </w:tcPr>
          <w:p w14:paraId="40D01689" w14:textId="77777777" w:rsidR="006A7FBD" w:rsidRPr="006A7FBD" w:rsidRDefault="006A7FBD" w:rsidP="001F63C6">
            <w:pPr>
              <w:spacing w:after="0" w:line="240" w:lineRule="auto"/>
              <w:jc w:val="center"/>
              <w:rPr>
                <w:rFonts w:ascii="Aptos Narrow" w:eastAsia="Times New Roman" w:hAnsi="Aptos Narrow" w:cs="Times New Roman"/>
                <w:kern w:val="0"/>
                <w:sz w:val="22"/>
                <w:szCs w:val="22"/>
                <w:lang w:bidi="th-TH"/>
                <w14:ligatures w14:val="none"/>
              </w:rPr>
            </w:pPr>
            <w:r w:rsidRPr="006A7FBD">
              <w:rPr>
                <w:rFonts w:ascii="Aptos Narrow" w:eastAsia="Times New Roman" w:hAnsi="Aptos Narrow" w:cs="Times New Roman"/>
                <w:kern w:val="0"/>
                <w:sz w:val="22"/>
                <w:szCs w:val="22"/>
                <w:lang w:bidi="th-TH"/>
                <w14:ligatures w14:val="none"/>
              </w:rPr>
              <w:t>Low Efficacy of Single-Dose Albendazole and Mebendazole against Hookworm and Effect on Concomitant Helminth Infection in Lao PDR</w:t>
            </w:r>
          </w:p>
        </w:tc>
      </w:tr>
      <w:tr w:rsidR="006A7FBD" w:rsidRPr="006A7FBD" w14:paraId="1C0F0172" w14:textId="77777777" w:rsidTr="00CD7B55">
        <w:trPr>
          <w:trHeight w:val="576"/>
        </w:trPr>
        <w:tc>
          <w:tcPr>
            <w:tcW w:w="907" w:type="dxa"/>
            <w:shd w:val="clear" w:color="auto" w:fill="auto"/>
            <w:noWrap/>
            <w:vAlign w:val="center"/>
            <w:hideMark/>
          </w:tcPr>
          <w:p w14:paraId="562D4DA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w:t>
            </w:r>
          </w:p>
        </w:tc>
        <w:tc>
          <w:tcPr>
            <w:tcW w:w="2088" w:type="dxa"/>
            <w:shd w:val="clear" w:color="auto" w:fill="auto"/>
            <w:vAlign w:val="center"/>
            <w:hideMark/>
          </w:tcPr>
          <w:p w14:paraId="230906E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Conlan et al.</w:t>
            </w:r>
          </w:p>
        </w:tc>
        <w:tc>
          <w:tcPr>
            <w:tcW w:w="1251" w:type="dxa"/>
            <w:shd w:val="clear" w:color="auto" w:fill="auto"/>
            <w:vAlign w:val="center"/>
            <w:hideMark/>
          </w:tcPr>
          <w:p w14:paraId="2C5B138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2012</w:t>
            </w:r>
          </w:p>
        </w:tc>
        <w:tc>
          <w:tcPr>
            <w:tcW w:w="1228" w:type="dxa"/>
            <w:shd w:val="clear" w:color="auto" w:fill="auto"/>
            <w:vAlign w:val="center"/>
            <w:hideMark/>
          </w:tcPr>
          <w:p w14:paraId="3D08F7B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Lao PDR</w:t>
            </w:r>
          </w:p>
        </w:tc>
        <w:tc>
          <w:tcPr>
            <w:tcW w:w="8303" w:type="dxa"/>
            <w:shd w:val="clear" w:color="auto" w:fill="auto"/>
            <w:vAlign w:val="center"/>
            <w:hideMark/>
          </w:tcPr>
          <w:p w14:paraId="1C12E605" w14:textId="77777777" w:rsidR="006A7FBD" w:rsidRPr="006A7FBD" w:rsidRDefault="006A7FBD" w:rsidP="001F63C6">
            <w:pPr>
              <w:spacing w:after="0" w:line="240" w:lineRule="auto"/>
              <w:jc w:val="center"/>
              <w:rPr>
                <w:rFonts w:ascii="Aptos Narrow" w:eastAsia="Times New Roman" w:hAnsi="Aptos Narrow" w:cs="Times New Roman"/>
                <w:kern w:val="0"/>
                <w:sz w:val="22"/>
                <w:szCs w:val="22"/>
                <w:lang w:bidi="th-TH"/>
                <w14:ligatures w14:val="none"/>
              </w:rPr>
            </w:pPr>
            <w:r w:rsidRPr="006A7FBD">
              <w:rPr>
                <w:rFonts w:ascii="Aptos Narrow" w:eastAsia="Times New Roman" w:hAnsi="Aptos Narrow" w:cs="Times New Roman"/>
                <w:kern w:val="0"/>
                <w:sz w:val="22"/>
                <w:szCs w:val="22"/>
                <w:lang w:bidi="th-TH"/>
                <w14:ligatures w14:val="none"/>
              </w:rPr>
              <w:t>Soil-transmitted helminthiasis in Laos: a community-wide cross-sectional study of humans and dogs in a mass drug administration environment.</w:t>
            </w:r>
          </w:p>
        </w:tc>
      </w:tr>
      <w:tr w:rsidR="006A7FBD" w:rsidRPr="006A7FBD" w14:paraId="007798E2" w14:textId="77777777" w:rsidTr="00CD7B55">
        <w:trPr>
          <w:trHeight w:val="576"/>
        </w:trPr>
        <w:tc>
          <w:tcPr>
            <w:tcW w:w="907" w:type="dxa"/>
            <w:shd w:val="clear" w:color="auto" w:fill="auto"/>
            <w:noWrap/>
            <w:vAlign w:val="center"/>
            <w:hideMark/>
          </w:tcPr>
          <w:p w14:paraId="06B72BA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ST3</w:t>
            </w:r>
          </w:p>
        </w:tc>
        <w:tc>
          <w:tcPr>
            <w:tcW w:w="2088" w:type="dxa"/>
            <w:shd w:val="clear" w:color="auto" w:fill="auto"/>
            <w:noWrap/>
            <w:vAlign w:val="center"/>
            <w:hideMark/>
          </w:tcPr>
          <w:p w14:paraId="3C12C38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Monse et al.</w:t>
            </w:r>
          </w:p>
        </w:tc>
        <w:tc>
          <w:tcPr>
            <w:tcW w:w="1251" w:type="dxa"/>
            <w:shd w:val="clear" w:color="auto" w:fill="auto"/>
            <w:noWrap/>
            <w:vAlign w:val="center"/>
            <w:hideMark/>
          </w:tcPr>
          <w:p w14:paraId="36E47A7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2013</w:t>
            </w:r>
          </w:p>
        </w:tc>
        <w:tc>
          <w:tcPr>
            <w:tcW w:w="1228" w:type="dxa"/>
            <w:shd w:val="clear" w:color="auto" w:fill="auto"/>
            <w:vAlign w:val="center"/>
            <w:hideMark/>
          </w:tcPr>
          <w:p w14:paraId="763B38A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Philippines</w:t>
            </w:r>
          </w:p>
        </w:tc>
        <w:tc>
          <w:tcPr>
            <w:tcW w:w="8303" w:type="dxa"/>
            <w:shd w:val="clear" w:color="auto" w:fill="auto"/>
            <w:vAlign w:val="center"/>
            <w:hideMark/>
          </w:tcPr>
          <w:p w14:paraId="58F9C14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The Fit for School health outcome study - a longitudinal survey to assess health impacts of an integrated school health </w:t>
            </w:r>
            <w:proofErr w:type="spellStart"/>
            <w:r w:rsidRPr="006A7FBD">
              <w:rPr>
                <w:rFonts w:ascii="Aptos Narrow" w:eastAsia="Times New Roman" w:hAnsi="Aptos Narrow" w:cs="Times New Roman"/>
                <w:color w:val="000000"/>
                <w:kern w:val="0"/>
                <w:sz w:val="22"/>
                <w:szCs w:val="22"/>
                <w:lang w:bidi="th-TH"/>
                <w14:ligatures w14:val="none"/>
              </w:rPr>
              <w:t>programme</w:t>
            </w:r>
            <w:proofErr w:type="spellEnd"/>
            <w:r w:rsidRPr="006A7FBD">
              <w:rPr>
                <w:rFonts w:ascii="Aptos Narrow" w:eastAsia="Times New Roman" w:hAnsi="Aptos Narrow" w:cs="Times New Roman"/>
                <w:color w:val="000000"/>
                <w:kern w:val="0"/>
                <w:sz w:val="22"/>
                <w:szCs w:val="22"/>
                <w:lang w:bidi="th-TH"/>
                <w14:ligatures w14:val="none"/>
              </w:rPr>
              <w:t xml:space="preserve"> in the Philippines</w:t>
            </w:r>
          </w:p>
        </w:tc>
      </w:tr>
      <w:tr w:rsidR="006A7FBD" w:rsidRPr="006A7FBD" w14:paraId="2DF6FACE" w14:textId="77777777" w:rsidTr="00CD7B55">
        <w:trPr>
          <w:trHeight w:val="576"/>
        </w:trPr>
        <w:tc>
          <w:tcPr>
            <w:tcW w:w="907" w:type="dxa"/>
            <w:shd w:val="clear" w:color="auto" w:fill="auto"/>
            <w:noWrap/>
            <w:vAlign w:val="center"/>
            <w:hideMark/>
          </w:tcPr>
          <w:p w14:paraId="0730C76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ST4</w:t>
            </w:r>
          </w:p>
        </w:tc>
        <w:tc>
          <w:tcPr>
            <w:tcW w:w="2088" w:type="dxa"/>
            <w:shd w:val="clear" w:color="auto" w:fill="auto"/>
            <w:noWrap/>
            <w:vAlign w:val="center"/>
            <w:hideMark/>
          </w:tcPr>
          <w:p w14:paraId="755EA83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Sanza et al.</w:t>
            </w:r>
          </w:p>
        </w:tc>
        <w:tc>
          <w:tcPr>
            <w:tcW w:w="1251" w:type="dxa"/>
            <w:shd w:val="clear" w:color="auto" w:fill="auto"/>
            <w:vAlign w:val="center"/>
            <w:hideMark/>
          </w:tcPr>
          <w:p w14:paraId="4B6722C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2013</w:t>
            </w:r>
          </w:p>
        </w:tc>
        <w:tc>
          <w:tcPr>
            <w:tcW w:w="1228" w:type="dxa"/>
            <w:shd w:val="clear" w:color="auto" w:fill="auto"/>
            <w:vAlign w:val="center"/>
            <w:hideMark/>
          </w:tcPr>
          <w:p w14:paraId="4EACF1C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Philippines</w:t>
            </w:r>
          </w:p>
        </w:tc>
        <w:tc>
          <w:tcPr>
            <w:tcW w:w="8303" w:type="dxa"/>
            <w:shd w:val="clear" w:color="auto" w:fill="auto"/>
            <w:vAlign w:val="center"/>
            <w:hideMark/>
          </w:tcPr>
          <w:p w14:paraId="5BC4F4F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Monitoring the impact of a mebendazole mass drug administration initiative for soil-transmitted helminthiasis (STH) control in the Western Visayas Region of the Philippines from 2007 through 2011</w:t>
            </w:r>
          </w:p>
        </w:tc>
      </w:tr>
      <w:tr w:rsidR="006A7FBD" w:rsidRPr="006A7FBD" w14:paraId="0779199F" w14:textId="77777777" w:rsidTr="00CD7B55">
        <w:trPr>
          <w:trHeight w:val="576"/>
        </w:trPr>
        <w:tc>
          <w:tcPr>
            <w:tcW w:w="907" w:type="dxa"/>
            <w:shd w:val="clear" w:color="auto" w:fill="auto"/>
            <w:noWrap/>
            <w:vAlign w:val="center"/>
            <w:hideMark/>
          </w:tcPr>
          <w:p w14:paraId="77007E7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ST5</w:t>
            </w:r>
          </w:p>
        </w:tc>
        <w:tc>
          <w:tcPr>
            <w:tcW w:w="2088" w:type="dxa"/>
            <w:shd w:val="clear" w:color="auto" w:fill="auto"/>
            <w:noWrap/>
            <w:vAlign w:val="center"/>
            <w:hideMark/>
          </w:tcPr>
          <w:p w14:paraId="6900559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Levecke et al.</w:t>
            </w:r>
          </w:p>
        </w:tc>
        <w:tc>
          <w:tcPr>
            <w:tcW w:w="1251" w:type="dxa"/>
            <w:shd w:val="clear" w:color="auto" w:fill="auto"/>
            <w:vAlign w:val="center"/>
            <w:hideMark/>
          </w:tcPr>
          <w:p w14:paraId="4CE0BB9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2014</w:t>
            </w:r>
          </w:p>
        </w:tc>
        <w:tc>
          <w:tcPr>
            <w:tcW w:w="1228" w:type="dxa"/>
            <w:shd w:val="clear" w:color="auto" w:fill="auto"/>
            <w:vAlign w:val="center"/>
            <w:hideMark/>
          </w:tcPr>
          <w:p w14:paraId="6489E7C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Cambodia and Vietnam</w:t>
            </w:r>
          </w:p>
        </w:tc>
        <w:tc>
          <w:tcPr>
            <w:tcW w:w="8303" w:type="dxa"/>
            <w:shd w:val="clear" w:color="auto" w:fill="auto"/>
            <w:vAlign w:val="center"/>
            <w:hideMark/>
          </w:tcPr>
          <w:p w14:paraId="198E69AF"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Assessment of Anthelmintic Efficacy of Mebendazole in  School Children in Six Countries Where Soil-Transmitted Helminths Are Endemic</w:t>
            </w:r>
          </w:p>
        </w:tc>
      </w:tr>
      <w:tr w:rsidR="006A7FBD" w:rsidRPr="006A7FBD" w14:paraId="11412B1E" w14:textId="77777777" w:rsidTr="00CD7B55">
        <w:trPr>
          <w:trHeight w:val="576"/>
        </w:trPr>
        <w:tc>
          <w:tcPr>
            <w:tcW w:w="907" w:type="dxa"/>
            <w:shd w:val="clear" w:color="auto" w:fill="auto"/>
            <w:noWrap/>
            <w:vAlign w:val="center"/>
            <w:hideMark/>
          </w:tcPr>
          <w:p w14:paraId="4BD8A15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ST6</w:t>
            </w:r>
          </w:p>
        </w:tc>
        <w:tc>
          <w:tcPr>
            <w:tcW w:w="2088" w:type="dxa"/>
            <w:shd w:val="clear" w:color="auto" w:fill="auto"/>
            <w:noWrap/>
            <w:vAlign w:val="center"/>
            <w:hideMark/>
          </w:tcPr>
          <w:p w14:paraId="50B2190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Park et al.</w:t>
            </w:r>
          </w:p>
        </w:tc>
        <w:tc>
          <w:tcPr>
            <w:tcW w:w="1251" w:type="dxa"/>
            <w:shd w:val="clear" w:color="auto" w:fill="auto"/>
            <w:vAlign w:val="center"/>
            <w:hideMark/>
          </w:tcPr>
          <w:p w14:paraId="5B77625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2016</w:t>
            </w:r>
          </w:p>
        </w:tc>
        <w:tc>
          <w:tcPr>
            <w:tcW w:w="1228" w:type="dxa"/>
            <w:shd w:val="clear" w:color="auto" w:fill="auto"/>
            <w:vAlign w:val="center"/>
            <w:hideMark/>
          </w:tcPr>
          <w:p w14:paraId="0E043E9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Indonesia</w:t>
            </w:r>
          </w:p>
        </w:tc>
        <w:tc>
          <w:tcPr>
            <w:tcW w:w="8303" w:type="dxa"/>
            <w:shd w:val="clear" w:color="auto" w:fill="auto"/>
            <w:vAlign w:val="center"/>
            <w:hideMark/>
          </w:tcPr>
          <w:p w14:paraId="53E19C9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Worm-free children: an integrated approach to reduction of soil-transmitted helminth infections in Central Java</w:t>
            </w:r>
          </w:p>
        </w:tc>
      </w:tr>
      <w:tr w:rsidR="006A7FBD" w:rsidRPr="006A7FBD" w14:paraId="1AE2B8BE" w14:textId="77777777" w:rsidTr="00CD7B55">
        <w:trPr>
          <w:trHeight w:val="576"/>
        </w:trPr>
        <w:tc>
          <w:tcPr>
            <w:tcW w:w="907" w:type="dxa"/>
            <w:shd w:val="clear" w:color="auto" w:fill="auto"/>
            <w:noWrap/>
            <w:vAlign w:val="center"/>
            <w:hideMark/>
          </w:tcPr>
          <w:p w14:paraId="0C1FE4B6"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ST7</w:t>
            </w:r>
          </w:p>
        </w:tc>
        <w:tc>
          <w:tcPr>
            <w:tcW w:w="2088" w:type="dxa"/>
            <w:shd w:val="clear" w:color="auto" w:fill="auto"/>
            <w:noWrap/>
            <w:vAlign w:val="center"/>
            <w:hideMark/>
          </w:tcPr>
          <w:p w14:paraId="3E95C02E"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Belizario et al.</w:t>
            </w:r>
          </w:p>
        </w:tc>
        <w:tc>
          <w:tcPr>
            <w:tcW w:w="1251" w:type="dxa"/>
            <w:shd w:val="clear" w:color="auto" w:fill="auto"/>
            <w:vAlign w:val="center"/>
            <w:hideMark/>
          </w:tcPr>
          <w:p w14:paraId="11FA890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2016</w:t>
            </w:r>
          </w:p>
        </w:tc>
        <w:tc>
          <w:tcPr>
            <w:tcW w:w="1228" w:type="dxa"/>
            <w:shd w:val="clear" w:color="auto" w:fill="auto"/>
            <w:vAlign w:val="center"/>
            <w:hideMark/>
          </w:tcPr>
          <w:p w14:paraId="536826C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Philippines</w:t>
            </w:r>
          </w:p>
        </w:tc>
        <w:tc>
          <w:tcPr>
            <w:tcW w:w="8303" w:type="dxa"/>
            <w:shd w:val="clear" w:color="auto" w:fill="auto"/>
            <w:vAlign w:val="center"/>
            <w:hideMark/>
          </w:tcPr>
          <w:p w14:paraId="5DA4EB46"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High Burden Of Soil-Transmitted Helminthiases In Preschool-Age Children In Masbate: A Decade Of Implementation Of The Integrated Helminth Control Program In The Philippines</w:t>
            </w:r>
          </w:p>
        </w:tc>
      </w:tr>
      <w:tr w:rsidR="006A7FBD" w:rsidRPr="006A7FBD" w14:paraId="0B94AA16" w14:textId="77777777" w:rsidTr="00CD7B55">
        <w:trPr>
          <w:trHeight w:val="576"/>
        </w:trPr>
        <w:tc>
          <w:tcPr>
            <w:tcW w:w="907" w:type="dxa"/>
            <w:shd w:val="clear" w:color="auto" w:fill="auto"/>
            <w:noWrap/>
            <w:vAlign w:val="center"/>
            <w:hideMark/>
          </w:tcPr>
          <w:p w14:paraId="06D6227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ST8</w:t>
            </w:r>
          </w:p>
        </w:tc>
        <w:tc>
          <w:tcPr>
            <w:tcW w:w="2088" w:type="dxa"/>
            <w:shd w:val="clear" w:color="auto" w:fill="auto"/>
            <w:noWrap/>
            <w:vAlign w:val="center"/>
            <w:hideMark/>
          </w:tcPr>
          <w:p w14:paraId="5FF54071"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Dunn et al.</w:t>
            </w:r>
          </w:p>
        </w:tc>
        <w:tc>
          <w:tcPr>
            <w:tcW w:w="1251" w:type="dxa"/>
            <w:shd w:val="clear" w:color="auto" w:fill="auto"/>
            <w:vAlign w:val="center"/>
            <w:hideMark/>
          </w:tcPr>
          <w:p w14:paraId="5EB609A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2017</w:t>
            </w:r>
          </w:p>
        </w:tc>
        <w:tc>
          <w:tcPr>
            <w:tcW w:w="1228" w:type="dxa"/>
            <w:shd w:val="clear" w:color="auto" w:fill="auto"/>
            <w:vAlign w:val="center"/>
            <w:hideMark/>
          </w:tcPr>
          <w:p w14:paraId="089CA336"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Myanmar</w:t>
            </w:r>
          </w:p>
        </w:tc>
        <w:tc>
          <w:tcPr>
            <w:tcW w:w="8303" w:type="dxa"/>
            <w:shd w:val="clear" w:color="auto" w:fill="auto"/>
            <w:vAlign w:val="center"/>
            <w:hideMark/>
          </w:tcPr>
          <w:p w14:paraId="7C2DFEC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A cross-sectional survey of soil-transmitted helminthiases in two Myanmar villages</w:t>
            </w:r>
            <w:r w:rsidRPr="006A7FBD">
              <w:rPr>
                <w:rFonts w:ascii="Aptos Narrow" w:eastAsia="Times New Roman" w:hAnsi="Aptos Narrow" w:cs="Times New Roman"/>
                <w:color w:val="000000"/>
                <w:kern w:val="0"/>
                <w:sz w:val="22"/>
                <w:szCs w:val="22"/>
                <w:lang w:bidi="th-TH"/>
                <w14:ligatures w14:val="none"/>
              </w:rPr>
              <w:br/>
              <w:t xml:space="preserve"> receiving mass drug administration: epidemiology of infection with a focus on adults</w:t>
            </w:r>
          </w:p>
        </w:tc>
      </w:tr>
      <w:tr w:rsidR="006A7FBD" w:rsidRPr="006A7FBD" w14:paraId="38BCF876" w14:textId="77777777" w:rsidTr="00CD7B55">
        <w:trPr>
          <w:trHeight w:val="576"/>
        </w:trPr>
        <w:tc>
          <w:tcPr>
            <w:tcW w:w="907" w:type="dxa"/>
            <w:shd w:val="clear" w:color="auto" w:fill="auto"/>
            <w:noWrap/>
            <w:vAlign w:val="center"/>
            <w:hideMark/>
          </w:tcPr>
          <w:p w14:paraId="614DB6AD"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ST9</w:t>
            </w:r>
          </w:p>
        </w:tc>
        <w:tc>
          <w:tcPr>
            <w:tcW w:w="2088" w:type="dxa"/>
            <w:shd w:val="clear" w:color="auto" w:fill="auto"/>
            <w:noWrap/>
            <w:vAlign w:val="center"/>
            <w:hideMark/>
          </w:tcPr>
          <w:p w14:paraId="7D65FCE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Ash et al.</w:t>
            </w:r>
          </w:p>
        </w:tc>
        <w:tc>
          <w:tcPr>
            <w:tcW w:w="1251" w:type="dxa"/>
            <w:shd w:val="clear" w:color="auto" w:fill="auto"/>
            <w:vAlign w:val="center"/>
            <w:hideMark/>
          </w:tcPr>
          <w:p w14:paraId="4CA37BD6"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2017</w:t>
            </w:r>
          </w:p>
        </w:tc>
        <w:tc>
          <w:tcPr>
            <w:tcW w:w="1228" w:type="dxa"/>
            <w:shd w:val="clear" w:color="auto" w:fill="auto"/>
            <w:vAlign w:val="center"/>
            <w:hideMark/>
          </w:tcPr>
          <w:p w14:paraId="36D2A5D2"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Lao PDR</w:t>
            </w:r>
          </w:p>
        </w:tc>
        <w:tc>
          <w:tcPr>
            <w:tcW w:w="8303" w:type="dxa"/>
            <w:shd w:val="clear" w:color="auto" w:fill="auto"/>
            <w:vAlign w:val="center"/>
            <w:hideMark/>
          </w:tcPr>
          <w:p w14:paraId="4A30446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Controlling Taenia solium and soil transmitted helminths in a northern Lao PDR village: Impact of a triple dose albendazole regime</w:t>
            </w:r>
          </w:p>
        </w:tc>
      </w:tr>
      <w:tr w:rsidR="006A7FBD" w:rsidRPr="006A7FBD" w14:paraId="2A2759CF" w14:textId="77777777" w:rsidTr="00CD7B55">
        <w:trPr>
          <w:trHeight w:val="576"/>
        </w:trPr>
        <w:tc>
          <w:tcPr>
            <w:tcW w:w="907" w:type="dxa"/>
            <w:shd w:val="clear" w:color="auto" w:fill="auto"/>
            <w:noWrap/>
            <w:vAlign w:val="center"/>
            <w:hideMark/>
          </w:tcPr>
          <w:p w14:paraId="4494A6ED"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ST10</w:t>
            </w:r>
          </w:p>
        </w:tc>
        <w:tc>
          <w:tcPr>
            <w:tcW w:w="2088" w:type="dxa"/>
            <w:shd w:val="clear" w:color="auto" w:fill="auto"/>
            <w:noWrap/>
            <w:vAlign w:val="center"/>
            <w:hideMark/>
          </w:tcPr>
          <w:p w14:paraId="15D4A6B2"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Staal et al.</w:t>
            </w:r>
          </w:p>
        </w:tc>
        <w:tc>
          <w:tcPr>
            <w:tcW w:w="1251" w:type="dxa"/>
            <w:shd w:val="clear" w:color="auto" w:fill="auto"/>
            <w:vAlign w:val="center"/>
            <w:hideMark/>
          </w:tcPr>
          <w:p w14:paraId="1A0BB0E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2018</w:t>
            </w:r>
          </w:p>
        </w:tc>
        <w:tc>
          <w:tcPr>
            <w:tcW w:w="1228" w:type="dxa"/>
            <w:shd w:val="clear" w:color="auto" w:fill="auto"/>
            <w:vAlign w:val="center"/>
            <w:hideMark/>
          </w:tcPr>
          <w:p w14:paraId="4D8EC7F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Indonesia</w:t>
            </w:r>
          </w:p>
        </w:tc>
        <w:tc>
          <w:tcPr>
            <w:tcW w:w="8303" w:type="dxa"/>
            <w:shd w:val="clear" w:color="auto" w:fill="auto"/>
            <w:vAlign w:val="center"/>
            <w:hideMark/>
          </w:tcPr>
          <w:p w14:paraId="799A291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Prevalence of Atopy following Mass Drug Administration with Albendazole: A Study in School Children on Flores Island, Indonesia</w:t>
            </w:r>
          </w:p>
        </w:tc>
      </w:tr>
      <w:tr w:rsidR="006A7FBD" w:rsidRPr="006A7FBD" w14:paraId="66EE8CC0" w14:textId="77777777" w:rsidTr="00CD7B55">
        <w:trPr>
          <w:trHeight w:val="576"/>
        </w:trPr>
        <w:tc>
          <w:tcPr>
            <w:tcW w:w="907" w:type="dxa"/>
            <w:shd w:val="clear" w:color="auto" w:fill="auto"/>
            <w:noWrap/>
            <w:vAlign w:val="center"/>
            <w:hideMark/>
          </w:tcPr>
          <w:p w14:paraId="42AD16D1"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ST11</w:t>
            </w:r>
          </w:p>
        </w:tc>
        <w:tc>
          <w:tcPr>
            <w:tcW w:w="2088" w:type="dxa"/>
            <w:shd w:val="clear" w:color="auto" w:fill="auto"/>
            <w:noWrap/>
            <w:vAlign w:val="center"/>
            <w:hideMark/>
          </w:tcPr>
          <w:p w14:paraId="055127BF" w14:textId="77777777" w:rsidR="006A7FBD" w:rsidRPr="006A7FBD" w:rsidRDefault="006A7FBD" w:rsidP="001F63C6">
            <w:pPr>
              <w:spacing w:after="0" w:line="240" w:lineRule="auto"/>
              <w:jc w:val="center"/>
              <w:rPr>
                <w:rFonts w:ascii="Aptos Narrow" w:eastAsia="Times New Roman" w:hAnsi="Aptos Narrow" w:cs="Times New Roman"/>
                <w:color w:val="000000"/>
                <w:kern w:val="0"/>
                <w:lang w:bidi="th-TH"/>
                <w14:ligatures w14:val="none"/>
              </w:rPr>
            </w:pPr>
            <w:r w:rsidRPr="006A7FBD">
              <w:rPr>
                <w:rFonts w:ascii="Aptos Narrow" w:eastAsia="Times New Roman" w:hAnsi="Aptos Narrow" w:cs="Times New Roman"/>
                <w:color w:val="000000"/>
                <w:kern w:val="0"/>
                <w:lang w:bidi="th-TH"/>
                <w14:ligatures w14:val="none"/>
              </w:rPr>
              <w:t>Clarke et al.</w:t>
            </w:r>
          </w:p>
        </w:tc>
        <w:tc>
          <w:tcPr>
            <w:tcW w:w="1251" w:type="dxa"/>
            <w:shd w:val="clear" w:color="auto" w:fill="auto"/>
            <w:vAlign w:val="center"/>
            <w:hideMark/>
          </w:tcPr>
          <w:p w14:paraId="156E795F"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2018</w:t>
            </w:r>
          </w:p>
        </w:tc>
        <w:tc>
          <w:tcPr>
            <w:tcW w:w="1228" w:type="dxa"/>
            <w:shd w:val="clear" w:color="auto" w:fill="auto"/>
            <w:vAlign w:val="center"/>
            <w:hideMark/>
          </w:tcPr>
          <w:p w14:paraId="4A32E0B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Timor Leste</w:t>
            </w:r>
          </w:p>
        </w:tc>
        <w:tc>
          <w:tcPr>
            <w:tcW w:w="8303" w:type="dxa"/>
            <w:shd w:val="clear" w:color="auto" w:fill="auto"/>
            <w:vAlign w:val="center"/>
            <w:hideMark/>
          </w:tcPr>
          <w:p w14:paraId="1CE3B6F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(S)WASH-D for Worms: A pilot study investigating the differential impact of school- versus community-based integrated control programs for soil-transmitted helminths</w:t>
            </w:r>
          </w:p>
        </w:tc>
      </w:tr>
      <w:tr w:rsidR="006A7FBD" w:rsidRPr="006A7FBD" w14:paraId="5B881523" w14:textId="77777777" w:rsidTr="00CD7B55">
        <w:trPr>
          <w:trHeight w:val="576"/>
        </w:trPr>
        <w:tc>
          <w:tcPr>
            <w:tcW w:w="907" w:type="dxa"/>
            <w:shd w:val="clear" w:color="auto" w:fill="auto"/>
            <w:noWrap/>
            <w:vAlign w:val="center"/>
            <w:hideMark/>
          </w:tcPr>
          <w:p w14:paraId="689A80F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ST12</w:t>
            </w:r>
          </w:p>
        </w:tc>
        <w:tc>
          <w:tcPr>
            <w:tcW w:w="2088" w:type="dxa"/>
            <w:shd w:val="clear" w:color="auto" w:fill="auto"/>
            <w:noWrap/>
            <w:vAlign w:val="center"/>
            <w:hideMark/>
          </w:tcPr>
          <w:p w14:paraId="0A53183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Vaz Nery et al.</w:t>
            </w:r>
          </w:p>
        </w:tc>
        <w:tc>
          <w:tcPr>
            <w:tcW w:w="1251" w:type="dxa"/>
            <w:shd w:val="clear" w:color="auto" w:fill="auto"/>
            <w:vAlign w:val="center"/>
            <w:hideMark/>
          </w:tcPr>
          <w:p w14:paraId="30D4D99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2018</w:t>
            </w:r>
          </w:p>
        </w:tc>
        <w:tc>
          <w:tcPr>
            <w:tcW w:w="1228" w:type="dxa"/>
            <w:shd w:val="clear" w:color="auto" w:fill="auto"/>
            <w:vAlign w:val="center"/>
            <w:hideMark/>
          </w:tcPr>
          <w:p w14:paraId="70AB2C2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Timor Leste</w:t>
            </w:r>
          </w:p>
        </w:tc>
        <w:tc>
          <w:tcPr>
            <w:tcW w:w="8303" w:type="dxa"/>
            <w:shd w:val="clear" w:color="auto" w:fill="auto"/>
            <w:vAlign w:val="center"/>
            <w:hideMark/>
          </w:tcPr>
          <w:p w14:paraId="71C9888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Use of quantitative PCR to assess the efficacy of albendazole against </w:t>
            </w:r>
            <w:proofErr w:type="spellStart"/>
            <w:r w:rsidRPr="006A7FBD">
              <w:rPr>
                <w:rFonts w:ascii="Aptos Narrow" w:eastAsia="Times New Roman" w:hAnsi="Aptos Narrow" w:cs="Times New Roman"/>
                <w:color w:val="000000"/>
                <w:kern w:val="0"/>
                <w:sz w:val="22"/>
                <w:szCs w:val="22"/>
                <w:lang w:bidi="th-TH"/>
                <w14:ligatures w14:val="none"/>
              </w:rPr>
              <w:t>Necator</w:t>
            </w:r>
            <w:proofErr w:type="spellEnd"/>
            <w:r w:rsidRPr="006A7FBD">
              <w:rPr>
                <w:rFonts w:ascii="Aptos Narrow" w:eastAsia="Times New Roman" w:hAnsi="Aptos Narrow" w:cs="Times New Roman"/>
                <w:color w:val="000000"/>
                <w:kern w:val="0"/>
                <w:sz w:val="22"/>
                <w:szCs w:val="22"/>
                <w:lang w:bidi="th-TH"/>
                <w14:ligatures w14:val="none"/>
              </w:rPr>
              <w:t xml:space="preserve"> americanus and Ascaris spp. in Manufahi District, Timor-Leste</w:t>
            </w:r>
          </w:p>
        </w:tc>
      </w:tr>
      <w:tr w:rsidR="006A7FBD" w:rsidRPr="006A7FBD" w14:paraId="680B5714" w14:textId="77777777" w:rsidTr="00CD7B55">
        <w:trPr>
          <w:trHeight w:val="576"/>
        </w:trPr>
        <w:tc>
          <w:tcPr>
            <w:tcW w:w="907" w:type="dxa"/>
            <w:shd w:val="clear" w:color="auto" w:fill="auto"/>
            <w:noWrap/>
            <w:vAlign w:val="center"/>
            <w:hideMark/>
          </w:tcPr>
          <w:p w14:paraId="0E9FB51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lastRenderedPageBreak/>
              <w:t>ST13</w:t>
            </w:r>
          </w:p>
        </w:tc>
        <w:tc>
          <w:tcPr>
            <w:tcW w:w="2088" w:type="dxa"/>
            <w:shd w:val="clear" w:color="auto" w:fill="auto"/>
            <w:noWrap/>
            <w:vAlign w:val="center"/>
            <w:hideMark/>
          </w:tcPr>
          <w:p w14:paraId="1FF1D60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Sungkar et al.</w:t>
            </w:r>
          </w:p>
        </w:tc>
        <w:tc>
          <w:tcPr>
            <w:tcW w:w="1251" w:type="dxa"/>
            <w:shd w:val="clear" w:color="auto" w:fill="auto"/>
            <w:vAlign w:val="center"/>
            <w:hideMark/>
          </w:tcPr>
          <w:p w14:paraId="1BAC41EE"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2018</w:t>
            </w:r>
          </w:p>
        </w:tc>
        <w:tc>
          <w:tcPr>
            <w:tcW w:w="1228" w:type="dxa"/>
            <w:shd w:val="clear" w:color="auto" w:fill="auto"/>
            <w:vAlign w:val="center"/>
            <w:hideMark/>
          </w:tcPr>
          <w:p w14:paraId="3A69FF3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Indonesia</w:t>
            </w:r>
          </w:p>
        </w:tc>
        <w:tc>
          <w:tcPr>
            <w:tcW w:w="8303" w:type="dxa"/>
            <w:shd w:val="clear" w:color="auto" w:fill="auto"/>
            <w:vAlign w:val="center"/>
            <w:hideMark/>
          </w:tcPr>
          <w:p w14:paraId="0F70737E"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The effect of albendazole toward anemia in children with soil-transmitted helminths infection in a remote and endemic area</w:t>
            </w:r>
          </w:p>
        </w:tc>
      </w:tr>
      <w:tr w:rsidR="006A7FBD" w:rsidRPr="006A7FBD" w14:paraId="508B3FD7" w14:textId="77777777" w:rsidTr="00CD7B55">
        <w:trPr>
          <w:trHeight w:val="576"/>
        </w:trPr>
        <w:tc>
          <w:tcPr>
            <w:tcW w:w="907" w:type="dxa"/>
            <w:shd w:val="clear" w:color="auto" w:fill="auto"/>
            <w:noWrap/>
            <w:vAlign w:val="center"/>
            <w:hideMark/>
          </w:tcPr>
          <w:p w14:paraId="16187DD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ST14</w:t>
            </w:r>
          </w:p>
        </w:tc>
        <w:tc>
          <w:tcPr>
            <w:tcW w:w="2088" w:type="dxa"/>
            <w:shd w:val="clear" w:color="auto" w:fill="auto"/>
            <w:noWrap/>
            <w:vAlign w:val="center"/>
            <w:hideMark/>
          </w:tcPr>
          <w:p w14:paraId="44A0B0A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Dunn et al.</w:t>
            </w:r>
          </w:p>
        </w:tc>
        <w:tc>
          <w:tcPr>
            <w:tcW w:w="1251" w:type="dxa"/>
            <w:shd w:val="clear" w:color="auto" w:fill="auto"/>
            <w:vAlign w:val="center"/>
            <w:hideMark/>
          </w:tcPr>
          <w:p w14:paraId="63A66AD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2019</w:t>
            </w:r>
          </w:p>
        </w:tc>
        <w:tc>
          <w:tcPr>
            <w:tcW w:w="1228" w:type="dxa"/>
            <w:shd w:val="clear" w:color="auto" w:fill="auto"/>
            <w:vAlign w:val="center"/>
            <w:hideMark/>
          </w:tcPr>
          <w:p w14:paraId="025E527E"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Myanmar</w:t>
            </w:r>
          </w:p>
        </w:tc>
        <w:tc>
          <w:tcPr>
            <w:tcW w:w="8303" w:type="dxa"/>
            <w:shd w:val="clear" w:color="auto" w:fill="auto"/>
            <w:vAlign w:val="center"/>
            <w:hideMark/>
          </w:tcPr>
          <w:p w14:paraId="778F53B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Soil-transmitted helminth reinfection four and six months after mass drug administration: results from the delta region of Myanmar</w:t>
            </w:r>
          </w:p>
        </w:tc>
      </w:tr>
      <w:tr w:rsidR="006A7FBD" w:rsidRPr="006A7FBD" w14:paraId="3AB236AF" w14:textId="77777777" w:rsidTr="00CD7B55">
        <w:trPr>
          <w:trHeight w:val="865"/>
        </w:trPr>
        <w:tc>
          <w:tcPr>
            <w:tcW w:w="907" w:type="dxa"/>
            <w:shd w:val="clear" w:color="auto" w:fill="auto"/>
            <w:noWrap/>
            <w:vAlign w:val="center"/>
            <w:hideMark/>
          </w:tcPr>
          <w:p w14:paraId="091CFA0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ST15</w:t>
            </w:r>
          </w:p>
        </w:tc>
        <w:tc>
          <w:tcPr>
            <w:tcW w:w="2088" w:type="dxa"/>
            <w:shd w:val="clear" w:color="auto" w:fill="auto"/>
            <w:noWrap/>
            <w:vAlign w:val="center"/>
            <w:hideMark/>
          </w:tcPr>
          <w:p w14:paraId="37B130C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Chai et al.</w:t>
            </w:r>
          </w:p>
        </w:tc>
        <w:tc>
          <w:tcPr>
            <w:tcW w:w="1251" w:type="dxa"/>
            <w:shd w:val="clear" w:color="auto" w:fill="auto"/>
            <w:vAlign w:val="center"/>
            <w:hideMark/>
          </w:tcPr>
          <w:p w14:paraId="23A9A97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2020</w:t>
            </w:r>
          </w:p>
        </w:tc>
        <w:tc>
          <w:tcPr>
            <w:tcW w:w="1228" w:type="dxa"/>
            <w:shd w:val="clear" w:color="auto" w:fill="auto"/>
            <w:vAlign w:val="center"/>
            <w:hideMark/>
          </w:tcPr>
          <w:p w14:paraId="3ED6621D"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Myanmar</w:t>
            </w:r>
          </w:p>
        </w:tc>
        <w:tc>
          <w:tcPr>
            <w:tcW w:w="8303" w:type="dxa"/>
            <w:shd w:val="clear" w:color="auto" w:fill="auto"/>
            <w:vAlign w:val="center"/>
            <w:hideMark/>
          </w:tcPr>
          <w:p w14:paraId="417EDB5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Effect of Mass Drug Administration with a Single Dose of </w:t>
            </w:r>
            <w:r w:rsidRPr="006A7FBD">
              <w:rPr>
                <w:rFonts w:ascii="Aptos Narrow" w:eastAsia="Times New Roman" w:hAnsi="Aptos Narrow" w:cs="Times New Roman"/>
                <w:color w:val="000000"/>
                <w:kern w:val="0"/>
                <w:sz w:val="22"/>
                <w:szCs w:val="22"/>
                <w:lang w:bidi="th-TH"/>
                <w14:ligatures w14:val="none"/>
              </w:rPr>
              <w:br/>
              <w:t xml:space="preserve">Albendazole on Ascaris lumbricoides and Trichuris </w:t>
            </w:r>
            <w:proofErr w:type="spellStart"/>
            <w:r w:rsidRPr="006A7FBD">
              <w:rPr>
                <w:rFonts w:ascii="Aptos Narrow" w:eastAsia="Times New Roman" w:hAnsi="Aptos Narrow" w:cs="Times New Roman"/>
                <w:color w:val="000000"/>
                <w:kern w:val="0"/>
                <w:sz w:val="22"/>
                <w:szCs w:val="22"/>
                <w:lang w:bidi="th-TH"/>
                <w14:ligatures w14:val="none"/>
              </w:rPr>
              <w:t>trichiura</w:t>
            </w:r>
            <w:proofErr w:type="spellEnd"/>
            <w:r w:rsidRPr="006A7FBD">
              <w:rPr>
                <w:rFonts w:ascii="Aptos Narrow" w:eastAsia="Times New Roman" w:hAnsi="Aptos Narrow" w:cs="Times New Roman"/>
                <w:color w:val="000000"/>
                <w:kern w:val="0"/>
                <w:sz w:val="22"/>
                <w:szCs w:val="22"/>
                <w:lang w:bidi="th-TH"/>
                <w14:ligatures w14:val="none"/>
              </w:rPr>
              <w:t xml:space="preserve"> Infection among Schoolchildren in Yangon  Region, Myanmar</w:t>
            </w:r>
          </w:p>
        </w:tc>
      </w:tr>
      <w:tr w:rsidR="006A7FBD" w:rsidRPr="006A7FBD" w14:paraId="0EA7A9FB" w14:textId="77777777" w:rsidTr="00CD7B55">
        <w:trPr>
          <w:trHeight w:val="576"/>
        </w:trPr>
        <w:tc>
          <w:tcPr>
            <w:tcW w:w="907" w:type="dxa"/>
            <w:shd w:val="clear" w:color="auto" w:fill="auto"/>
            <w:noWrap/>
            <w:vAlign w:val="center"/>
            <w:hideMark/>
          </w:tcPr>
          <w:p w14:paraId="61E89E61"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ST16</w:t>
            </w:r>
          </w:p>
        </w:tc>
        <w:tc>
          <w:tcPr>
            <w:tcW w:w="2088" w:type="dxa"/>
            <w:shd w:val="clear" w:color="auto" w:fill="auto"/>
            <w:noWrap/>
            <w:vAlign w:val="center"/>
            <w:hideMark/>
          </w:tcPr>
          <w:p w14:paraId="3410E20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proofErr w:type="spellStart"/>
            <w:r w:rsidRPr="006A7FBD">
              <w:rPr>
                <w:rFonts w:ascii="Aptos Narrow" w:eastAsia="Times New Roman" w:hAnsi="Aptos Narrow" w:cs="Times New Roman"/>
                <w:color w:val="000000"/>
                <w:kern w:val="0"/>
                <w:sz w:val="22"/>
                <w:szCs w:val="22"/>
                <w:lang w:bidi="th-TH"/>
                <w14:ligatures w14:val="none"/>
              </w:rPr>
              <w:t>Sapulete</w:t>
            </w:r>
            <w:proofErr w:type="spellEnd"/>
            <w:r w:rsidRPr="006A7FBD">
              <w:rPr>
                <w:rFonts w:ascii="Aptos Narrow" w:eastAsia="Times New Roman" w:hAnsi="Aptos Narrow" w:cs="Times New Roman"/>
                <w:color w:val="000000"/>
                <w:kern w:val="0"/>
                <w:sz w:val="22"/>
                <w:szCs w:val="22"/>
                <w:lang w:bidi="th-TH"/>
                <w14:ligatures w14:val="none"/>
              </w:rPr>
              <w:t xml:space="preserve"> et al.</w:t>
            </w:r>
          </w:p>
        </w:tc>
        <w:tc>
          <w:tcPr>
            <w:tcW w:w="1251" w:type="dxa"/>
            <w:shd w:val="clear" w:color="auto" w:fill="auto"/>
            <w:vAlign w:val="center"/>
            <w:hideMark/>
          </w:tcPr>
          <w:p w14:paraId="06BC0AE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2020</w:t>
            </w:r>
          </w:p>
        </w:tc>
        <w:tc>
          <w:tcPr>
            <w:tcW w:w="1228" w:type="dxa"/>
            <w:shd w:val="clear" w:color="auto" w:fill="auto"/>
            <w:vAlign w:val="center"/>
            <w:hideMark/>
          </w:tcPr>
          <w:p w14:paraId="76F9EF2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Indonesia</w:t>
            </w:r>
          </w:p>
        </w:tc>
        <w:tc>
          <w:tcPr>
            <w:tcW w:w="8303" w:type="dxa"/>
            <w:shd w:val="clear" w:color="auto" w:fill="auto"/>
            <w:vAlign w:val="center"/>
            <w:hideMark/>
          </w:tcPr>
          <w:p w14:paraId="6D591C82"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Efficacy of Albendazole-Pyrantel Pamoate Compared to Albendazole Alone for Trichuris </w:t>
            </w:r>
            <w:proofErr w:type="spellStart"/>
            <w:r w:rsidRPr="006A7FBD">
              <w:rPr>
                <w:rFonts w:ascii="Aptos Narrow" w:eastAsia="Times New Roman" w:hAnsi="Aptos Narrow" w:cs="Times New Roman"/>
                <w:color w:val="000000"/>
                <w:kern w:val="0"/>
                <w:sz w:val="22"/>
                <w:szCs w:val="22"/>
                <w:lang w:bidi="th-TH"/>
                <w14:ligatures w14:val="none"/>
              </w:rPr>
              <w:t>trichiura</w:t>
            </w:r>
            <w:proofErr w:type="spellEnd"/>
            <w:r w:rsidRPr="006A7FBD">
              <w:rPr>
                <w:rFonts w:ascii="Aptos Narrow" w:eastAsia="Times New Roman" w:hAnsi="Aptos Narrow" w:cs="Times New Roman"/>
                <w:color w:val="000000"/>
                <w:kern w:val="0"/>
                <w:sz w:val="22"/>
                <w:szCs w:val="22"/>
                <w:lang w:bidi="th-TH"/>
                <w14:ligatures w14:val="none"/>
              </w:rPr>
              <w:t xml:space="preserve"> Infection in Children: A Double Blind </w:t>
            </w:r>
            <w:proofErr w:type="spellStart"/>
            <w:r w:rsidRPr="006A7FBD">
              <w:rPr>
                <w:rFonts w:ascii="Aptos Narrow" w:eastAsia="Times New Roman" w:hAnsi="Aptos Narrow" w:cs="Times New Roman"/>
                <w:color w:val="000000"/>
                <w:kern w:val="0"/>
                <w:sz w:val="22"/>
                <w:szCs w:val="22"/>
                <w:lang w:bidi="th-TH"/>
                <w14:ligatures w14:val="none"/>
              </w:rPr>
              <w:t>Randomised</w:t>
            </w:r>
            <w:proofErr w:type="spellEnd"/>
            <w:r w:rsidRPr="006A7FBD">
              <w:rPr>
                <w:rFonts w:ascii="Aptos Narrow" w:eastAsia="Times New Roman" w:hAnsi="Aptos Narrow" w:cs="Times New Roman"/>
                <w:color w:val="000000"/>
                <w:kern w:val="0"/>
                <w:sz w:val="22"/>
                <w:szCs w:val="22"/>
                <w:lang w:bidi="th-TH"/>
                <w14:ligatures w14:val="none"/>
              </w:rPr>
              <w:t xml:space="preserve"> Controlled Trial</w:t>
            </w:r>
          </w:p>
        </w:tc>
      </w:tr>
      <w:tr w:rsidR="006A7FBD" w:rsidRPr="006A7FBD" w14:paraId="17898A26" w14:textId="77777777" w:rsidTr="00CD7B55">
        <w:trPr>
          <w:trHeight w:val="576"/>
        </w:trPr>
        <w:tc>
          <w:tcPr>
            <w:tcW w:w="907" w:type="dxa"/>
            <w:shd w:val="clear" w:color="auto" w:fill="auto"/>
            <w:noWrap/>
            <w:vAlign w:val="center"/>
            <w:hideMark/>
          </w:tcPr>
          <w:p w14:paraId="5130B44F"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ST17</w:t>
            </w:r>
          </w:p>
        </w:tc>
        <w:tc>
          <w:tcPr>
            <w:tcW w:w="2088" w:type="dxa"/>
            <w:shd w:val="clear" w:color="auto" w:fill="auto"/>
            <w:noWrap/>
            <w:vAlign w:val="center"/>
            <w:hideMark/>
          </w:tcPr>
          <w:p w14:paraId="5482286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Keller et al.</w:t>
            </w:r>
          </w:p>
        </w:tc>
        <w:tc>
          <w:tcPr>
            <w:tcW w:w="1251" w:type="dxa"/>
            <w:shd w:val="clear" w:color="auto" w:fill="auto"/>
            <w:vAlign w:val="center"/>
            <w:hideMark/>
          </w:tcPr>
          <w:p w14:paraId="2054818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2021</w:t>
            </w:r>
          </w:p>
        </w:tc>
        <w:tc>
          <w:tcPr>
            <w:tcW w:w="1228" w:type="dxa"/>
            <w:shd w:val="clear" w:color="auto" w:fill="auto"/>
            <w:vAlign w:val="center"/>
            <w:hideMark/>
          </w:tcPr>
          <w:p w14:paraId="64FA2C4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Lao PDR</w:t>
            </w:r>
          </w:p>
        </w:tc>
        <w:tc>
          <w:tcPr>
            <w:tcW w:w="8303" w:type="dxa"/>
            <w:shd w:val="clear" w:color="auto" w:fill="auto"/>
            <w:vAlign w:val="center"/>
            <w:hideMark/>
          </w:tcPr>
          <w:p w14:paraId="6C80780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Long-term outcomes of ivermectin albendazole versus albendazole alone against soil-transmitted helminths: Results from randomized controlled trials in Lao PDR and </w:t>
            </w:r>
            <w:proofErr w:type="spellStart"/>
            <w:r w:rsidRPr="006A7FBD">
              <w:rPr>
                <w:rFonts w:ascii="Aptos Narrow" w:eastAsia="Times New Roman" w:hAnsi="Aptos Narrow" w:cs="Times New Roman"/>
                <w:color w:val="000000"/>
                <w:kern w:val="0"/>
                <w:sz w:val="22"/>
                <w:szCs w:val="22"/>
                <w:lang w:bidi="th-TH"/>
                <w14:ligatures w14:val="none"/>
              </w:rPr>
              <w:t>PembaIsland</w:t>
            </w:r>
            <w:proofErr w:type="spellEnd"/>
            <w:r w:rsidRPr="006A7FBD">
              <w:rPr>
                <w:rFonts w:ascii="Aptos Narrow" w:eastAsia="Times New Roman" w:hAnsi="Aptos Narrow" w:cs="Times New Roman"/>
                <w:color w:val="000000"/>
                <w:kern w:val="0"/>
                <w:sz w:val="22"/>
                <w:szCs w:val="22"/>
                <w:lang w:bidi="th-TH"/>
                <w14:ligatures w14:val="none"/>
              </w:rPr>
              <w:t>, Tanzania</w:t>
            </w:r>
          </w:p>
        </w:tc>
      </w:tr>
      <w:tr w:rsidR="006A7FBD" w:rsidRPr="006A7FBD" w14:paraId="6B93D810" w14:textId="77777777" w:rsidTr="00CD7B55">
        <w:trPr>
          <w:trHeight w:val="576"/>
        </w:trPr>
        <w:tc>
          <w:tcPr>
            <w:tcW w:w="907" w:type="dxa"/>
            <w:shd w:val="clear" w:color="auto" w:fill="auto"/>
            <w:noWrap/>
            <w:vAlign w:val="center"/>
            <w:hideMark/>
          </w:tcPr>
          <w:p w14:paraId="128592F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ST18</w:t>
            </w:r>
          </w:p>
        </w:tc>
        <w:tc>
          <w:tcPr>
            <w:tcW w:w="2088" w:type="dxa"/>
            <w:shd w:val="clear" w:color="auto" w:fill="auto"/>
            <w:noWrap/>
            <w:vAlign w:val="center"/>
            <w:hideMark/>
          </w:tcPr>
          <w:p w14:paraId="296412A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Stracke et al.</w:t>
            </w:r>
          </w:p>
        </w:tc>
        <w:tc>
          <w:tcPr>
            <w:tcW w:w="1251" w:type="dxa"/>
            <w:shd w:val="clear" w:color="auto" w:fill="auto"/>
            <w:vAlign w:val="center"/>
            <w:hideMark/>
          </w:tcPr>
          <w:p w14:paraId="7F2C735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2021</w:t>
            </w:r>
          </w:p>
        </w:tc>
        <w:tc>
          <w:tcPr>
            <w:tcW w:w="1228" w:type="dxa"/>
            <w:shd w:val="clear" w:color="auto" w:fill="auto"/>
            <w:vAlign w:val="center"/>
            <w:hideMark/>
          </w:tcPr>
          <w:p w14:paraId="6751FFA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Thailand</w:t>
            </w:r>
          </w:p>
        </w:tc>
        <w:tc>
          <w:tcPr>
            <w:tcW w:w="8303" w:type="dxa"/>
            <w:shd w:val="clear" w:color="auto" w:fill="auto"/>
            <w:vAlign w:val="center"/>
            <w:hideMark/>
          </w:tcPr>
          <w:p w14:paraId="4FC8F60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Field evaluation of the gut microbiome composition of pre-school and school-aged children in </w:t>
            </w:r>
            <w:proofErr w:type="spellStart"/>
            <w:r w:rsidRPr="006A7FBD">
              <w:rPr>
                <w:rFonts w:ascii="Aptos Narrow" w:eastAsia="Times New Roman" w:hAnsi="Aptos Narrow" w:cs="Times New Roman"/>
                <w:color w:val="000000"/>
                <w:kern w:val="0"/>
                <w:sz w:val="22"/>
                <w:szCs w:val="22"/>
                <w:lang w:bidi="th-TH"/>
                <w14:ligatures w14:val="none"/>
              </w:rPr>
              <w:t>Tha</w:t>
            </w:r>
            <w:proofErr w:type="spellEnd"/>
            <w:r w:rsidRPr="006A7FBD">
              <w:rPr>
                <w:rFonts w:ascii="Aptos Narrow" w:eastAsia="Times New Roman" w:hAnsi="Aptos Narrow" w:cs="Times New Roman"/>
                <w:color w:val="000000"/>
                <w:kern w:val="0"/>
                <w:sz w:val="22"/>
                <w:szCs w:val="22"/>
                <w:lang w:bidi="th-TH"/>
                <w14:ligatures w14:val="none"/>
              </w:rPr>
              <w:t xml:space="preserve"> Song Yang, Thailand, following oral MDA for STH infections</w:t>
            </w:r>
          </w:p>
        </w:tc>
      </w:tr>
      <w:tr w:rsidR="006A7FBD" w:rsidRPr="006A7FBD" w14:paraId="1B129D9F" w14:textId="77777777" w:rsidTr="00CD7B55">
        <w:trPr>
          <w:trHeight w:val="865"/>
        </w:trPr>
        <w:tc>
          <w:tcPr>
            <w:tcW w:w="907" w:type="dxa"/>
            <w:shd w:val="clear" w:color="auto" w:fill="auto"/>
            <w:noWrap/>
            <w:vAlign w:val="center"/>
            <w:hideMark/>
          </w:tcPr>
          <w:p w14:paraId="21D4D66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ST19</w:t>
            </w:r>
          </w:p>
        </w:tc>
        <w:tc>
          <w:tcPr>
            <w:tcW w:w="2088" w:type="dxa"/>
            <w:shd w:val="clear" w:color="auto" w:fill="auto"/>
            <w:noWrap/>
            <w:vAlign w:val="center"/>
            <w:hideMark/>
          </w:tcPr>
          <w:p w14:paraId="7D30DE6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Colella et al.</w:t>
            </w:r>
          </w:p>
        </w:tc>
        <w:tc>
          <w:tcPr>
            <w:tcW w:w="1251" w:type="dxa"/>
            <w:shd w:val="clear" w:color="auto" w:fill="auto"/>
            <w:vAlign w:val="center"/>
            <w:hideMark/>
          </w:tcPr>
          <w:p w14:paraId="56D0810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2021</w:t>
            </w:r>
          </w:p>
        </w:tc>
        <w:tc>
          <w:tcPr>
            <w:tcW w:w="1228" w:type="dxa"/>
            <w:shd w:val="clear" w:color="auto" w:fill="auto"/>
            <w:vAlign w:val="center"/>
            <w:hideMark/>
          </w:tcPr>
          <w:p w14:paraId="17F326E4"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Cambodia</w:t>
            </w:r>
          </w:p>
        </w:tc>
        <w:tc>
          <w:tcPr>
            <w:tcW w:w="8303" w:type="dxa"/>
            <w:shd w:val="clear" w:color="auto" w:fill="auto"/>
            <w:vAlign w:val="center"/>
            <w:hideMark/>
          </w:tcPr>
          <w:p w14:paraId="6627AC8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Risk profiling and efficacy of albendazole against the hookworms </w:t>
            </w:r>
            <w:proofErr w:type="spellStart"/>
            <w:r w:rsidRPr="006A7FBD">
              <w:rPr>
                <w:rFonts w:ascii="Aptos Narrow" w:eastAsia="Times New Roman" w:hAnsi="Aptos Narrow" w:cs="Times New Roman"/>
                <w:color w:val="000000"/>
                <w:kern w:val="0"/>
                <w:sz w:val="22"/>
                <w:szCs w:val="22"/>
                <w:lang w:bidi="th-TH"/>
                <w14:ligatures w14:val="none"/>
              </w:rPr>
              <w:t>Necator</w:t>
            </w:r>
            <w:proofErr w:type="spellEnd"/>
            <w:r w:rsidRPr="006A7FBD">
              <w:rPr>
                <w:rFonts w:ascii="Aptos Narrow" w:eastAsia="Times New Roman" w:hAnsi="Aptos Narrow" w:cs="Times New Roman"/>
                <w:color w:val="000000"/>
                <w:kern w:val="0"/>
                <w:sz w:val="22"/>
                <w:szCs w:val="22"/>
                <w:lang w:bidi="th-TH"/>
                <w14:ligatures w14:val="none"/>
              </w:rPr>
              <w:t xml:space="preserve"> americanus and Ancylostoma </w:t>
            </w:r>
            <w:proofErr w:type="spellStart"/>
            <w:r w:rsidRPr="006A7FBD">
              <w:rPr>
                <w:rFonts w:ascii="Aptos Narrow" w:eastAsia="Times New Roman" w:hAnsi="Aptos Narrow" w:cs="Times New Roman"/>
                <w:color w:val="000000"/>
                <w:kern w:val="0"/>
                <w:sz w:val="22"/>
                <w:szCs w:val="22"/>
                <w:lang w:bidi="th-TH"/>
                <w14:ligatures w14:val="none"/>
              </w:rPr>
              <w:t>ceylanicum</w:t>
            </w:r>
            <w:proofErr w:type="spellEnd"/>
            <w:r w:rsidRPr="006A7FBD">
              <w:rPr>
                <w:rFonts w:ascii="Aptos Narrow" w:eastAsia="Times New Roman" w:hAnsi="Aptos Narrow" w:cs="Times New Roman"/>
                <w:color w:val="000000"/>
                <w:kern w:val="0"/>
                <w:sz w:val="22"/>
                <w:szCs w:val="22"/>
                <w:lang w:bidi="th-TH"/>
                <w14:ligatures w14:val="none"/>
              </w:rPr>
              <w:t xml:space="preserve"> in Cambodia to support control programs in Southeast Asia and the Western Pacific</w:t>
            </w:r>
          </w:p>
        </w:tc>
      </w:tr>
      <w:tr w:rsidR="006A7FBD" w:rsidRPr="006A7FBD" w14:paraId="7F8C6892" w14:textId="77777777" w:rsidTr="00CD7B55">
        <w:trPr>
          <w:trHeight w:val="576"/>
        </w:trPr>
        <w:tc>
          <w:tcPr>
            <w:tcW w:w="907" w:type="dxa"/>
            <w:shd w:val="clear" w:color="auto" w:fill="auto"/>
            <w:noWrap/>
            <w:vAlign w:val="center"/>
            <w:hideMark/>
          </w:tcPr>
          <w:p w14:paraId="3435A9C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ST20</w:t>
            </w:r>
          </w:p>
        </w:tc>
        <w:tc>
          <w:tcPr>
            <w:tcW w:w="2088" w:type="dxa"/>
            <w:shd w:val="clear" w:color="auto" w:fill="auto"/>
            <w:noWrap/>
            <w:vAlign w:val="center"/>
            <w:hideMark/>
          </w:tcPr>
          <w:p w14:paraId="09BF79B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Mationg et al.</w:t>
            </w:r>
          </w:p>
        </w:tc>
        <w:tc>
          <w:tcPr>
            <w:tcW w:w="1251" w:type="dxa"/>
            <w:shd w:val="clear" w:color="auto" w:fill="auto"/>
            <w:vAlign w:val="center"/>
            <w:hideMark/>
          </w:tcPr>
          <w:p w14:paraId="11ADE27D"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2021</w:t>
            </w:r>
          </w:p>
        </w:tc>
        <w:tc>
          <w:tcPr>
            <w:tcW w:w="1228" w:type="dxa"/>
            <w:shd w:val="clear" w:color="auto" w:fill="auto"/>
            <w:vAlign w:val="center"/>
            <w:hideMark/>
          </w:tcPr>
          <w:p w14:paraId="56D689EF"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Philippines</w:t>
            </w:r>
          </w:p>
        </w:tc>
        <w:tc>
          <w:tcPr>
            <w:tcW w:w="8303" w:type="dxa"/>
            <w:shd w:val="clear" w:color="auto" w:fill="auto"/>
            <w:vAlign w:val="center"/>
            <w:hideMark/>
          </w:tcPr>
          <w:p w14:paraId="7F767C5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"The Magic Glasses Philippines": a cluster </w:t>
            </w:r>
            <w:proofErr w:type="spellStart"/>
            <w:r w:rsidRPr="006A7FBD">
              <w:rPr>
                <w:rFonts w:ascii="Aptos Narrow" w:eastAsia="Times New Roman" w:hAnsi="Aptos Narrow" w:cs="Times New Roman"/>
                <w:color w:val="000000"/>
                <w:kern w:val="0"/>
                <w:sz w:val="22"/>
                <w:szCs w:val="22"/>
                <w:lang w:bidi="th-TH"/>
                <w14:ligatures w14:val="none"/>
              </w:rPr>
              <w:t>randomised</w:t>
            </w:r>
            <w:proofErr w:type="spellEnd"/>
            <w:r w:rsidRPr="006A7FBD">
              <w:rPr>
                <w:rFonts w:ascii="Aptos Narrow" w:eastAsia="Times New Roman" w:hAnsi="Aptos Narrow" w:cs="Times New Roman"/>
                <w:color w:val="000000"/>
                <w:kern w:val="0"/>
                <w:sz w:val="22"/>
                <w:szCs w:val="22"/>
                <w:lang w:bidi="th-TH"/>
                <w14:ligatures w14:val="none"/>
              </w:rPr>
              <w:t xml:space="preserve"> controlled trial of a health education package for the prevention of intestinal worm infections in schoolchildren</w:t>
            </w:r>
          </w:p>
        </w:tc>
      </w:tr>
      <w:tr w:rsidR="006A7FBD" w:rsidRPr="006A7FBD" w14:paraId="467D0EA2" w14:textId="77777777" w:rsidTr="00CD7B55">
        <w:trPr>
          <w:trHeight w:val="576"/>
        </w:trPr>
        <w:tc>
          <w:tcPr>
            <w:tcW w:w="907" w:type="dxa"/>
            <w:shd w:val="clear" w:color="auto" w:fill="auto"/>
            <w:noWrap/>
            <w:vAlign w:val="center"/>
            <w:hideMark/>
          </w:tcPr>
          <w:p w14:paraId="4894A2F2"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ST21</w:t>
            </w:r>
          </w:p>
        </w:tc>
        <w:tc>
          <w:tcPr>
            <w:tcW w:w="2088" w:type="dxa"/>
            <w:shd w:val="clear" w:color="auto" w:fill="auto"/>
            <w:noWrap/>
            <w:vAlign w:val="center"/>
            <w:hideMark/>
          </w:tcPr>
          <w:p w14:paraId="093C0C2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Hong et al.</w:t>
            </w:r>
          </w:p>
        </w:tc>
        <w:tc>
          <w:tcPr>
            <w:tcW w:w="1251" w:type="dxa"/>
            <w:shd w:val="clear" w:color="auto" w:fill="auto"/>
            <w:vAlign w:val="center"/>
            <w:hideMark/>
          </w:tcPr>
          <w:p w14:paraId="5FAA559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2021</w:t>
            </w:r>
          </w:p>
        </w:tc>
        <w:tc>
          <w:tcPr>
            <w:tcW w:w="1228" w:type="dxa"/>
            <w:shd w:val="clear" w:color="auto" w:fill="auto"/>
            <w:vAlign w:val="center"/>
            <w:hideMark/>
          </w:tcPr>
          <w:p w14:paraId="24A312A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Myanmar</w:t>
            </w:r>
          </w:p>
        </w:tc>
        <w:tc>
          <w:tcPr>
            <w:tcW w:w="8303" w:type="dxa"/>
            <w:shd w:val="clear" w:color="auto" w:fill="auto"/>
            <w:vAlign w:val="center"/>
            <w:hideMark/>
          </w:tcPr>
          <w:p w14:paraId="1F101186"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Failure of Repeated MDA with Albendazole for </w:t>
            </w:r>
            <w:proofErr w:type="spellStart"/>
            <w:r w:rsidRPr="006A7FBD">
              <w:rPr>
                <w:rFonts w:ascii="Aptos Narrow" w:eastAsia="Times New Roman" w:hAnsi="Aptos Narrow" w:cs="Times New Roman"/>
                <w:color w:val="000000"/>
                <w:kern w:val="0"/>
                <w:sz w:val="22"/>
                <w:szCs w:val="22"/>
                <w:lang w:bidi="th-TH"/>
                <w14:ligatures w14:val="none"/>
              </w:rPr>
              <w:t>Trichuriasis</w:t>
            </w:r>
            <w:proofErr w:type="spellEnd"/>
            <w:r w:rsidRPr="006A7FBD">
              <w:rPr>
                <w:rFonts w:ascii="Aptos Narrow" w:eastAsia="Times New Roman" w:hAnsi="Aptos Narrow" w:cs="Times New Roman"/>
                <w:color w:val="000000"/>
                <w:kern w:val="0"/>
                <w:sz w:val="22"/>
                <w:szCs w:val="22"/>
                <w:lang w:bidi="th-TH"/>
                <w14:ligatures w14:val="none"/>
              </w:rPr>
              <w:t xml:space="preserve"> Control in Schoolchildren of the Yangon Region, Myanmar</w:t>
            </w:r>
          </w:p>
        </w:tc>
      </w:tr>
      <w:tr w:rsidR="006A7FBD" w:rsidRPr="006A7FBD" w14:paraId="4A8EADAB" w14:textId="77777777" w:rsidTr="00CD7B55">
        <w:trPr>
          <w:trHeight w:val="865"/>
        </w:trPr>
        <w:tc>
          <w:tcPr>
            <w:tcW w:w="907" w:type="dxa"/>
            <w:shd w:val="clear" w:color="auto" w:fill="auto"/>
            <w:noWrap/>
            <w:vAlign w:val="center"/>
            <w:hideMark/>
          </w:tcPr>
          <w:p w14:paraId="46A7253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ST22</w:t>
            </w:r>
          </w:p>
        </w:tc>
        <w:tc>
          <w:tcPr>
            <w:tcW w:w="2088" w:type="dxa"/>
            <w:shd w:val="clear" w:color="auto" w:fill="auto"/>
            <w:noWrap/>
            <w:vAlign w:val="center"/>
            <w:hideMark/>
          </w:tcPr>
          <w:p w14:paraId="154C341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proofErr w:type="spellStart"/>
            <w:r w:rsidRPr="006A7FBD">
              <w:rPr>
                <w:rFonts w:ascii="Aptos Narrow" w:eastAsia="Times New Roman" w:hAnsi="Aptos Narrow" w:cs="Times New Roman"/>
                <w:color w:val="000000"/>
                <w:kern w:val="0"/>
                <w:sz w:val="22"/>
                <w:szCs w:val="22"/>
                <w:lang w:bidi="th-TH"/>
                <w14:ligatures w14:val="none"/>
              </w:rPr>
              <w:t>Hürlimann</w:t>
            </w:r>
            <w:proofErr w:type="spellEnd"/>
            <w:r w:rsidRPr="006A7FBD">
              <w:rPr>
                <w:rFonts w:ascii="Aptos Narrow" w:eastAsia="Times New Roman" w:hAnsi="Aptos Narrow" w:cs="Times New Roman"/>
                <w:color w:val="000000"/>
                <w:kern w:val="0"/>
                <w:sz w:val="22"/>
                <w:szCs w:val="22"/>
                <w:lang w:bidi="th-TH"/>
                <w14:ligatures w14:val="none"/>
              </w:rPr>
              <w:t xml:space="preserve"> et al.</w:t>
            </w:r>
          </w:p>
        </w:tc>
        <w:tc>
          <w:tcPr>
            <w:tcW w:w="1251" w:type="dxa"/>
            <w:shd w:val="clear" w:color="auto" w:fill="auto"/>
            <w:vAlign w:val="center"/>
            <w:hideMark/>
          </w:tcPr>
          <w:p w14:paraId="2777CA5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2022</w:t>
            </w:r>
          </w:p>
        </w:tc>
        <w:tc>
          <w:tcPr>
            <w:tcW w:w="1228" w:type="dxa"/>
            <w:shd w:val="clear" w:color="auto" w:fill="auto"/>
            <w:vAlign w:val="center"/>
            <w:hideMark/>
          </w:tcPr>
          <w:p w14:paraId="399995D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Lao PDR</w:t>
            </w:r>
          </w:p>
        </w:tc>
        <w:tc>
          <w:tcPr>
            <w:tcW w:w="8303" w:type="dxa"/>
            <w:shd w:val="clear" w:color="auto" w:fill="auto"/>
            <w:vAlign w:val="center"/>
            <w:hideMark/>
          </w:tcPr>
          <w:p w14:paraId="5415273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Efficacy and safety of co-administered ivermectin and albendazole in school-aged children and adults infected with Trichuris </w:t>
            </w:r>
            <w:proofErr w:type="spellStart"/>
            <w:r w:rsidRPr="006A7FBD">
              <w:rPr>
                <w:rFonts w:ascii="Aptos Narrow" w:eastAsia="Times New Roman" w:hAnsi="Aptos Narrow" w:cs="Times New Roman"/>
                <w:color w:val="000000"/>
                <w:kern w:val="0"/>
                <w:sz w:val="22"/>
                <w:szCs w:val="22"/>
                <w:lang w:bidi="th-TH"/>
                <w14:ligatures w14:val="none"/>
              </w:rPr>
              <w:t>trichiura</w:t>
            </w:r>
            <w:proofErr w:type="spellEnd"/>
            <w:r w:rsidRPr="006A7FBD">
              <w:rPr>
                <w:rFonts w:ascii="Aptos Narrow" w:eastAsia="Times New Roman" w:hAnsi="Aptos Narrow" w:cs="Times New Roman"/>
                <w:color w:val="000000"/>
                <w:kern w:val="0"/>
                <w:sz w:val="22"/>
                <w:szCs w:val="22"/>
                <w:lang w:bidi="th-TH"/>
                <w14:ligatures w14:val="none"/>
              </w:rPr>
              <w:t xml:space="preserve"> in Côte d'Ivoire, Laos, and Pemba Island, Tanzania: a double-blind, parallel-group, phase 3, </w:t>
            </w:r>
            <w:proofErr w:type="spellStart"/>
            <w:r w:rsidRPr="006A7FBD">
              <w:rPr>
                <w:rFonts w:ascii="Aptos Narrow" w:eastAsia="Times New Roman" w:hAnsi="Aptos Narrow" w:cs="Times New Roman"/>
                <w:color w:val="000000"/>
                <w:kern w:val="0"/>
                <w:sz w:val="22"/>
                <w:szCs w:val="22"/>
                <w:lang w:bidi="th-TH"/>
                <w14:ligatures w14:val="none"/>
              </w:rPr>
              <w:t>randomised</w:t>
            </w:r>
            <w:proofErr w:type="spellEnd"/>
            <w:r w:rsidRPr="006A7FBD">
              <w:rPr>
                <w:rFonts w:ascii="Aptos Narrow" w:eastAsia="Times New Roman" w:hAnsi="Aptos Narrow" w:cs="Times New Roman"/>
                <w:color w:val="000000"/>
                <w:kern w:val="0"/>
                <w:sz w:val="22"/>
                <w:szCs w:val="22"/>
                <w:lang w:bidi="th-TH"/>
                <w14:ligatures w14:val="none"/>
              </w:rPr>
              <w:t xml:space="preserve"> controlled </w:t>
            </w:r>
            <w:proofErr w:type="spellStart"/>
            <w:r w:rsidRPr="006A7FBD">
              <w:rPr>
                <w:rFonts w:ascii="Aptos Narrow" w:eastAsia="Times New Roman" w:hAnsi="Aptos Narrow" w:cs="Times New Roman"/>
                <w:color w:val="000000"/>
                <w:kern w:val="0"/>
                <w:sz w:val="22"/>
                <w:szCs w:val="22"/>
                <w:lang w:bidi="th-TH"/>
                <w14:ligatures w14:val="none"/>
              </w:rPr>
              <w:t>tria</w:t>
            </w:r>
            <w:proofErr w:type="spellEnd"/>
          </w:p>
        </w:tc>
      </w:tr>
      <w:tr w:rsidR="006A7FBD" w:rsidRPr="006A7FBD" w14:paraId="32B28B03" w14:textId="77777777" w:rsidTr="00CD7B55">
        <w:trPr>
          <w:trHeight w:val="288"/>
        </w:trPr>
        <w:tc>
          <w:tcPr>
            <w:tcW w:w="907" w:type="dxa"/>
            <w:shd w:val="clear" w:color="auto" w:fill="auto"/>
            <w:noWrap/>
            <w:vAlign w:val="center"/>
            <w:hideMark/>
          </w:tcPr>
          <w:p w14:paraId="5EA94B8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ST23</w:t>
            </w:r>
          </w:p>
        </w:tc>
        <w:tc>
          <w:tcPr>
            <w:tcW w:w="2088" w:type="dxa"/>
            <w:shd w:val="clear" w:color="auto" w:fill="auto"/>
            <w:noWrap/>
            <w:vAlign w:val="center"/>
            <w:hideMark/>
          </w:tcPr>
          <w:p w14:paraId="1FC3E5D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Tee et al.</w:t>
            </w:r>
          </w:p>
        </w:tc>
        <w:tc>
          <w:tcPr>
            <w:tcW w:w="1251" w:type="dxa"/>
            <w:shd w:val="clear" w:color="auto" w:fill="auto"/>
            <w:vAlign w:val="center"/>
            <w:hideMark/>
          </w:tcPr>
          <w:p w14:paraId="39555AD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2022</w:t>
            </w:r>
          </w:p>
        </w:tc>
        <w:tc>
          <w:tcPr>
            <w:tcW w:w="1228" w:type="dxa"/>
            <w:shd w:val="clear" w:color="auto" w:fill="auto"/>
            <w:vAlign w:val="center"/>
            <w:hideMark/>
          </w:tcPr>
          <w:p w14:paraId="1A8B0655"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Malaysia</w:t>
            </w:r>
          </w:p>
        </w:tc>
        <w:tc>
          <w:tcPr>
            <w:tcW w:w="8303" w:type="dxa"/>
            <w:shd w:val="clear" w:color="auto" w:fill="auto"/>
            <w:vAlign w:val="center"/>
            <w:hideMark/>
          </w:tcPr>
          <w:p w14:paraId="627EBA0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Efficacy of triple dose albendazole treatment for soil-transmitted helminth infections</w:t>
            </w:r>
          </w:p>
        </w:tc>
      </w:tr>
      <w:tr w:rsidR="006A7FBD" w:rsidRPr="006A7FBD" w14:paraId="7349807E" w14:textId="77777777" w:rsidTr="00CD7B55">
        <w:trPr>
          <w:trHeight w:val="865"/>
        </w:trPr>
        <w:tc>
          <w:tcPr>
            <w:tcW w:w="907" w:type="dxa"/>
            <w:shd w:val="clear" w:color="auto" w:fill="auto"/>
            <w:noWrap/>
            <w:vAlign w:val="center"/>
            <w:hideMark/>
          </w:tcPr>
          <w:p w14:paraId="068BB2F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ST24</w:t>
            </w:r>
          </w:p>
        </w:tc>
        <w:tc>
          <w:tcPr>
            <w:tcW w:w="2088" w:type="dxa"/>
            <w:shd w:val="clear" w:color="auto" w:fill="auto"/>
            <w:noWrap/>
            <w:vAlign w:val="center"/>
            <w:hideMark/>
          </w:tcPr>
          <w:p w14:paraId="385E0633"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Le et al.</w:t>
            </w:r>
          </w:p>
        </w:tc>
        <w:tc>
          <w:tcPr>
            <w:tcW w:w="1251" w:type="dxa"/>
            <w:shd w:val="clear" w:color="auto" w:fill="auto"/>
            <w:vAlign w:val="center"/>
            <w:hideMark/>
          </w:tcPr>
          <w:p w14:paraId="0A20A32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2023</w:t>
            </w:r>
          </w:p>
        </w:tc>
        <w:tc>
          <w:tcPr>
            <w:tcW w:w="1228" w:type="dxa"/>
            <w:shd w:val="clear" w:color="auto" w:fill="auto"/>
            <w:vAlign w:val="center"/>
            <w:hideMark/>
          </w:tcPr>
          <w:p w14:paraId="211FD3BB"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Timor Leste</w:t>
            </w:r>
          </w:p>
        </w:tc>
        <w:tc>
          <w:tcPr>
            <w:tcW w:w="8303" w:type="dxa"/>
            <w:shd w:val="clear" w:color="auto" w:fill="auto"/>
            <w:vAlign w:val="center"/>
            <w:hideMark/>
          </w:tcPr>
          <w:p w14:paraId="5D0A682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The impact of ivermectin, diethylcarbamazine citrate, and albendazole mass drug administration on the prevalence of scabies and soil-transmitted helminths in school-aged children in three municipalities in Timor-Leste: a before-after assessment</w:t>
            </w:r>
          </w:p>
        </w:tc>
      </w:tr>
      <w:tr w:rsidR="006A7FBD" w:rsidRPr="006A7FBD" w14:paraId="44E5E408" w14:textId="77777777" w:rsidTr="00CD7B55">
        <w:trPr>
          <w:trHeight w:val="576"/>
        </w:trPr>
        <w:tc>
          <w:tcPr>
            <w:tcW w:w="907" w:type="dxa"/>
            <w:shd w:val="clear" w:color="auto" w:fill="auto"/>
            <w:noWrap/>
            <w:vAlign w:val="center"/>
            <w:hideMark/>
          </w:tcPr>
          <w:p w14:paraId="65D35F0D"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ST25</w:t>
            </w:r>
          </w:p>
        </w:tc>
        <w:tc>
          <w:tcPr>
            <w:tcW w:w="2088" w:type="dxa"/>
            <w:shd w:val="clear" w:color="auto" w:fill="auto"/>
            <w:noWrap/>
            <w:vAlign w:val="center"/>
            <w:hideMark/>
          </w:tcPr>
          <w:p w14:paraId="78F26A8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Dyer et al.</w:t>
            </w:r>
          </w:p>
        </w:tc>
        <w:tc>
          <w:tcPr>
            <w:tcW w:w="1251" w:type="dxa"/>
            <w:shd w:val="clear" w:color="auto" w:fill="auto"/>
            <w:vAlign w:val="center"/>
            <w:hideMark/>
          </w:tcPr>
          <w:p w14:paraId="06EDEA6E"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2023</w:t>
            </w:r>
          </w:p>
        </w:tc>
        <w:tc>
          <w:tcPr>
            <w:tcW w:w="1228" w:type="dxa"/>
            <w:shd w:val="clear" w:color="auto" w:fill="auto"/>
            <w:vAlign w:val="center"/>
            <w:hideMark/>
          </w:tcPr>
          <w:p w14:paraId="70473DB9"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Vietnam</w:t>
            </w:r>
          </w:p>
        </w:tc>
        <w:tc>
          <w:tcPr>
            <w:tcW w:w="8303" w:type="dxa"/>
            <w:shd w:val="clear" w:color="auto" w:fill="auto"/>
            <w:vAlign w:val="center"/>
            <w:hideMark/>
          </w:tcPr>
          <w:p w14:paraId="7817D226"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 xml:space="preserve">Community-wide versus school-based targeted deworming for soil-transmitted helminth control in school-aged children in Vietnam: the </w:t>
            </w:r>
            <w:proofErr w:type="spellStart"/>
            <w:r w:rsidRPr="006A7FBD">
              <w:rPr>
                <w:rFonts w:ascii="Aptos Narrow" w:eastAsia="Times New Roman" w:hAnsi="Aptos Narrow" w:cs="Times New Roman"/>
                <w:color w:val="000000"/>
                <w:kern w:val="0"/>
                <w:sz w:val="22"/>
                <w:szCs w:val="22"/>
                <w:lang w:bidi="th-TH"/>
                <w14:ligatures w14:val="none"/>
              </w:rPr>
              <w:t>CoDe</w:t>
            </w:r>
            <w:proofErr w:type="spellEnd"/>
            <w:r w:rsidRPr="006A7FBD">
              <w:rPr>
                <w:rFonts w:ascii="Aptos Narrow" w:eastAsia="Times New Roman" w:hAnsi="Aptos Narrow" w:cs="Times New Roman"/>
                <w:color w:val="000000"/>
                <w:kern w:val="0"/>
                <w:sz w:val="22"/>
                <w:szCs w:val="22"/>
                <w:lang w:bidi="th-TH"/>
                <w14:ligatures w14:val="none"/>
              </w:rPr>
              <w:t>-STH cluster-</w:t>
            </w:r>
            <w:proofErr w:type="spellStart"/>
            <w:r w:rsidRPr="006A7FBD">
              <w:rPr>
                <w:rFonts w:ascii="Aptos Narrow" w:eastAsia="Times New Roman" w:hAnsi="Aptos Narrow" w:cs="Times New Roman"/>
                <w:color w:val="000000"/>
                <w:kern w:val="0"/>
                <w:sz w:val="22"/>
                <w:szCs w:val="22"/>
                <w:lang w:bidi="th-TH"/>
                <w14:ligatures w14:val="none"/>
              </w:rPr>
              <w:t>randomised</w:t>
            </w:r>
            <w:proofErr w:type="spellEnd"/>
            <w:r w:rsidRPr="006A7FBD">
              <w:rPr>
                <w:rFonts w:ascii="Aptos Narrow" w:eastAsia="Times New Roman" w:hAnsi="Aptos Narrow" w:cs="Times New Roman"/>
                <w:color w:val="000000"/>
                <w:kern w:val="0"/>
                <w:sz w:val="22"/>
                <w:szCs w:val="22"/>
                <w:lang w:bidi="th-TH"/>
                <w14:ligatures w14:val="none"/>
              </w:rPr>
              <w:t xml:space="preserve"> controlled trial</w:t>
            </w:r>
          </w:p>
        </w:tc>
      </w:tr>
      <w:tr w:rsidR="006A7FBD" w:rsidRPr="006A7FBD" w14:paraId="24D39FAF" w14:textId="77777777" w:rsidTr="00CD7B55">
        <w:trPr>
          <w:trHeight w:val="576"/>
        </w:trPr>
        <w:tc>
          <w:tcPr>
            <w:tcW w:w="907" w:type="dxa"/>
            <w:shd w:val="clear" w:color="auto" w:fill="auto"/>
            <w:noWrap/>
            <w:vAlign w:val="center"/>
            <w:hideMark/>
          </w:tcPr>
          <w:p w14:paraId="4269D3D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lastRenderedPageBreak/>
              <w:t>ST26</w:t>
            </w:r>
          </w:p>
        </w:tc>
        <w:tc>
          <w:tcPr>
            <w:tcW w:w="2088" w:type="dxa"/>
            <w:shd w:val="clear" w:color="auto" w:fill="auto"/>
            <w:noWrap/>
            <w:vAlign w:val="center"/>
            <w:hideMark/>
          </w:tcPr>
          <w:p w14:paraId="70F1674D"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proofErr w:type="spellStart"/>
            <w:r w:rsidRPr="006A7FBD">
              <w:rPr>
                <w:rFonts w:ascii="Aptos Narrow" w:eastAsia="Times New Roman" w:hAnsi="Aptos Narrow" w:cs="Times New Roman"/>
                <w:color w:val="000000"/>
                <w:kern w:val="0"/>
                <w:sz w:val="22"/>
                <w:szCs w:val="22"/>
                <w:lang w:bidi="th-TH"/>
                <w14:ligatures w14:val="none"/>
              </w:rPr>
              <w:t>Welsche</w:t>
            </w:r>
            <w:proofErr w:type="spellEnd"/>
            <w:r w:rsidRPr="006A7FBD">
              <w:rPr>
                <w:rFonts w:ascii="Aptos Narrow" w:eastAsia="Times New Roman" w:hAnsi="Aptos Narrow" w:cs="Times New Roman"/>
                <w:color w:val="000000"/>
                <w:kern w:val="0"/>
                <w:sz w:val="22"/>
                <w:szCs w:val="22"/>
                <w:lang w:bidi="th-TH"/>
                <w14:ligatures w14:val="none"/>
              </w:rPr>
              <w:t xml:space="preserve"> et al.</w:t>
            </w:r>
          </w:p>
        </w:tc>
        <w:tc>
          <w:tcPr>
            <w:tcW w:w="1251" w:type="dxa"/>
            <w:shd w:val="clear" w:color="auto" w:fill="auto"/>
            <w:vAlign w:val="center"/>
            <w:hideMark/>
          </w:tcPr>
          <w:p w14:paraId="7814E0A4"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2024</w:t>
            </w:r>
          </w:p>
        </w:tc>
        <w:tc>
          <w:tcPr>
            <w:tcW w:w="1228" w:type="dxa"/>
            <w:shd w:val="clear" w:color="auto" w:fill="auto"/>
            <w:vAlign w:val="center"/>
            <w:hideMark/>
          </w:tcPr>
          <w:p w14:paraId="53FAF487"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Lao PDR</w:t>
            </w:r>
          </w:p>
        </w:tc>
        <w:tc>
          <w:tcPr>
            <w:tcW w:w="8303" w:type="dxa"/>
            <w:shd w:val="clear" w:color="auto" w:fill="auto"/>
            <w:vAlign w:val="center"/>
            <w:hideMark/>
          </w:tcPr>
          <w:p w14:paraId="5D83D01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Egg excretion patterns of soil-transmitted helminth infections in humans following albendazole-ivermectin and albendazole treatment</w:t>
            </w:r>
          </w:p>
        </w:tc>
      </w:tr>
      <w:tr w:rsidR="006A7FBD" w:rsidRPr="006A7FBD" w14:paraId="33C77C1C" w14:textId="77777777" w:rsidTr="00CD7B55">
        <w:trPr>
          <w:trHeight w:val="865"/>
        </w:trPr>
        <w:tc>
          <w:tcPr>
            <w:tcW w:w="907" w:type="dxa"/>
            <w:shd w:val="clear" w:color="auto" w:fill="auto"/>
            <w:noWrap/>
            <w:vAlign w:val="center"/>
            <w:hideMark/>
          </w:tcPr>
          <w:p w14:paraId="65A1CA6C"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ST27</w:t>
            </w:r>
          </w:p>
        </w:tc>
        <w:tc>
          <w:tcPr>
            <w:tcW w:w="2088" w:type="dxa"/>
            <w:shd w:val="clear" w:color="auto" w:fill="auto"/>
            <w:noWrap/>
            <w:vAlign w:val="center"/>
            <w:hideMark/>
          </w:tcPr>
          <w:p w14:paraId="0ADF86E0"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Nachaiwieng et al.</w:t>
            </w:r>
          </w:p>
        </w:tc>
        <w:tc>
          <w:tcPr>
            <w:tcW w:w="1251" w:type="dxa"/>
            <w:shd w:val="clear" w:color="auto" w:fill="auto"/>
            <w:vAlign w:val="center"/>
            <w:hideMark/>
          </w:tcPr>
          <w:p w14:paraId="3C45F998"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2024</w:t>
            </w:r>
          </w:p>
        </w:tc>
        <w:tc>
          <w:tcPr>
            <w:tcW w:w="1228" w:type="dxa"/>
            <w:shd w:val="clear" w:color="auto" w:fill="auto"/>
            <w:vAlign w:val="center"/>
            <w:hideMark/>
          </w:tcPr>
          <w:p w14:paraId="63851B3A"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Thailand</w:t>
            </w:r>
          </w:p>
        </w:tc>
        <w:tc>
          <w:tcPr>
            <w:tcW w:w="8303" w:type="dxa"/>
            <w:shd w:val="clear" w:color="auto" w:fill="auto"/>
            <w:vAlign w:val="center"/>
            <w:hideMark/>
          </w:tcPr>
          <w:p w14:paraId="04726634" w14:textId="77777777" w:rsidR="006A7FBD" w:rsidRPr="006A7FBD" w:rsidRDefault="006A7FBD" w:rsidP="001F63C6">
            <w:pPr>
              <w:spacing w:after="0" w:line="240" w:lineRule="auto"/>
              <w:jc w:val="center"/>
              <w:rPr>
                <w:rFonts w:ascii="Aptos Narrow" w:eastAsia="Times New Roman" w:hAnsi="Aptos Narrow" w:cs="Times New Roman"/>
                <w:color w:val="000000"/>
                <w:kern w:val="0"/>
                <w:sz w:val="22"/>
                <w:szCs w:val="22"/>
                <w:lang w:bidi="th-TH"/>
                <w14:ligatures w14:val="none"/>
              </w:rPr>
            </w:pPr>
            <w:r w:rsidRPr="006A7FBD">
              <w:rPr>
                <w:rFonts w:ascii="Aptos Narrow" w:eastAsia="Times New Roman" w:hAnsi="Aptos Narrow" w:cs="Times New Roman"/>
                <w:color w:val="000000"/>
                <w:kern w:val="0"/>
                <w:sz w:val="22"/>
                <w:szCs w:val="22"/>
                <w:lang w:bidi="th-TH"/>
                <w14:ligatures w14:val="none"/>
              </w:rPr>
              <w:t>The impact of an integrated intervention program combining drug therapy with water, sanitation, and hygiene (WASH) education on reinfection with intestinal parasitic infections among the Karen hill tribe in northern Thailand</w:t>
            </w:r>
          </w:p>
        </w:tc>
      </w:tr>
    </w:tbl>
    <w:p w14:paraId="385A5094" w14:textId="23B1B66D" w:rsidR="006A7FBD" w:rsidRDefault="006A7FBD" w:rsidP="001F63C6">
      <w:pPr>
        <w:spacing w:line="240" w:lineRule="auto"/>
      </w:pPr>
      <w:r>
        <w:br w:type="page"/>
      </w:r>
    </w:p>
    <w:p w14:paraId="73B033E2" w14:textId="71548205" w:rsidR="00A210D0" w:rsidRDefault="006A7FBD" w:rsidP="001F63C6">
      <w:pPr>
        <w:spacing w:line="240" w:lineRule="auto"/>
      </w:pPr>
      <w:r>
        <w:lastRenderedPageBreak/>
        <w:t xml:space="preserve">Supplementary Figure 1. </w:t>
      </w:r>
      <w:r w:rsidR="006A3465">
        <w:t>Results of the risk of bias assessment of studies classified as r</w:t>
      </w:r>
      <w:r>
        <w:t>andomized-controlled trials</w:t>
      </w:r>
      <w:r w:rsidR="006A3465">
        <w:t>.</w:t>
      </w:r>
    </w:p>
    <w:p w14:paraId="238FF05A" w14:textId="1CB1821E" w:rsidR="006A7FBD" w:rsidRDefault="006A7FBD" w:rsidP="001F63C6">
      <w:pPr>
        <w:spacing w:line="240" w:lineRule="auto"/>
      </w:pPr>
      <w:r w:rsidRPr="006A7FBD">
        <w:rPr>
          <w:noProof/>
        </w:rPr>
        <w:drawing>
          <wp:inline distT="0" distB="0" distL="0" distR="0" wp14:anchorId="13327D11" wp14:editId="5F34FC73">
            <wp:extent cx="8862060" cy="3340100"/>
            <wp:effectExtent l="0" t="0" r="0" b="0"/>
            <wp:docPr id="197296019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960197" name="Picture 1" descr="A screenshot of a computer&#10;&#10;AI-generated content may be incorrect."/>
                    <pic:cNvPicPr/>
                  </pic:nvPicPr>
                  <pic:blipFill rotWithShape="1">
                    <a:blip r:embed="rId8"/>
                    <a:srcRect t="389" b="634"/>
                    <a:stretch/>
                  </pic:blipFill>
                  <pic:spPr bwMode="auto">
                    <a:xfrm>
                      <a:off x="0" y="0"/>
                      <a:ext cx="8863332" cy="3340579"/>
                    </a:xfrm>
                    <a:prstGeom prst="rect">
                      <a:avLst/>
                    </a:prstGeom>
                    <a:ln>
                      <a:noFill/>
                    </a:ln>
                    <a:extLst>
                      <a:ext uri="{53640926-AAD7-44D8-BBD7-CCE9431645EC}">
                        <a14:shadowObscured xmlns:a14="http://schemas.microsoft.com/office/drawing/2010/main"/>
                      </a:ext>
                    </a:extLst>
                  </pic:spPr>
                </pic:pic>
              </a:graphicData>
            </a:graphic>
          </wp:inline>
        </w:drawing>
      </w:r>
      <w:r>
        <w:br w:type="page"/>
      </w:r>
    </w:p>
    <w:p w14:paraId="60D972E4" w14:textId="047C333D" w:rsidR="006A7FBD" w:rsidRDefault="00F65CE7" w:rsidP="001F63C6">
      <w:pPr>
        <w:spacing w:line="240" w:lineRule="auto"/>
      </w:pPr>
      <w:r w:rsidRPr="006A7FBD">
        <w:rPr>
          <w:noProof/>
        </w:rPr>
        <w:lastRenderedPageBreak/>
        <w:drawing>
          <wp:anchor distT="0" distB="0" distL="114300" distR="114300" simplePos="0" relativeHeight="251658240" behindDoc="0" locked="0" layoutInCell="1" allowOverlap="1" wp14:anchorId="6B70434B" wp14:editId="2485B718">
            <wp:simplePos x="0" y="0"/>
            <wp:positionH relativeFrom="margin">
              <wp:align>right</wp:align>
            </wp:positionH>
            <wp:positionV relativeFrom="paragraph">
              <wp:posOffset>320040</wp:posOffset>
            </wp:positionV>
            <wp:extent cx="8863330" cy="1562100"/>
            <wp:effectExtent l="0" t="0" r="0" b="0"/>
            <wp:wrapThrough wrapText="bothSides">
              <wp:wrapPolygon edited="0">
                <wp:start x="0" y="0"/>
                <wp:lineTo x="0" y="21337"/>
                <wp:lineTo x="21541" y="21337"/>
                <wp:lineTo x="21541" y="0"/>
                <wp:lineTo x="0" y="0"/>
              </wp:wrapPolygon>
            </wp:wrapThrough>
            <wp:docPr id="74648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48768" name=""/>
                    <pic:cNvPicPr/>
                  </pic:nvPicPr>
                  <pic:blipFill rotWithShape="1">
                    <a:blip r:embed="rId9">
                      <a:extLst>
                        <a:ext uri="{28A0092B-C50C-407E-A947-70E740481C1C}">
                          <a14:useLocalDpi xmlns:a14="http://schemas.microsoft.com/office/drawing/2010/main" val="0"/>
                        </a:ext>
                      </a:extLst>
                    </a:blip>
                    <a:srcRect l="379"/>
                    <a:stretch/>
                  </pic:blipFill>
                  <pic:spPr bwMode="auto">
                    <a:xfrm>
                      <a:off x="0" y="0"/>
                      <a:ext cx="8863330" cy="1562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7FBD">
        <w:t xml:space="preserve">Supplementary Figure 2. </w:t>
      </w:r>
      <w:r w:rsidR="006A3465">
        <w:t>Results of the risk of bias assessment of studies classified as a</w:t>
      </w:r>
      <w:r w:rsidR="006A7FBD">
        <w:t>nalytical cross-sectional studies.</w:t>
      </w:r>
    </w:p>
    <w:p w14:paraId="7C7DC2C6" w14:textId="7B7CF97D" w:rsidR="00F65CE7" w:rsidRDefault="00F65CE7" w:rsidP="00F65CE7">
      <w:pPr>
        <w:spacing w:line="240" w:lineRule="auto"/>
      </w:pPr>
    </w:p>
    <w:p w14:paraId="2F8A3AE8" w14:textId="77777777" w:rsidR="00F65CE7" w:rsidRDefault="00F65CE7" w:rsidP="00F65CE7">
      <w:pPr>
        <w:spacing w:line="240" w:lineRule="auto"/>
      </w:pPr>
    </w:p>
    <w:p w14:paraId="0D2DC7AE" w14:textId="493E7791" w:rsidR="00F65CE7" w:rsidRDefault="00F65CE7" w:rsidP="00F65CE7">
      <w:pPr>
        <w:spacing w:line="240" w:lineRule="auto"/>
      </w:pPr>
      <w:r>
        <w:t>Supplementary Figure 3. Results of the risk of bias assessment of studies classified as quasi-experimental studies</w:t>
      </w:r>
    </w:p>
    <w:p w14:paraId="74163040" w14:textId="729BA1BD" w:rsidR="000125AB" w:rsidRDefault="00F65CE7" w:rsidP="001F63C6">
      <w:pPr>
        <w:spacing w:line="240" w:lineRule="auto"/>
        <w:sectPr w:rsidR="000125AB" w:rsidSect="000125AB">
          <w:type w:val="continuous"/>
          <w:pgSz w:w="16838" w:h="11906" w:orient="landscape" w:code="9"/>
          <w:pgMar w:top="1440" w:right="1440" w:bottom="1440" w:left="1440" w:header="720" w:footer="720" w:gutter="0"/>
          <w:cols w:space="720"/>
          <w:docGrid w:linePitch="360"/>
        </w:sectPr>
      </w:pPr>
      <w:r w:rsidRPr="006A7FBD">
        <w:rPr>
          <w:noProof/>
        </w:rPr>
        <w:drawing>
          <wp:inline distT="0" distB="0" distL="0" distR="0" wp14:anchorId="5A715C98" wp14:editId="3DB4937C">
            <wp:extent cx="8863330" cy="2706370"/>
            <wp:effectExtent l="0" t="0" r="0" b="0"/>
            <wp:docPr id="73854937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49378" name="Picture 1" descr="A screenshot of a computer&#10;&#10;AI-generated content may be incorrect."/>
                    <pic:cNvPicPr/>
                  </pic:nvPicPr>
                  <pic:blipFill>
                    <a:blip r:embed="rId10"/>
                    <a:stretch>
                      <a:fillRect/>
                    </a:stretch>
                  </pic:blipFill>
                  <pic:spPr>
                    <a:xfrm>
                      <a:off x="0" y="0"/>
                      <a:ext cx="8863330" cy="2706370"/>
                    </a:xfrm>
                    <a:prstGeom prst="rect">
                      <a:avLst/>
                    </a:prstGeom>
                  </pic:spPr>
                </pic:pic>
              </a:graphicData>
            </a:graphic>
          </wp:inline>
        </w:drawing>
      </w:r>
    </w:p>
    <w:p w14:paraId="1B7C8DB2" w14:textId="77777777" w:rsidR="000125AB" w:rsidRPr="000A2F21" w:rsidRDefault="000125AB" w:rsidP="000125AB">
      <w:pPr>
        <w:pStyle w:val="Default"/>
        <w:jc w:val="both"/>
        <w:rPr>
          <w:rFonts w:ascii="Arial" w:hAnsi="Arial" w:cs="Arial"/>
          <w:color w:val="auto"/>
          <w:sz w:val="16"/>
          <w:szCs w:val="16"/>
          <w:lang w:val="da-DK"/>
        </w:rPr>
      </w:pPr>
    </w:p>
    <w:sectPr w:rsidR="000125AB" w:rsidRPr="000A2F21" w:rsidSect="000125AB">
      <w:headerReference w:type="default" r:id="rId11"/>
      <w:type w:val="continuous"/>
      <w:pgSz w:w="16838" w:h="11906" w:orient="landscape" w:code="9"/>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F8E36" w14:textId="77777777" w:rsidR="00964BDD" w:rsidRDefault="00964BDD">
      <w:pPr>
        <w:spacing w:after="0" w:line="240" w:lineRule="auto"/>
      </w:pPr>
      <w:r>
        <w:separator/>
      </w:r>
    </w:p>
  </w:endnote>
  <w:endnote w:type="continuationSeparator" w:id="0">
    <w:p w14:paraId="3436E7A6" w14:textId="77777777" w:rsidR="00964BDD" w:rsidRDefault="00964B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Lucida Sans">
    <w:panose1 w:val="020B060203050409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E6BF1" w14:textId="77777777" w:rsidR="00964BDD" w:rsidRDefault="00964BDD">
      <w:pPr>
        <w:spacing w:after="0" w:line="240" w:lineRule="auto"/>
      </w:pPr>
      <w:r>
        <w:separator/>
      </w:r>
    </w:p>
  </w:footnote>
  <w:footnote w:type="continuationSeparator" w:id="0">
    <w:p w14:paraId="3BAF88D7" w14:textId="77777777" w:rsidR="00964BDD" w:rsidRDefault="00964B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28C6C" w14:textId="5BBE9AE9" w:rsidR="00F32156" w:rsidRPr="00930A31" w:rsidRDefault="00F32156" w:rsidP="000125AB">
    <w:pPr>
      <w:pStyle w:val="CM2"/>
      <w:jc w:val="both"/>
      <w:rPr>
        <w:rFonts w:ascii="Lucida Sans" w:hAnsi="Lucida San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B3653"/>
    <w:multiLevelType w:val="hybridMultilevel"/>
    <w:tmpl w:val="382AFBCA"/>
    <w:lvl w:ilvl="0" w:tplc="33A4698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97057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FBD"/>
    <w:rsid w:val="00011E07"/>
    <w:rsid w:val="000125AB"/>
    <w:rsid w:val="00022A14"/>
    <w:rsid w:val="000616DD"/>
    <w:rsid w:val="000A2F21"/>
    <w:rsid w:val="00101AD6"/>
    <w:rsid w:val="001977E6"/>
    <w:rsid w:val="001F63C6"/>
    <w:rsid w:val="002711BB"/>
    <w:rsid w:val="003D203C"/>
    <w:rsid w:val="00415EE7"/>
    <w:rsid w:val="00447601"/>
    <w:rsid w:val="00526A65"/>
    <w:rsid w:val="00661146"/>
    <w:rsid w:val="00664042"/>
    <w:rsid w:val="00690BB6"/>
    <w:rsid w:val="006A3465"/>
    <w:rsid w:val="006A7FBD"/>
    <w:rsid w:val="00923A8E"/>
    <w:rsid w:val="00923EDC"/>
    <w:rsid w:val="00964BDD"/>
    <w:rsid w:val="0099116D"/>
    <w:rsid w:val="00A210D0"/>
    <w:rsid w:val="00AC156F"/>
    <w:rsid w:val="00B66372"/>
    <w:rsid w:val="00BB35F2"/>
    <w:rsid w:val="00BC4823"/>
    <w:rsid w:val="00C031E7"/>
    <w:rsid w:val="00C642E7"/>
    <w:rsid w:val="00F32156"/>
    <w:rsid w:val="00F65CE7"/>
    <w:rsid w:val="00F70E1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9C281D"/>
  <w15:chartTrackingRefBased/>
  <w15:docId w15:val="{B0A6C274-04F2-4F4E-8164-C846E4601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A2F21"/>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 w:type="paragraph" w:customStyle="1" w:styleId="CM2">
    <w:name w:val="CM2"/>
    <w:basedOn w:val="Default"/>
    <w:next w:val="Default"/>
    <w:rsid w:val="000A2F21"/>
    <w:pPr>
      <w:spacing w:after="373"/>
    </w:pPr>
    <w:rPr>
      <w:rFonts w:cs="Times New Roman"/>
      <w:color w:val="auto"/>
    </w:rPr>
  </w:style>
  <w:style w:type="character" w:styleId="Hyperlink">
    <w:name w:val="Hyperlink"/>
    <w:rsid w:val="000A2F21"/>
    <w:rPr>
      <w:color w:val="0563C1"/>
      <w:u w:val="single"/>
    </w:rPr>
  </w:style>
  <w:style w:type="table" w:styleId="TableGrid">
    <w:name w:val="Table Grid"/>
    <w:basedOn w:val="TableNormal"/>
    <w:uiPriority w:val="39"/>
    <w:rsid w:val="001F63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26A65"/>
    <w:pPr>
      <w:spacing w:after="0" w:line="240" w:lineRule="auto"/>
    </w:pPr>
  </w:style>
  <w:style w:type="paragraph" w:styleId="Header">
    <w:name w:val="header"/>
    <w:basedOn w:val="Normal"/>
    <w:link w:val="HeaderChar"/>
    <w:uiPriority w:val="99"/>
    <w:unhideWhenUsed/>
    <w:rsid w:val="000125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25AB"/>
  </w:style>
  <w:style w:type="paragraph" w:styleId="Footer">
    <w:name w:val="footer"/>
    <w:basedOn w:val="Normal"/>
    <w:link w:val="FooterChar"/>
    <w:uiPriority w:val="99"/>
    <w:unhideWhenUsed/>
    <w:rsid w:val="000125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25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14735">
      <w:bodyDiv w:val="1"/>
      <w:marLeft w:val="0"/>
      <w:marRight w:val="0"/>
      <w:marTop w:val="0"/>
      <w:marBottom w:val="0"/>
      <w:divBdr>
        <w:top w:val="none" w:sz="0" w:space="0" w:color="auto"/>
        <w:left w:val="none" w:sz="0" w:space="0" w:color="auto"/>
        <w:bottom w:val="none" w:sz="0" w:space="0" w:color="auto"/>
        <w:right w:val="none" w:sz="0" w:space="0" w:color="auto"/>
      </w:divBdr>
    </w:div>
    <w:div w:id="28095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12E716-8EE8-4B49-9DFF-4608E08FB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8</Pages>
  <Words>1142</Words>
  <Characters>7012</Characters>
  <Application>Microsoft Office Word</Application>
  <DocSecurity>0</DocSecurity>
  <Lines>263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clyden bullag Tenorio</dc:creator>
  <cp:keywords/>
  <dc:description/>
  <cp:lastModifiedBy>Jan clyden bullag Tenorio</cp:lastModifiedBy>
  <cp:revision>12</cp:revision>
  <dcterms:created xsi:type="dcterms:W3CDTF">2025-03-08T16:36:00Z</dcterms:created>
  <dcterms:modified xsi:type="dcterms:W3CDTF">2025-07-04T13:30:00Z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712ea586-8065-4a7c-85fa-31d83e86880b</vt:lpwstr>
  </property>
</Properties>
</file>