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1AB40A" w14:textId="64521BCB" w:rsidR="00157E75" w:rsidRPr="002D7799" w:rsidRDefault="00157E75" w:rsidP="00157E75">
      <w:pPr>
        <w:pStyle w:val="EndNoteBibliography"/>
        <w:rPr>
          <w:rFonts w:ascii="Times New Roman" w:hAnsi="Times New Roman" w:cs="Times New Roman"/>
          <w:sz w:val="21"/>
          <w:szCs w:val="21"/>
        </w:rPr>
      </w:pPr>
      <w:r w:rsidRPr="002D7799">
        <w:rPr>
          <w:rFonts w:ascii="Times New Roman" w:hAnsi="Times New Roman" w:cs="Times New Roman"/>
          <w:sz w:val="24"/>
          <w:szCs w:val="24"/>
        </w:rPr>
        <w:fldChar w:fldCharType="begin"/>
      </w:r>
      <w:r w:rsidRPr="002D7799">
        <w:rPr>
          <w:rFonts w:ascii="Times New Roman" w:hAnsi="Times New Roman" w:cs="Times New Roman"/>
          <w:sz w:val="24"/>
          <w:szCs w:val="24"/>
        </w:rPr>
        <w:instrText xml:space="preserve"> ADDIN EN.REFLIST </w:instrText>
      </w:r>
      <w:r w:rsidRPr="002D7799">
        <w:rPr>
          <w:rFonts w:ascii="Times New Roman" w:hAnsi="Times New Roman" w:cs="Times New Roman"/>
          <w:sz w:val="24"/>
          <w:szCs w:val="24"/>
        </w:rPr>
        <w:fldChar w:fldCharType="separate"/>
      </w:r>
    </w:p>
    <w:p w14:paraId="1B798EDE" w14:textId="77777777" w:rsidR="00157E75" w:rsidRPr="002D7799" w:rsidRDefault="00157E75" w:rsidP="00157E75">
      <w:pPr>
        <w:pStyle w:val="EndNoteBibliography"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D7799">
        <w:rPr>
          <w:rFonts w:ascii="Times New Roman" w:hAnsi="Times New Roman" w:cs="Times New Roman" w:hint="eastAsia"/>
          <w:b/>
          <w:bCs/>
          <w:sz w:val="24"/>
          <w:szCs w:val="24"/>
        </w:rPr>
        <w:t>Supplemental</w:t>
      </w:r>
      <w:r w:rsidRPr="002D779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D7799">
        <w:rPr>
          <w:rFonts w:ascii="Times New Roman" w:hAnsi="Times New Roman" w:cs="Times New Roman" w:hint="eastAsia"/>
          <w:b/>
          <w:bCs/>
          <w:sz w:val="24"/>
          <w:szCs w:val="24"/>
        </w:rPr>
        <w:t>material</w:t>
      </w:r>
    </w:p>
    <w:p w14:paraId="216AAD13" w14:textId="77777777" w:rsidR="00157E75" w:rsidRPr="002D7799" w:rsidRDefault="00157E75" w:rsidP="00157E75">
      <w:pPr>
        <w:pStyle w:val="EndNoteBibliography"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D7799">
        <w:rPr>
          <w:rFonts w:ascii="Times New Roman" w:hAnsi="Times New Roman" w:cs="Times New Roman" w:hint="eastAsia"/>
          <w:b/>
          <w:bCs/>
          <w:sz w:val="24"/>
          <w:szCs w:val="24"/>
        </w:rPr>
        <w:t>Figure</w:t>
      </w:r>
      <w:r w:rsidRPr="002D779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D7799"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 w:rsidRPr="002D7799">
        <w:rPr>
          <w:rFonts w:ascii="Times New Roman" w:hAnsi="Times New Roman" w:cs="Times New Roman"/>
          <w:b/>
          <w:bCs/>
          <w:sz w:val="24"/>
          <w:szCs w:val="24"/>
        </w:rPr>
        <w:t xml:space="preserve">1. </w:t>
      </w:r>
      <w:r w:rsidRPr="002D7799">
        <w:rPr>
          <w:rFonts w:ascii="Times New Roman" w:hAnsi="Times New Roman" w:cs="Times New Roman"/>
          <w:sz w:val="24"/>
          <w:szCs w:val="24"/>
        </w:rPr>
        <w:t>The surface morphology and elemental composition of ZnO-NPs were determined by scanning electron microscope (SEM-EDX).</w:t>
      </w:r>
    </w:p>
    <w:p w14:paraId="147E6C46" w14:textId="77777777" w:rsidR="00157E75" w:rsidRPr="002D7799" w:rsidRDefault="00157E75" w:rsidP="00157E75">
      <w:pPr>
        <w:pStyle w:val="EndNoteBibliography"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D7799">
        <w:rPr>
          <w:rFonts w:ascii="Times New Roman" w:hAnsi="Times New Roman" w:cs="Times New Roman"/>
          <w:b/>
          <w:bCs/>
          <w:sz w:val="24"/>
          <w:szCs w:val="24"/>
        </w:rPr>
        <w:t xml:space="preserve">Figure S2. </w:t>
      </w:r>
      <w:r w:rsidRPr="002D7799">
        <w:rPr>
          <w:rFonts w:ascii="Times New Roman" w:hAnsi="Times New Roman" w:cs="Times New Roman" w:hint="eastAsia"/>
          <w:sz w:val="24"/>
          <w:szCs w:val="24"/>
        </w:rPr>
        <w:t>Potting</w:t>
      </w:r>
      <w:r w:rsidRPr="002D7799">
        <w:rPr>
          <w:rFonts w:ascii="Times New Roman" w:hAnsi="Times New Roman" w:cs="Times New Roman"/>
          <w:sz w:val="24"/>
          <w:szCs w:val="24"/>
        </w:rPr>
        <w:t xml:space="preserve"> </w:t>
      </w:r>
      <w:r w:rsidRPr="002D7799">
        <w:rPr>
          <w:rFonts w:ascii="Times New Roman" w:hAnsi="Times New Roman" w:cs="Times New Roman" w:hint="eastAsia"/>
          <w:sz w:val="24"/>
          <w:szCs w:val="24"/>
        </w:rPr>
        <w:t>experimental</w:t>
      </w:r>
      <w:r w:rsidRPr="002D7799">
        <w:rPr>
          <w:rFonts w:ascii="Times New Roman" w:hAnsi="Times New Roman" w:cs="Times New Roman"/>
          <w:sz w:val="24"/>
          <w:szCs w:val="24"/>
        </w:rPr>
        <w:t xml:space="preserve"> </w:t>
      </w:r>
      <w:r w:rsidRPr="002D7799">
        <w:rPr>
          <w:rFonts w:ascii="Times New Roman" w:hAnsi="Times New Roman" w:cs="Times New Roman" w:hint="eastAsia"/>
          <w:sz w:val="24"/>
          <w:szCs w:val="24"/>
        </w:rPr>
        <w:t>treatment</w:t>
      </w:r>
      <w:r w:rsidRPr="002D7799">
        <w:rPr>
          <w:rFonts w:ascii="Times New Roman" w:hAnsi="Times New Roman" w:cs="Times New Roman"/>
          <w:sz w:val="24"/>
          <w:szCs w:val="24"/>
        </w:rPr>
        <w:t xml:space="preserve"> </w:t>
      </w:r>
      <w:r w:rsidRPr="002D7799">
        <w:rPr>
          <w:rFonts w:ascii="Times New Roman" w:hAnsi="Times New Roman" w:cs="Times New Roman" w:hint="eastAsia"/>
          <w:sz w:val="24"/>
          <w:szCs w:val="24"/>
        </w:rPr>
        <w:t>site.</w:t>
      </w:r>
    </w:p>
    <w:p w14:paraId="510C8003" w14:textId="77777777" w:rsidR="00157E75" w:rsidRPr="002D7799" w:rsidRDefault="00157E75" w:rsidP="00157E75">
      <w:pPr>
        <w:pStyle w:val="EndNoteBibliography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D7799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2D7799">
        <w:rPr>
          <w:rFonts w:ascii="Times New Roman" w:hAnsi="Times New Roman" w:cs="Times New Roman"/>
          <w:b/>
          <w:bCs/>
          <w:sz w:val="24"/>
          <w:szCs w:val="24"/>
        </w:rPr>
        <w:t xml:space="preserve">igure S3. </w:t>
      </w:r>
      <w:r w:rsidRPr="002D7799">
        <w:rPr>
          <w:rFonts w:ascii="Times New Roman" w:hAnsi="Times New Roman" w:cs="Times New Roman"/>
          <w:sz w:val="24"/>
          <w:szCs w:val="24"/>
        </w:rPr>
        <w:t>Effects of ZnO-NPs on vanadium (V) accumulation in grain (</w:t>
      </w:r>
      <w:r w:rsidRPr="002D7799">
        <w:rPr>
          <w:rFonts w:ascii="Times New Roman" w:hAnsi="Times New Roman" w:cs="Times New Roman" w:hint="eastAsia"/>
          <w:sz w:val="24"/>
          <w:szCs w:val="24"/>
        </w:rPr>
        <w:t>a</w:t>
      </w:r>
      <w:r w:rsidRPr="002D7799">
        <w:rPr>
          <w:rFonts w:ascii="Times New Roman" w:hAnsi="Times New Roman" w:cs="Times New Roman"/>
          <w:sz w:val="24"/>
          <w:szCs w:val="24"/>
        </w:rPr>
        <w:t>), glume (</w:t>
      </w:r>
      <w:r w:rsidRPr="002D7799">
        <w:rPr>
          <w:rFonts w:ascii="Times New Roman" w:hAnsi="Times New Roman" w:cs="Times New Roman" w:hint="eastAsia"/>
          <w:sz w:val="24"/>
          <w:szCs w:val="24"/>
        </w:rPr>
        <w:t>b</w:t>
      </w:r>
      <w:r w:rsidRPr="002D7799">
        <w:rPr>
          <w:rFonts w:ascii="Times New Roman" w:hAnsi="Times New Roman" w:cs="Times New Roman"/>
          <w:sz w:val="24"/>
          <w:szCs w:val="24"/>
        </w:rPr>
        <w:t>), stem (</w:t>
      </w:r>
      <w:r w:rsidRPr="002D7799">
        <w:rPr>
          <w:rFonts w:ascii="Times New Roman" w:hAnsi="Times New Roman" w:cs="Times New Roman" w:hint="eastAsia"/>
          <w:sz w:val="24"/>
          <w:szCs w:val="24"/>
        </w:rPr>
        <w:t>c</w:t>
      </w:r>
      <w:r w:rsidRPr="002D7799">
        <w:rPr>
          <w:rFonts w:ascii="Times New Roman" w:hAnsi="Times New Roman" w:cs="Times New Roman"/>
          <w:sz w:val="24"/>
          <w:szCs w:val="24"/>
        </w:rPr>
        <w:t>), leaf (</w:t>
      </w:r>
      <w:r w:rsidRPr="002D7799">
        <w:rPr>
          <w:rFonts w:ascii="Times New Roman" w:hAnsi="Times New Roman" w:cs="Times New Roman" w:hint="eastAsia"/>
          <w:sz w:val="24"/>
          <w:szCs w:val="24"/>
        </w:rPr>
        <w:t>d</w:t>
      </w:r>
      <w:r w:rsidRPr="002D7799">
        <w:rPr>
          <w:rFonts w:ascii="Times New Roman" w:hAnsi="Times New Roman" w:cs="Times New Roman"/>
          <w:sz w:val="24"/>
          <w:szCs w:val="24"/>
        </w:rPr>
        <w:t>), root (</w:t>
      </w:r>
      <w:r w:rsidRPr="002D7799">
        <w:rPr>
          <w:rFonts w:ascii="Times New Roman" w:hAnsi="Times New Roman" w:cs="Times New Roman" w:hint="eastAsia"/>
          <w:sz w:val="24"/>
          <w:szCs w:val="24"/>
        </w:rPr>
        <w:t>e</w:t>
      </w:r>
      <w:r w:rsidRPr="002D7799">
        <w:rPr>
          <w:rFonts w:ascii="Times New Roman" w:hAnsi="Times New Roman" w:cs="Times New Roman"/>
          <w:sz w:val="24"/>
          <w:szCs w:val="24"/>
        </w:rPr>
        <w:t xml:space="preserve">), at the mature stage. Values shown are mean ± standard error (n = </w:t>
      </w:r>
      <w:r w:rsidRPr="002D7799">
        <w:rPr>
          <w:rFonts w:ascii="Times New Roman" w:hAnsi="Times New Roman" w:cs="Times New Roman" w:hint="eastAsia"/>
          <w:sz w:val="24"/>
          <w:szCs w:val="24"/>
        </w:rPr>
        <w:t>5</w:t>
      </w:r>
      <w:r w:rsidRPr="002D7799">
        <w:rPr>
          <w:rFonts w:ascii="Times New Roman" w:hAnsi="Times New Roman" w:cs="Times New Roman"/>
          <w:sz w:val="24"/>
          <w:szCs w:val="24"/>
        </w:rPr>
        <w:t>). Different lowercase letters in each column indicate significant differences (</w:t>
      </w:r>
      <w:r w:rsidRPr="002D7799">
        <w:rPr>
          <w:rFonts w:ascii="Times New Roman" w:hAnsi="Times New Roman" w:cs="Times New Roman"/>
          <w:i/>
          <w:iCs/>
          <w:sz w:val="24"/>
          <w:szCs w:val="24"/>
        </w:rPr>
        <w:t xml:space="preserve">P </w:t>
      </w:r>
      <w:r w:rsidRPr="002D7799">
        <w:rPr>
          <w:rFonts w:ascii="Times New Roman" w:hAnsi="Times New Roman" w:cs="Times New Roman"/>
          <w:sz w:val="24"/>
          <w:szCs w:val="24"/>
        </w:rPr>
        <w:t>&lt; 0.01) among all treatments based on one-way ANO</w:t>
      </w:r>
      <w:r w:rsidRPr="002D7799">
        <w:rPr>
          <w:rFonts w:ascii="Times New Roman" w:hAnsi="Times New Roman" w:cs="Times New Roman" w:hint="eastAsia"/>
          <w:sz w:val="24"/>
          <w:szCs w:val="24"/>
        </w:rPr>
        <w:t>V</w:t>
      </w:r>
      <w:r w:rsidRPr="002D7799">
        <w:rPr>
          <w:rFonts w:ascii="Times New Roman" w:hAnsi="Times New Roman" w:cs="Times New Roman"/>
          <w:sz w:val="24"/>
          <w:szCs w:val="24"/>
        </w:rPr>
        <w:t xml:space="preserve">A followed by Tukey’s </w:t>
      </w:r>
      <w:r w:rsidRPr="002D7799">
        <w:rPr>
          <w:rFonts w:ascii="Times New Roman" w:hAnsi="Times New Roman" w:cs="Times New Roman" w:hint="eastAsia"/>
          <w:sz w:val="24"/>
          <w:szCs w:val="24"/>
        </w:rPr>
        <w:t>HSD</w:t>
      </w:r>
      <w:r w:rsidRPr="002D7799">
        <w:rPr>
          <w:rFonts w:ascii="Times New Roman" w:hAnsi="Times New Roman" w:cs="Times New Roman"/>
          <w:sz w:val="24"/>
          <w:szCs w:val="24"/>
        </w:rPr>
        <w:t>-test.</w:t>
      </w:r>
    </w:p>
    <w:p w14:paraId="6797D0F9" w14:textId="77777777" w:rsidR="00157E75" w:rsidRPr="002D7799" w:rsidRDefault="00157E75" w:rsidP="00157E75">
      <w:pPr>
        <w:pStyle w:val="EndNoteBibliography"/>
        <w:spacing w:line="360" w:lineRule="auto"/>
        <w:rPr>
          <w:rFonts w:ascii="Times New Roman" w:hAnsi="Times New Roman" w:cs="Times New Roman"/>
          <w:b/>
          <w:bCs/>
          <w:sz w:val="21"/>
          <w:szCs w:val="21"/>
        </w:rPr>
      </w:pPr>
      <w:r w:rsidRPr="002D7799">
        <w:rPr>
          <w:rFonts w:ascii="Times New Roman" w:hAnsi="Times New Roman" w:cs="Times New Roman" w:hint="eastAsia"/>
          <w:b/>
          <w:bCs/>
          <w:sz w:val="24"/>
          <w:szCs w:val="24"/>
        </w:rPr>
        <w:t>Figure S4.</w:t>
      </w:r>
      <w:r w:rsidRPr="002D779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D7799">
        <w:rPr>
          <w:rFonts w:ascii="Times New Roman" w:hAnsi="Times New Roman" w:cs="Times New Roman"/>
          <w:sz w:val="24"/>
          <w:szCs w:val="24"/>
        </w:rPr>
        <w:t xml:space="preserve">Correlation heat map of amino acid content and plant properties. A pairwise comparison of phytochemical parameters was displayed with a color gradient denoting Spearman's correlation coefficients. * Correlation is significant at </w:t>
      </w:r>
      <w:r w:rsidRPr="002D7799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2D7799">
        <w:rPr>
          <w:rFonts w:ascii="Times New Roman" w:hAnsi="Times New Roman" w:cs="Times New Roman"/>
          <w:sz w:val="24"/>
          <w:szCs w:val="24"/>
        </w:rPr>
        <w:t xml:space="preserve"> &lt; 0.05 (two-tailed).</w:t>
      </w:r>
      <w:r w:rsidRPr="002D7799">
        <w:rPr>
          <w:rFonts w:ascii="Times New Roman" w:hAnsi="Times New Roman" w:cs="Times New Roman"/>
          <w:b/>
          <w:bCs/>
          <w:sz w:val="21"/>
          <w:szCs w:val="21"/>
        </w:rPr>
        <w:br w:type="page"/>
      </w:r>
    </w:p>
    <w:p w14:paraId="4638D126" w14:textId="77777777" w:rsidR="00157E75" w:rsidRPr="002D7799" w:rsidRDefault="00157E75" w:rsidP="00157E75">
      <w:pPr>
        <w:pStyle w:val="EndNoteBibliography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D7799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540F11F" wp14:editId="676F1D68">
            <wp:extent cx="5274310" cy="3799840"/>
            <wp:effectExtent l="0" t="0" r="2540" b="0"/>
            <wp:docPr id="623546055" name="图片 3">
              <a:extLst xmlns:a="http://schemas.openxmlformats.org/drawingml/2006/main">
                <a:ext uri="{FF2B5EF4-FFF2-40B4-BE49-F238E27FC236}">
                  <a16:creationId xmlns:a16="http://schemas.microsoft.com/office/drawing/2014/main" id="{CAC00BE0-E1CC-56F0-2ABF-1D0B1F9F0AD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>
                      <a:extLst>
                        <a:ext uri="{FF2B5EF4-FFF2-40B4-BE49-F238E27FC236}">
                          <a16:creationId xmlns:a16="http://schemas.microsoft.com/office/drawing/2014/main" id="{CAC00BE0-E1CC-56F0-2ABF-1D0B1F9F0AD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4"/>
                    <a:srcRect l="1279"/>
                    <a:stretch/>
                  </pic:blipFill>
                  <pic:spPr>
                    <a:xfrm>
                      <a:off x="0" y="0"/>
                      <a:ext cx="5274310" cy="3799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BC7FD7" w14:textId="77777777" w:rsidR="00157E75" w:rsidRPr="002D7799" w:rsidRDefault="00157E75" w:rsidP="00157E75">
      <w:pPr>
        <w:pStyle w:val="EndNoteBibliography"/>
        <w:rPr>
          <w:rFonts w:ascii="Times New Roman" w:hAnsi="Times New Roman" w:cs="Times New Roman"/>
          <w:sz w:val="24"/>
          <w:szCs w:val="24"/>
        </w:rPr>
      </w:pPr>
      <w:r w:rsidRPr="002D7799">
        <w:rPr>
          <w:rFonts w:ascii="Times New Roman" w:hAnsi="Times New Roman" w:cs="Times New Roman" w:hint="eastAsia"/>
          <w:b/>
          <w:bCs/>
          <w:sz w:val="24"/>
          <w:szCs w:val="24"/>
        </w:rPr>
        <w:t>Figure</w:t>
      </w:r>
      <w:r w:rsidRPr="002D779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D7799"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 w:rsidRPr="002D7799">
        <w:rPr>
          <w:rFonts w:ascii="Times New Roman" w:hAnsi="Times New Roman" w:cs="Times New Roman"/>
          <w:b/>
          <w:bCs/>
          <w:sz w:val="24"/>
          <w:szCs w:val="24"/>
        </w:rPr>
        <w:t>1.</w:t>
      </w:r>
      <w:r w:rsidRPr="002D7799">
        <w:rPr>
          <w:rFonts w:ascii="Times New Roman" w:hAnsi="Times New Roman" w:cs="Times New Roman"/>
          <w:sz w:val="24"/>
          <w:szCs w:val="24"/>
        </w:rPr>
        <w:t xml:space="preserve"> </w:t>
      </w:r>
      <w:r w:rsidRPr="002D7799">
        <w:rPr>
          <w:rFonts w:ascii="Times New Roman" w:hAnsi="Times New Roman" w:cs="Times New Roman"/>
          <w:color w:val="000000" w:themeColor="text1"/>
          <w:sz w:val="24"/>
          <w:szCs w:val="24"/>
        </w:rPr>
        <w:t>The surface morphology and elemental composition of ZnO-NPs determined by scanning electron micrsc</w:t>
      </w:r>
      <w:r w:rsidRPr="002D779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or</w:t>
      </w:r>
      <w:r w:rsidRPr="002D7799">
        <w:rPr>
          <w:rFonts w:ascii="Times New Roman" w:hAnsi="Times New Roman" w:cs="Times New Roman"/>
          <w:color w:val="000000" w:themeColor="text1"/>
          <w:sz w:val="24"/>
          <w:szCs w:val="24"/>
        </w:rPr>
        <w:t>pe (SEM-EDX).</w:t>
      </w:r>
      <w:r w:rsidRPr="002D7799">
        <w:rPr>
          <w:rFonts w:ascii="Times New Roman" w:hAnsi="Times New Roman" w:cs="Times New Roman"/>
          <w:sz w:val="24"/>
          <w:szCs w:val="24"/>
        </w:rPr>
        <w:br w:type="page"/>
      </w:r>
    </w:p>
    <w:p w14:paraId="36811733" w14:textId="77777777" w:rsidR="00157E75" w:rsidRPr="002D7799" w:rsidRDefault="00157E75" w:rsidP="00157E75">
      <w:pPr>
        <w:pStyle w:val="EndNoteBibliography"/>
        <w:rPr>
          <w:rFonts w:ascii="Times New Roman" w:hAnsi="Times New Roman" w:cs="Times New Roman"/>
          <w:sz w:val="24"/>
          <w:szCs w:val="24"/>
        </w:rPr>
      </w:pPr>
      <w:r w:rsidRPr="002D7799">
        <w:rPr>
          <w:noProof/>
        </w:rPr>
        <w:lastRenderedPageBreak/>
        <w:drawing>
          <wp:inline distT="0" distB="0" distL="0" distR="0" wp14:anchorId="2CC8153F" wp14:editId="12E3CC09">
            <wp:extent cx="5274310" cy="2778125"/>
            <wp:effectExtent l="0" t="0" r="2540" b="3175"/>
            <wp:docPr id="491945322" name="图片 3">
              <a:extLst xmlns:a="http://schemas.openxmlformats.org/drawingml/2006/main">
                <a:ext uri="{FF2B5EF4-FFF2-40B4-BE49-F238E27FC236}">
                  <a16:creationId xmlns:a16="http://schemas.microsoft.com/office/drawing/2014/main" id="{FA64DBE3-740E-4F90-5E9C-DEC718341FB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>
                      <a:extLst>
                        <a:ext uri="{FF2B5EF4-FFF2-40B4-BE49-F238E27FC236}">
                          <a16:creationId xmlns:a16="http://schemas.microsoft.com/office/drawing/2014/main" id="{FA64DBE3-740E-4F90-5E9C-DEC718341FB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78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63CCEE" w14:textId="77777777" w:rsidR="00157E75" w:rsidRPr="002D7799" w:rsidRDefault="00157E75" w:rsidP="00157E75">
      <w:pPr>
        <w:pStyle w:val="EndNoteBibliography"/>
        <w:rPr>
          <w:rFonts w:ascii="Times New Roman" w:hAnsi="Times New Roman" w:cs="Times New Roman"/>
          <w:sz w:val="24"/>
          <w:szCs w:val="24"/>
        </w:rPr>
      </w:pPr>
      <w:r w:rsidRPr="002D7799">
        <w:rPr>
          <w:rFonts w:ascii="Times New Roman" w:hAnsi="Times New Roman" w:cs="Times New Roman"/>
          <w:b/>
          <w:bCs/>
          <w:sz w:val="24"/>
          <w:szCs w:val="24"/>
        </w:rPr>
        <w:t>Figure S2</w:t>
      </w:r>
      <w:r w:rsidRPr="002D7799">
        <w:rPr>
          <w:rFonts w:ascii="Times New Roman" w:hAnsi="Times New Roman" w:cs="Times New Roman"/>
          <w:sz w:val="24"/>
          <w:szCs w:val="24"/>
        </w:rPr>
        <w:t xml:space="preserve">. </w:t>
      </w:r>
      <w:r w:rsidRPr="002D7799">
        <w:rPr>
          <w:rFonts w:ascii="Times New Roman" w:hAnsi="Times New Roman" w:cs="Times New Roman" w:hint="eastAsia"/>
          <w:sz w:val="24"/>
          <w:szCs w:val="24"/>
        </w:rPr>
        <w:t>Potting</w:t>
      </w:r>
      <w:r w:rsidRPr="002D7799">
        <w:rPr>
          <w:rFonts w:ascii="Times New Roman" w:hAnsi="Times New Roman" w:cs="Times New Roman"/>
          <w:sz w:val="24"/>
          <w:szCs w:val="24"/>
        </w:rPr>
        <w:t xml:space="preserve"> </w:t>
      </w:r>
      <w:r w:rsidRPr="002D7799">
        <w:rPr>
          <w:rFonts w:ascii="Times New Roman" w:hAnsi="Times New Roman" w:cs="Times New Roman" w:hint="eastAsia"/>
          <w:sz w:val="24"/>
          <w:szCs w:val="24"/>
        </w:rPr>
        <w:t>experimental</w:t>
      </w:r>
      <w:r w:rsidRPr="002D7799">
        <w:rPr>
          <w:rFonts w:ascii="Times New Roman" w:hAnsi="Times New Roman" w:cs="Times New Roman"/>
          <w:sz w:val="24"/>
          <w:szCs w:val="24"/>
        </w:rPr>
        <w:t xml:space="preserve"> </w:t>
      </w:r>
      <w:r w:rsidRPr="002D7799">
        <w:rPr>
          <w:rFonts w:ascii="Times New Roman" w:hAnsi="Times New Roman" w:cs="Times New Roman" w:hint="eastAsia"/>
          <w:sz w:val="24"/>
          <w:szCs w:val="24"/>
        </w:rPr>
        <w:t>site.</w:t>
      </w:r>
      <w:r w:rsidRPr="002D7799">
        <w:rPr>
          <w:rFonts w:ascii="Times New Roman" w:hAnsi="Times New Roman" w:cs="Times New Roman"/>
          <w:sz w:val="24"/>
          <w:szCs w:val="24"/>
        </w:rPr>
        <w:t xml:space="preserve"> </w:t>
      </w:r>
      <w:r w:rsidRPr="002D7799">
        <w:rPr>
          <w:rFonts w:ascii="Times New Roman" w:hAnsi="Times New Roman" w:cs="Times New Roman"/>
          <w:sz w:val="24"/>
          <w:szCs w:val="24"/>
        </w:rPr>
        <w:br w:type="page"/>
      </w:r>
    </w:p>
    <w:p w14:paraId="3CB9924A" w14:textId="77777777" w:rsidR="00157E75" w:rsidRPr="002D7799" w:rsidRDefault="00157E75" w:rsidP="00157E75">
      <w:pPr>
        <w:pStyle w:val="EndNoteBibliography"/>
        <w:rPr>
          <w:rFonts w:ascii="Times New Roman" w:hAnsi="Times New Roman" w:cs="Times New Roman"/>
          <w:b/>
          <w:bCs/>
          <w:sz w:val="24"/>
          <w:szCs w:val="24"/>
        </w:rPr>
      </w:pPr>
      <w:r w:rsidRPr="002D7799">
        <w:rPr>
          <w:rFonts w:ascii="Times New Roman" w:hAnsi="Times New Roman" w:cs="Times New Roman" w:hint="eastAsia"/>
          <w:b/>
          <w:bCs/>
          <w:noProof/>
          <w:sz w:val="24"/>
          <w:szCs w:val="24"/>
        </w:rPr>
        <w:lastRenderedPageBreak/>
        <w:drawing>
          <wp:inline distT="0" distB="0" distL="0" distR="0" wp14:anchorId="481726F2" wp14:editId="3B3DFC2A">
            <wp:extent cx="5274310" cy="4810125"/>
            <wp:effectExtent l="0" t="0" r="2540" b="9525"/>
            <wp:docPr id="59851423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81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2DF3D4" w14:textId="77777777" w:rsidR="00157E75" w:rsidRPr="002D7799" w:rsidRDefault="00157E75" w:rsidP="00157E75">
      <w:pPr>
        <w:pStyle w:val="EndNoteBibliography"/>
        <w:rPr>
          <w:rFonts w:ascii="Times New Roman" w:hAnsi="Times New Roman" w:cs="Times New Roman"/>
          <w:sz w:val="24"/>
          <w:szCs w:val="24"/>
        </w:rPr>
      </w:pPr>
      <w:r w:rsidRPr="002D7799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2D7799">
        <w:rPr>
          <w:rFonts w:ascii="Times New Roman" w:hAnsi="Times New Roman" w:cs="Times New Roman"/>
          <w:b/>
          <w:bCs/>
          <w:sz w:val="24"/>
          <w:szCs w:val="24"/>
        </w:rPr>
        <w:t xml:space="preserve">igure S3. </w:t>
      </w:r>
      <w:r w:rsidRPr="002D7799">
        <w:rPr>
          <w:rFonts w:ascii="Times New Roman" w:hAnsi="Times New Roman" w:cs="Times New Roman"/>
          <w:sz w:val="24"/>
          <w:szCs w:val="24"/>
        </w:rPr>
        <w:t>Effects of ZnO-NPs on vanadium (V) accumualtion in grain (</w:t>
      </w:r>
      <w:r w:rsidRPr="002D7799">
        <w:rPr>
          <w:rFonts w:ascii="Times New Roman" w:hAnsi="Times New Roman" w:cs="Times New Roman" w:hint="eastAsia"/>
          <w:sz w:val="24"/>
          <w:szCs w:val="24"/>
        </w:rPr>
        <w:t>a</w:t>
      </w:r>
      <w:r w:rsidRPr="002D7799">
        <w:rPr>
          <w:rFonts w:ascii="Times New Roman" w:hAnsi="Times New Roman" w:cs="Times New Roman"/>
          <w:sz w:val="24"/>
          <w:szCs w:val="24"/>
        </w:rPr>
        <w:t>), glume (</w:t>
      </w:r>
      <w:r w:rsidRPr="002D7799">
        <w:rPr>
          <w:rFonts w:ascii="Times New Roman" w:hAnsi="Times New Roman" w:cs="Times New Roman" w:hint="eastAsia"/>
          <w:sz w:val="24"/>
          <w:szCs w:val="24"/>
        </w:rPr>
        <w:t>b</w:t>
      </w:r>
      <w:r w:rsidRPr="002D7799">
        <w:rPr>
          <w:rFonts w:ascii="Times New Roman" w:hAnsi="Times New Roman" w:cs="Times New Roman"/>
          <w:sz w:val="24"/>
          <w:szCs w:val="24"/>
        </w:rPr>
        <w:t>), stem (</w:t>
      </w:r>
      <w:r w:rsidRPr="002D7799">
        <w:rPr>
          <w:rFonts w:ascii="Times New Roman" w:hAnsi="Times New Roman" w:cs="Times New Roman" w:hint="eastAsia"/>
          <w:sz w:val="24"/>
          <w:szCs w:val="24"/>
        </w:rPr>
        <w:t>c</w:t>
      </w:r>
      <w:r w:rsidRPr="002D7799">
        <w:rPr>
          <w:rFonts w:ascii="Times New Roman" w:hAnsi="Times New Roman" w:cs="Times New Roman"/>
          <w:sz w:val="24"/>
          <w:szCs w:val="24"/>
        </w:rPr>
        <w:t>), leaf (</w:t>
      </w:r>
      <w:r w:rsidRPr="002D7799">
        <w:rPr>
          <w:rFonts w:ascii="Times New Roman" w:hAnsi="Times New Roman" w:cs="Times New Roman" w:hint="eastAsia"/>
          <w:sz w:val="24"/>
          <w:szCs w:val="24"/>
        </w:rPr>
        <w:t>d</w:t>
      </w:r>
      <w:r w:rsidRPr="002D7799">
        <w:rPr>
          <w:rFonts w:ascii="Times New Roman" w:hAnsi="Times New Roman" w:cs="Times New Roman"/>
          <w:sz w:val="24"/>
          <w:szCs w:val="24"/>
        </w:rPr>
        <w:t>), root (</w:t>
      </w:r>
      <w:r w:rsidRPr="002D7799">
        <w:rPr>
          <w:rFonts w:ascii="Times New Roman" w:hAnsi="Times New Roman" w:cs="Times New Roman" w:hint="eastAsia"/>
          <w:sz w:val="24"/>
          <w:szCs w:val="24"/>
        </w:rPr>
        <w:t xml:space="preserve">c), </w:t>
      </w:r>
      <w:r w:rsidRPr="002D7799">
        <w:rPr>
          <w:rFonts w:ascii="Times New Roman" w:hAnsi="Times New Roman" w:cs="Times New Roman"/>
          <w:sz w:val="24"/>
          <w:szCs w:val="24"/>
        </w:rPr>
        <w:t>and</w:t>
      </w:r>
      <w:r w:rsidRPr="002D7799">
        <w:rPr>
          <w:rFonts w:ascii="Times New Roman" w:hAnsi="Times New Roman" w:cs="Times New Roman" w:hint="eastAsia"/>
          <w:sz w:val="24"/>
          <w:szCs w:val="24"/>
        </w:rPr>
        <w:t xml:space="preserve"> soil (f)</w:t>
      </w:r>
      <w:r w:rsidRPr="002D7799">
        <w:rPr>
          <w:rFonts w:ascii="Times New Roman" w:hAnsi="Times New Roman" w:cs="Times New Roman"/>
          <w:sz w:val="24"/>
          <w:szCs w:val="24"/>
        </w:rPr>
        <w:t xml:space="preserve"> at the mature satge. Values shown are mean ± standard error (n = </w:t>
      </w:r>
      <w:r w:rsidRPr="002D7799">
        <w:rPr>
          <w:rFonts w:ascii="Times New Roman" w:hAnsi="Times New Roman" w:cs="Times New Roman" w:hint="eastAsia"/>
          <w:sz w:val="24"/>
          <w:szCs w:val="24"/>
        </w:rPr>
        <w:t>5</w:t>
      </w:r>
      <w:r w:rsidRPr="002D7799">
        <w:rPr>
          <w:rFonts w:ascii="Times New Roman" w:hAnsi="Times New Roman" w:cs="Times New Roman"/>
          <w:sz w:val="24"/>
          <w:szCs w:val="24"/>
        </w:rPr>
        <w:t>). Different lowercase letters in each column indicates significant differences (</w:t>
      </w:r>
      <w:r w:rsidRPr="002D7799">
        <w:rPr>
          <w:rFonts w:ascii="Times New Roman" w:hAnsi="Times New Roman" w:cs="Times New Roman"/>
          <w:i/>
          <w:iCs/>
          <w:sz w:val="24"/>
          <w:szCs w:val="24"/>
        </w:rPr>
        <w:t xml:space="preserve">P </w:t>
      </w:r>
      <w:r w:rsidRPr="002D7799">
        <w:rPr>
          <w:rFonts w:ascii="Times New Roman" w:hAnsi="Times New Roman" w:cs="Times New Roman"/>
          <w:sz w:val="24"/>
          <w:szCs w:val="24"/>
        </w:rPr>
        <w:t>&lt; 0.01) among all treatments based on one-way ANO</w:t>
      </w:r>
      <w:r w:rsidRPr="002D7799">
        <w:rPr>
          <w:rFonts w:ascii="Times New Roman" w:hAnsi="Times New Roman" w:cs="Times New Roman" w:hint="eastAsia"/>
          <w:sz w:val="24"/>
          <w:szCs w:val="24"/>
        </w:rPr>
        <w:t>V</w:t>
      </w:r>
      <w:r w:rsidRPr="002D7799">
        <w:rPr>
          <w:rFonts w:ascii="Times New Roman" w:hAnsi="Times New Roman" w:cs="Times New Roman"/>
          <w:sz w:val="24"/>
          <w:szCs w:val="24"/>
        </w:rPr>
        <w:t xml:space="preserve">A followed by Tukey’s </w:t>
      </w:r>
      <w:r w:rsidRPr="002D7799">
        <w:rPr>
          <w:rFonts w:ascii="Times New Roman" w:hAnsi="Times New Roman" w:cs="Times New Roman" w:hint="eastAsia"/>
          <w:sz w:val="24"/>
          <w:szCs w:val="24"/>
        </w:rPr>
        <w:t>HSD</w:t>
      </w:r>
      <w:r w:rsidRPr="002D7799">
        <w:rPr>
          <w:rFonts w:ascii="Times New Roman" w:hAnsi="Times New Roman" w:cs="Times New Roman"/>
          <w:sz w:val="24"/>
          <w:szCs w:val="24"/>
        </w:rPr>
        <w:t>-test.</w:t>
      </w:r>
      <w:r w:rsidRPr="002D7799">
        <w:rPr>
          <w:rFonts w:ascii="Times New Roman" w:hAnsi="Times New Roman" w:cs="Times New Roman"/>
          <w:sz w:val="24"/>
          <w:szCs w:val="24"/>
        </w:rPr>
        <w:fldChar w:fldCharType="end"/>
      </w:r>
      <w:r w:rsidRPr="002D7799">
        <w:rPr>
          <w:rFonts w:ascii="Times New Roman" w:hAnsi="Times New Roman" w:cs="Times New Roman"/>
          <w:sz w:val="24"/>
          <w:szCs w:val="24"/>
        </w:rPr>
        <w:br w:type="page"/>
      </w:r>
    </w:p>
    <w:p w14:paraId="1BEFE8C8" w14:textId="77777777" w:rsidR="00157E75" w:rsidRPr="002D7799" w:rsidRDefault="00157E75" w:rsidP="00157E75">
      <w:pPr>
        <w:pStyle w:val="EndNoteBibliography"/>
        <w:rPr>
          <w:rFonts w:ascii="Times New Roman" w:hAnsi="Times New Roman" w:cs="Times New Roman"/>
          <w:sz w:val="24"/>
          <w:szCs w:val="24"/>
        </w:rPr>
      </w:pPr>
      <w:r w:rsidRPr="002D7799">
        <w:rPr>
          <w:noProof/>
        </w:rPr>
        <w:lastRenderedPageBreak/>
        <w:drawing>
          <wp:inline distT="0" distB="0" distL="0" distR="0" wp14:anchorId="53FFA076" wp14:editId="10BBBA78">
            <wp:extent cx="5274310" cy="4124325"/>
            <wp:effectExtent l="0" t="0" r="2540" b="9525"/>
            <wp:docPr id="192068742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12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C1EF2F" w14:textId="77777777" w:rsidR="00157E75" w:rsidRDefault="00157E75" w:rsidP="00157E75">
      <w:pPr>
        <w:pStyle w:val="EndNoteBibliography"/>
      </w:pPr>
      <w:r w:rsidRPr="002D7799">
        <w:rPr>
          <w:rFonts w:ascii="Times New Roman" w:hAnsi="Times New Roman" w:cs="Times New Roman" w:hint="eastAsia"/>
          <w:b/>
          <w:bCs/>
          <w:sz w:val="24"/>
          <w:szCs w:val="24"/>
        </w:rPr>
        <w:t>Figure S4</w:t>
      </w:r>
      <w:r w:rsidRPr="002D7799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2D7799">
        <w:rPr>
          <w:rFonts w:ascii="Times New Roman" w:hAnsi="Times New Roman" w:cs="Times New Roman"/>
          <w:sz w:val="24"/>
          <w:szCs w:val="24"/>
        </w:rPr>
        <w:t xml:space="preserve">Correlation heat map of amino acid content and plant properties . A pairwise comparison of phytochemical parameters was displayed with a color gradient denoting Spearman's correlation coefficients. * Correlation is significant at </w:t>
      </w:r>
      <w:r w:rsidRPr="002D7799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2D7799">
        <w:rPr>
          <w:rFonts w:ascii="Times New Roman" w:hAnsi="Times New Roman" w:cs="Times New Roman"/>
          <w:sz w:val="24"/>
          <w:szCs w:val="24"/>
        </w:rPr>
        <w:t xml:space="preserve"> &lt; 0.05 (two-tailed).</w:t>
      </w:r>
    </w:p>
    <w:p w14:paraId="193CE02E" w14:textId="77777777" w:rsidR="00F553FF" w:rsidRDefault="00F553FF"/>
    <w:sectPr w:rsidR="00F553FF" w:rsidSect="00157E75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7E75"/>
    <w:rsid w:val="00157E75"/>
    <w:rsid w:val="002D7799"/>
    <w:rsid w:val="003C064A"/>
    <w:rsid w:val="003C2EF4"/>
    <w:rsid w:val="00446799"/>
    <w:rsid w:val="006A7E07"/>
    <w:rsid w:val="00701021"/>
    <w:rsid w:val="00B74216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305A37"/>
  <w15:chartTrackingRefBased/>
  <w15:docId w15:val="{56A28E83-1539-4F5C-A4C4-810782C082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7E75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57E75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57E75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57E75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57E75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57E75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57E75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57E75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57E75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57E75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57E7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57E7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57E7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57E7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57E7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57E7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57E7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57E7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57E7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57E75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57E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57E75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57E7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57E75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57E7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57E75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57E7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57E75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57E7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57E75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qFormat/>
    <w:rsid w:val="00157E75"/>
    <w:pPr>
      <w:spacing w:after="0" w:line="240" w:lineRule="auto"/>
    </w:pPr>
    <w:rPr>
      <w:rFonts w:eastAsiaTheme="minorEastAsia"/>
      <w:kern w:val="0"/>
      <w:sz w:val="20"/>
      <w:szCs w:val="20"/>
      <w:lang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">
    <w:name w:val="EndNote Bibliography"/>
    <w:basedOn w:val="Normal"/>
    <w:link w:val="EndNoteBibliography0"/>
    <w:qFormat/>
    <w:rsid w:val="00157E75"/>
    <w:rPr>
      <w:rFonts w:ascii="DengXian" w:eastAsia="DengXian" w:hAnsi="DengXian"/>
      <w:sz w:val="20"/>
    </w:rPr>
  </w:style>
  <w:style w:type="character" w:customStyle="1" w:styleId="EndNoteBibliography0">
    <w:name w:val="EndNote Bibliography 字符"/>
    <w:basedOn w:val="DefaultParagraphFont"/>
    <w:link w:val="EndNoteBibliography"/>
    <w:qFormat/>
    <w:rsid w:val="00157E75"/>
    <w:rPr>
      <w:rFonts w:ascii="DengXian" w:eastAsia="DengXian" w:hAnsi="DengXian"/>
      <w:sz w:val="20"/>
      <w:szCs w:val="22"/>
      <w:lang w:eastAsia="zh-CN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157E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242</Words>
  <Characters>1386</Characters>
  <Application>Microsoft Office Word</Application>
  <DocSecurity>0</DocSecurity>
  <Lines>11</Lines>
  <Paragraphs>3</Paragraphs>
  <ScaleCrop>false</ScaleCrop>
  <Company>Springer Nature</Company>
  <LinksUpToDate>false</LinksUpToDate>
  <CharactersWithSpaces>1625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2</cp:revision>
  <dcterms:created xsi:type="dcterms:W3CDTF">2025-09-24T11:07:00Z</dcterms:created>
  <dcterms:modified xsi:type="dcterms:W3CDTF">2025-09-24T11:08:00Z</dcterms:modified>
</cp:coreProperties>
</file>