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6qwp61e81bur" w:id="0"/>
      <w:bookmarkEnd w:id="0"/>
      <w:r w:rsidDel="00000000" w:rsidR="00000000" w:rsidRPr="00000000">
        <w:rPr>
          <w:rtl w:val="0"/>
        </w:rPr>
        <w:t xml:space="preserve">Appendix A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Full Pattern Matrices for 3-Factor and 5-Factor EFA of TIMSS 2023 Environmental Attitudes and Behaviors Items </w:t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pt4gf7wpcojl" w:id="1"/>
      <w:bookmarkEnd w:id="1"/>
      <w:r w:rsidDel="00000000" w:rsidR="00000000" w:rsidRPr="00000000">
        <w:rPr>
          <w:rtl w:val="0"/>
        </w:rPr>
        <w:t xml:space="preserve">3-Factor EFA</w:t>
      </w:r>
    </w:p>
    <w:tbl>
      <w:tblPr>
        <w:tblStyle w:val="Table1"/>
        <w:tblW w:w="12270.0" w:type="dxa"/>
        <w:jc w:val="left"/>
        <w:tblLayout w:type="fixed"/>
        <w:tblLook w:val="0600"/>
      </w:tblPr>
      <w:tblGrid>
        <w:gridCol w:w="1515"/>
        <w:gridCol w:w="7335"/>
        <w:gridCol w:w="1140"/>
        <w:gridCol w:w="1170"/>
        <w:gridCol w:w="1110"/>
        <w:tblGridChange w:id="0">
          <w:tblGrid>
            <w:gridCol w:w="1515"/>
            <w:gridCol w:w="7335"/>
            <w:gridCol w:w="1140"/>
            <w:gridCol w:w="1170"/>
            <w:gridCol w:w="11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 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ML1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ML3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ML2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care about the protection of plants and animals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Nature exists to benefit humans regardless of the consequences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most important reason for protecting natural areas is so people can enjoy them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0.74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confident that environmental problems will be solved by science and technology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 makes me sad when nature is destroyed by humans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enjoy finding out what kinds of plants and animals live in my surrounding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enjoy being in nature (e.g., forests, parks, deserts)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Protecting nature is more important than economic growth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Addressing climate change should be a high priority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try to reuse things (e.g., bags, bottles)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try to use fewer resources (e.g., water, food)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talk about how to help the environment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try to learn about environmental problems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try to participate in group activities to help the environment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tell my friends when they are doing things that harm the environment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vertAlign w:val="superscript"/>
        </w:rPr>
      </w:pPr>
      <w:r w:rsidDel="00000000" w:rsidR="00000000" w:rsidRPr="00000000">
        <w:rPr>
          <w:b w:val="1"/>
          <w:i w:val="1"/>
          <w:rtl w:val="0"/>
        </w:rPr>
        <w:t xml:space="preserve">Note.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Factor loadings ≥ 0.20 are shown. </w:t>
      </w:r>
      <w:r w:rsidDel="00000000" w:rsidR="00000000" w:rsidRPr="00000000">
        <w:rPr>
          <w:i w:val="1"/>
          <w:rtl w:val="0"/>
        </w:rPr>
        <w:t xml:space="preserve">(n = 65,540)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4"/>
        <w:rPr/>
      </w:pPr>
      <w:bookmarkStart w:colFirst="0" w:colLast="0" w:name="_ogapj37ln07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rPr/>
      </w:pPr>
      <w:bookmarkStart w:colFirst="0" w:colLast="0" w:name="_6l8qi3lo5xnj" w:id="3"/>
      <w:bookmarkEnd w:id="3"/>
      <w:r w:rsidDel="00000000" w:rsidR="00000000" w:rsidRPr="00000000">
        <w:rPr>
          <w:rtl w:val="0"/>
        </w:rPr>
        <w:t xml:space="preserve">5-factor EFA</w:t>
      </w:r>
    </w:p>
    <w:tbl>
      <w:tblPr>
        <w:tblStyle w:val="Table2"/>
        <w:tblW w:w="12960.0" w:type="dxa"/>
        <w:jc w:val="left"/>
        <w:tblLayout w:type="fixed"/>
        <w:tblLook w:val="0600"/>
      </w:tblPr>
      <w:tblGrid>
        <w:gridCol w:w="1349.4432989690722"/>
        <w:gridCol w:w="6533.443298969073"/>
        <w:gridCol w:w="1015.4226804123712"/>
        <w:gridCol w:w="1015.4226804123712"/>
        <w:gridCol w:w="1015.4226804123712"/>
        <w:gridCol w:w="1042.1443298969073"/>
        <w:gridCol w:w="988.7010309278351"/>
        <w:tblGridChange w:id="0">
          <w:tblGrid>
            <w:gridCol w:w="1349.4432989690722"/>
            <w:gridCol w:w="6533.443298969073"/>
            <w:gridCol w:w="1015.4226804123712"/>
            <w:gridCol w:w="1015.4226804123712"/>
            <w:gridCol w:w="1015.4226804123712"/>
            <w:gridCol w:w="1042.1443298969073"/>
            <w:gridCol w:w="988.701030927835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 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ML1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ML3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ML2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ML4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ML5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care about the protection of plants and animals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0.524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Nature exists to benefit humans regardless of the consequences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most important reason for protecting natural areas is so people can enjoy them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0.801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confident that environmental problems will be solved by science and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 makes me sad when nature is destroyed by humans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enjoy finding out what kinds of plants and animals live in my surrounding area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enjoy being in nature (e.g., forests, parks, deserts)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Protecting nature is more important than economic growth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0.311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Addressing climate change should be a high priority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0.755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try to reuse things (e.g., bags, bottles)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0.641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try to use fewer resources (e.g., water, food)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0.244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0.446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talk about how to help the environment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0.704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try to learn about environmental problems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try to participate in group activities to help the environment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0.806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tell my friends when they are doing things that harm the environment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0.619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b w:val="1"/>
          <w:i w:val="1"/>
          <w:rtl w:val="0"/>
        </w:rPr>
        <w:t xml:space="preserve">Note.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Factor loadings ≥ 0.20 are shown. </w:t>
      </w:r>
      <w:r w:rsidDel="00000000" w:rsidR="00000000" w:rsidRPr="00000000">
        <w:rPr>
          <w:i w:val="1"/>
          <w:rtl w:val="0"/>
        </w:rPr>
        <w:t xml:space="preserve">(n = 65,540)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1"/>
        <w:rPr/>
      </w:pPr>
      <w:bookmarkStart w:colFirst="0" w:colLast="0" w:name="_slcj9abwx3fy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1"/>
        <w:rPr/>
      </w:pPr>
      <w:bookmarkStart w:colFirst="0" w:colLast="0" w:name="_aeckjtdb39ni" w:id="5"/>
      <w:bookmarkEnd w:id="5"/>
      <w:r w:rsidDel="00000000" w:rsidR="00000000" w:rsidRPr="00000000">
        <w:rPr>
          <w:rtl w:val="0"/>
        </w:rPr>
        <w:t xml:space="preserve">Appendix B</w:t>
      </w:r>
    </w:p>
    <w:p w:rsidR="00000000" w:rsidDel="00000000" w:rsidP="00000000" w:rsidRDefault="00000000" w:rsidRPr="00000000" w14:paraId="000000CB">
      <w:pPr>
        <w:pStyle w:val="Heading2"/>
        <w:rPr/>
      </w:pPr>
      <w:bookmarkStart w:colFirst="0" w:colLast="0" w:name="_z1k62oc1aimr" w:id="6"/>
      <w:bookmarkEnd w:id="6"/>
      <w:r w:rsidDel="00000000" w:rsidR="00000000" w:rsidRPr="00000000">
        <w:rPr>
          <w:rtl w:val="0"/>
        </w:rPr>
        <w:t xml:space="preserve">Unstandardized Loadings of Three-Factor Preservation-Utilization-Behaviors CFA Models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i w:val="1"/>
          <w:rtl w:val="0"/>
        </w:rPr>
        <w:t xml:space="preserve">Unstandardized Factor Loadings for Three-Factor Configural Model of Cross-National Invariance (N = 79,306)</w:t>
      </w:r>
      <w:r w:rsidDel="00000000" w:rsidR="00000000" w:rsidRPr="00000000">
        <w:rPr>
          <w:rtl w:val="0"/>
        </w:rPr>
      </w:r>
    </w:p>
    <w:tbl>
      <w:tblPr>
        <w:tblStyle w:val="Table3"/>
        <w:tblW w:w="12270.0" w:type="dxa"/>
        <w:jc w:val="left"/>
        <w:tblLayout w:type="fixed"/>
        <w:tblLook w:val="0600"/>
      </w:tblPr>
      <w:tblGrid>
        <w:gridCol w:w="1560"/>
        <w:gridCol w:w="1455"/>
        <w:gridCol w:w="1395"/>
        <w:gridCol w:w="1245"/>
        <w:gridCol w:w="1200"/>
        <w:gridCol w:w="1260"/>
        <w:gridCol w:w="1485"/>
        <w:gridCol w:w="1290"/>
        <w:gridCol w:w="1380"/>
        <w:tblGridChange w:id="0">
          <w:tblGrid>
            <w:gridCol w:w="1560"/>
            <w:gridCol w:w="1455"/>
            <w:gridCol w:w="1395"/>
            <w:gridCol w:w="1245"/>
            <w:gridCol w:w="1200"/>
            <w:gridCol w:w="1260"/>
            <w:gridCol w:w="1485"/>
            <w:gridCol w:w="1290"/>
            <w:gridCol w:w="13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9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Three-Factor Preservation-Utilization-Behaviors Model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Configural Invariance Model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var</w:t>
            </w:r>
            <w:r w:rsidDel="00000000" w:rsidR="00000000" w:rsidRPr="00000000">
              <w:rPr>
                <w:vertAlign w:val="subscript"/>
                <w:rtl w:val="0"/>
              </w:rPr>
              <w:t xml:space="preserve">wi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var</w:t>
            </w:r>
            <w:r w:rsidDel="00000000" w:rsidR="00000000" w:rsidRPr="00000000">
              <w:rPr>
                <w:vertAlign w:val="subscript"/>
                <w:rtl w:val="0"/>
              </w:rPr>
              <w:t xml:space="preserve">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var</w:t>
            </w:r>
            <w:r w:rsidDel="00000000" w:rsidR="00000000" w:rsidRPr="00000000">
              <w:rPr>
                <w:vertAlign w:val="subscript"/>
                <w:rtl w:val="0"/>
              </w:rPr>
              <w:t xml:space="preserve">tot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95% CI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lower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95% CI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upper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Preservation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0.801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1.702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0.791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0.491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1.737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0.743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1.637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1.402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Utilization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1.546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Behaviors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0.867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1.433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1.678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2.271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1.664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2.252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0.907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2.289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2.007</w:t>
            </w:r>
          </w:p>
        </w:tc>
      </w:tr>
    </w:tbl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b w:val="1"/>
          <w:i w:val="1"/>
          <w:rtl w:val="0"/>
        </w:rPr>
        <w:t xml:space="preserve">Note. </w:t>
      </w:r>
      <w:r w:rsidDel="00000000" w:rsidR="00000000" w:rsidRPr="00000000">
        <w:rPr>
          <w:rtl w:val="0"/>
        </w:rPr>
        <w:t xml:space="preserve">Unstandardized factor loadings are pooled across 10 imputations using Rubin’s Rules. The variances reported include within-imputation variance (var</w:t>
      </w:r>
      <w:r w:rsidDel="00000000" w:rsidR="00000000" w:rsidRPr="00000000">
        <w:rPr>
          <w:vertAlign w:val="subscript"/>
          <w:rtl w:val="0"/>
        </w:rPr>
        <w:t xml:space="preserve">wi</w:t>
      </w:r>
      <w:r w:rsidDel="00000000" w:rsidR="00000000" w:rsidRPr="00000000">
        <w:rPr>
          <w:rtl w:val="0"/>
        </w:rPr>
        <w:t xml:space="preserve">), between-imputation variance (var</w:t>
      </w:r>
      <w:r w:rsidDel="00000000" w:rsidR="00000000" w:rsidRPr="00000000">
        <w:rPr>
          <w:vertAlign w:val="subscript"/>
          <w:rtl w:val="0"/>
        </w:rPr>
        <w:t xml:space="preserve">bi</w:t>
      </w:r>
      <w:r w:rsidDel="00000000" w:rsidR="00000000" w:rsidRPr="00000000">
        <w:rPr>
          <w:rtl w:val="0"/>
        </w:rPr>
        <w:t xml:space="preserve">), and total variance (var</w:t>
      </w:r>
      <w:r w:rsidDel="00000000" w:rsidR="00000000" w:rsidRPr="00000000">
        <w:rPr>
          <w:vertAlign w:val="subscript"/>
          <w:rtl w:val="0"/>
        </w:rPr>
        <w:t xml:space="preserve">tot</w:t>
      </w:r>
      <w:r w:rsidDel="00000000" w:rsidR="00000000" w:rsidRPr="00000000">
        <w:rPr>
          <w:rtl w:val="0"/>
        </w:rPr>
        <w:t xml:space="preserve">). Standard errors (SE) and 95% confidence intervals are based on the pooled total variance. All models were estimated with mean structures and equality constraints appropriate to the configural or metric model, as indicated.</w:t>
      </w:r>
    </w:p>
    <w:p w:rsidR="00000000" w:rsidDel="00000000" w:rsidP="00000000" w:rsidRDefault="00000000" w:rsidRPr="00000000" w14:paraId="00000172">
      <w:pPr>
        <w:pStyle w:val="Heading2"/>
        <w:rPr/>
      </w:pPr>
      <w:bookmarkStart w:colFirst="0" w:colLast="0" w:name="_jnuck53rqgk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Style w:val="Heading2"/>
        <w:rPr/>
      </w:pPr>
      <w:bookmarkStart w:colFirst="0" w:colLast="0" w:name="_b96x6w9nogkt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Style w:val="Heading2"/>
        <w:rPr/>
      </w:pPr>
      <w:bookmarkStart w:colFirst="0" w:colLast="0" w:name="_bz9wwwbuqvv6" w:id="9"/>
      <w:bookmarkEnd w:id="9"/>
      <w:r w:rsidDel="00000000" w:rsidR="00000000" w:rsidRPr="00000000">
        <w:rPr>
          <w:rtl w:val="0"/>
        </w:rPr>
        <w:t xml:space="preserve">Unstandardized Loadings for Single-Factor Preservation, Utilization, and Behaviors CFA Models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i w:val="1"/>
          <w:rtl w:val="0"/>
        </w:rPr>
        <w:t xml:space="preserve">Unstandardized Factor Loadings for Single-Factor Configural Models of Cross-National Invariance (N = 79,306)</w:t>
      </w:r>
      <w:r w:rsidDel="00000000" w:rsidR="00000000" w:rsidRPr="00000000">
        <w:rPr>
          <w:rtl w:val="0"/>
        </w:rPr>
      </w:r>
    </w:p>
    <w:tbl>
      <w:tblPr>
        <w:tblStyle w:val="Table4"/>
        <w:tblW w:w="12270.0" w:type="dxa"/>
        <w:jc w:val="left"/>
        <w:tblLayout w:type="fixed"/>
        <w:tblLook w:val="0600"/>
      </w:tblPr>
      <w:tblGrid>
        <w:gridCol w:w="1560"/>
        <w:gridCol w:w="1455"/>
        <w:gridCol w:w="1395"/>
        <w:gridCol w:w="1245"/>
        <w:gridCol w:w="1200"/>
        <w:gridCol w:w="1260"/>
        <w:gridCol w:w="1485"/>
        <w:gridCol w:w="1290"/>
        <w:gridCol w:w="1380"/>
        <w:tblGridChange w:id="0">
          <w:tblGrid>
            <w:gridCol w:w="1560"/>
            <w:gridCol w:w="1455"/>
            <w:gridCol w:w="1395"/>
            <w:gridCol w:w="1245"/>
            <w:gridCol w:w="1200"/>
            <w:gridCol w:w="1260"/>
            <w:gridCol w:w="1485"/>
            <w:gridCol w:w="1290"/>
            <w:gridCol w:w="13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9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Single-Factor Models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Configural Invariance Model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var</w:t>
            </w:r>
            <w:r w:rsidDel="00000000" w:rsidR="00000000" w:rsidRPr="00000000">
              <w:rPr>
                <w:vertAlign w:val="subscript"/>
                <w:rtl w:val="0"/>
              </w:rPr>
              <w:t xml:space="preserve">wi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var</w:t>
            </w:r>
            <w:r w:rsidDel="00000000" w:rsidR="00000000" w:rsidRPr="00000000">
              <w:rPr>
                <w:vertAlign w:val="subscript"/>
                <w:rtl w:val="0"/>
              </w:rPr>
              <w:t xml:space="preserve">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var</w:t>
            </w:r>
            <w:r w:rsidDel="00000000" w:rsidR="00000000" w:rsidRPr="00000000">
              <w:rPr>
                <w:vertAlign w:val="subscript"/>
                <w:rtl w:val="0"/>
              </w:rPr>
              <w:t xml:space="preserve">tot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95% CI</w:t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lower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95% CI</w:t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upper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Preservation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1.309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1.331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1.362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0.977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Utilization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0.524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0.507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0.542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Behaviors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0.86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1.454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1.708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2.303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1.665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2.228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1.634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0.952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2.317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1.994</w:t>
            </w:r>
          </w:p>
        </w:tc>
      </w:tr>
    </w:tbl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b w:val="1"/>
          <w:i w:val="1"/>
          <w:rtl w:val="0"/>
        </w:rPr>
        <w:t xml:space="preserve">Note. </w:t>
      </w:r>
      <w:r w:rsidDel="00000000" w:rsidR="00000000" w:rsidRPr="00000000">
        <w:rPr>
          <w:rtl w:val="0"/>
        </w:rPr>
        <w:t xml:space="preserve">Unstandardized factor loadings are pooled across 10 imputations using Rubin’s Rules. The variances reported include within-imputation variance (var</w:t>
      </w:r>
      <w:r w:rsidDel="00000000" w:rsidR="00000000" w:rsidRPr="00000000">
        <w:rPr>
          <w:vertAlign w:val="subscript"/>
          <w:rtl w:val="0"/>
        </w:rPr>
        <w:t xml:space="preserve">wi</w:t>
      </w:r>
      <w:r w:rsidDel="00000000" w:rsidR="00000000" w:rsidRPr="00000000">
        <w:rPr>
          <w:rtl w:val="0"/>
        </w:rPr>
        <w:t xml:space="preserve">), between-imputation variance (var</w:t>
      </w:r>
      <w:r w:rsidDel="00000000" w:rsidR="00000000" w:rsidRPr="00000000">
        <w:rPr>
          <w:vertAlign w:val="subscript"/>
          <w:rtl w:val="0"/>
        </w:rPr>
        <w:t xml:space="preserve">bi</w:t>
      </w:r>
      <w:r w:rsidDel="00000000" w:rsidR="00000000" w:rsidRPr="00000000">
        <w:rPr>
          <w:rtl w:val="0"/>
        </w:rPr>
        <w:t xml:space="preserve">), and total variance (var</w:t>
      </w:r>
      <w:r w:rsidDel="00000000" w:rsidR="00000000" w:rsidRPr="00000000">
        <w:rPr>
          <w:vertAlign w:val="subscript"/>
          <w:rtl w:val="0"/>
        </w:rPr>
        <w:t xml:space="preserve">tot</w:t>
      </w:r>
      <w:r w:rsidDel="00000000" w:rsidR="00000000" w:rsidRPr="00000000">
        <w:rPr>
          <w:rtl w:val="0"/>
        </w:rPr>
        <w:t xml:space="preserve">). Standard errors (SE) and 95% confidence intervals are based on the pooled total variance. All models were estimated with mean structures and equality constraints appropriate to the configural or metric model, as indicated.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i w:val="1"/>
          <w:rtl w:val="0"/>
        </w:rPr>
        <w:t xml:space="preserve">Unstandardized Factor Loadings for Single-Factor Metric Models of Cross-National Invariance (N = 79,306)</w:t>
      </w:r>
      <w:r w:rsidDel="00000000" w:rsidR="00000000" w:rsidRPr="00000000">
        <w:rPr>
          <w:rtl w:val="0"/>
        </w:rPr>
      </w:r>
    </w:p>
    <w:tbl>
      <w:tblPr>
        <w:tblStyle w:val="Table5"/>
        <w:tblW w:w="12270.0" w:type="dxa"/>
        <w:jc w:val="left"/>
        <w:tblLayout w:type="fixed"/>
        <w:tblLook w:val="0600"/>
      </w:tblPr>
      <w:tblGrid>
        <w:gridCol w:w="1560"/>
        <w:gridCol w:w="1455"/>
        <w:gridCol w:w="1395"/>
        <w:gridCol w:w="1245"/>
        <w:gridCol w:w="1200"/>
        <w:gridCol w:w="1260"/>
        <w:gridCol w:w="1485"/>
        <w:gridCol w:w="1290"/>
        <w:gridCol w:w="1380"/>
        <w:tblGridChange w:id="0">
          <w:tblGrid>
            <w:gridCol w:w="1560"/>
            <w:gridCol w:w="1455"/>
            <w:gridCol w:w="1395"/>
            <w:gridCol w:w="1245"/>
            <w:gridCol w:w="1200"/>
            <w:gridCol w:w="1260"/>
            <w:gridCol w:w="1485"/>
            <w:gridCol w:w="1290"/>
            <w:gridCol w:w="1380"/>
          </w:tblGrid>
        </w:tblGridChange>
      </w:tblGrid>
      <w:tr>
        <w:trPr>
          <w:cantSplit w:val="0"/>
          <w:trHeight w:val="545.9765625" w:hRule="atLeast"/>
          <w:tblHeader w:val="0"/>
        </w:trPr>
        <w:tc>
          <w:tcPr>
            <w:gridSpan w:val="9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Single-Factor Models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Metric Invariance Model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jc w:val="center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var</w:t>
            </w:r>
            <w:r w:rsidDel="00000000" w:rsidR="00000000" w:rsidRPr="00000000">
              <w:rPr>
                <w:vertAlign w:val="subscript"/>
                <w:rtl w:val="0"/>
              </w:rPr>
              <w:t xml:space="preserve">wi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var</w:t>
            </w:r>
            <w:r w:rsidDel="00000000" w:rsidR="00000000" w:rsidRPr="00000000">
              <w:rPr>
                <w:vertAlign w:val="subscript"/>
                <w:rtl w:val="0"/>
              </w:rPr>
              <w:t xml:space="preserve">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jc w:val="center"/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var</w:t>
            </w:r>
            <w:r w:rsidDel="00000000" w:rsidR="00000000" w:rsidRPr="00000000">
              <w:rPr>
                <w:vertAlign w:val="subscript"/>
                <w:rtl w:val="0"/>
              </w:rPr>
              <w:t xml:space="preserve">tot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95% CI</w:t>
            </w:r>
          </w:p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lower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95% CI</w:t>
            </w:r>
          </w:p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upper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Preservation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0.821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1.718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1.377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0.741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2.012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0.489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1.769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1.622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0.606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1.409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Utilization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BSBG14D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0.587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0.195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0.204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0.97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Behaviors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1.186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1.649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1.613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1.685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1.614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1.651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1.591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BSBG15F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1.489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1.454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1.524</w:t>
            </w:r>
          </w:p>
        </w:tc>
      </w:tr>
    </w:tbl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b w:val="1"/>
          <w:i w:val="1"/>
          <w:rtl w:val="0"/>
        </w:rPr>
        <w:t xml:space="preserve">Note. </w:t>
      </w:r>
      <w:r w:rsidDel="00000000" w:rsidR="00000000" w:rsidRPr="00000000">
        <w:rPr>
          <w:rtl w:val="0"/>
        </w:rPr>
        <w:t xml:space="preserve">Unstandardized factor loadings are pooled across 10 imputations using Rubin’s Rules. The variances reported include within-imputation variance (var</w:t>
      </w:r>
      <w:r w:rsidDel="00000000" w:rsidR="00000000" w:rsidRPr="00000000">
        <w:rPr>
          <w:vertAlign w:val="subscript"/>
          <w:rtl w:val="0"/>
        </w:rPr>
        <w:t xml:space="preserve">wi</w:t>
      </w:r>
      <w:r w:rsidDel="00000000" w:rsidR="00000000" w:rsidRPr="00000000">
        <w:rPr>
          <w:rtl w:val="0"/>
        </w:rPr>
        <w:t xml:space="preserve">), between-imputation variance (var</w:t>
      </w:r>
      <w:r w:rsidDel="00000000" w:rsidR="00000000" w:rsidRPr="00000000">
        <w:rPr>
          <w:vertAlign w:val="subscript"/>
          <w:rtl w:val="0"/>
        </w:rPr>
        <w:t xml:space="preserve">bi</w:t>
      </w:r>
      <w:r w:rsidDel="00000000" w:rsidR="00000000" w:rsidRPr="00000000">
        <w:rPr>
          <w:rtl w:val="0"/>
        </w:rPr>
        <w:t xml:space="preserve">), and total variance (var</w:t>
      </w:r>
      <w:r w:rsidDel="00000000" w:rsidR="00000000" w:rsidRPr="00000000">
        <w:rPr>
          <w:vertAlign w:val="subscript"/>
          <w:rtl w:val="0"/>
        </w:rPr>
        <w:t xml:space="preserve">tot</w:t>
      </w:r>
      <w:r w:rsidDel="00000000" w:rsidR="00000000" w:rsidRPr="00000000">
        <w:rPr>
          <w:rtl w:val="0"/>
        </w:rPr>
        <w:t xml:space="preserve">). Standard errors (SE) and 95% confidence intervals are based on the pooled total variance. All models were estimated with mean structures and equality constraints appropriate to the configural or metric model, as indicated.</w:t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ungsuh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5">
    <w:pPr>
      <w:rPr/>
    </w:pPr>
    <w:r w:rsidDel="00000000" w:rsidR="00000000" w:rsidRPr="00000000">
      <w:rPr>
        <w:rtl w:val="0"/>
      </w:rPr>
      <w:t xml:space="preserve">COMPARABILITY OF ENVIRONMENTAL CONSTRUCTS IN TIMSS 2023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