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F9F9A71" w:rsidR="00943E4E" w:rsidRPr="00855B06" w:rsidRDefault="00825B10" w:rsidP="00825B10">
      <w:pPr>
        <w:rPr>
          <w:sz w:val="22"/>
          <w:szCs w:val="22"/>
        </w:rPr>
      </w:pPr>
      <w:r w:rsidRPr="00855B06">
        <w:rPr>
          <w:b/>
          <w:bCs/>
          <w:sz w:val="22"/>
          <w:szCs w:val="22"/>
        </w:rPr>
        <w:t>Supplemental Table S1:</w:t>
      </w:r>
      <w:r w:rsidRPr="00855B06">
        <w:rPr>
          <w:b/>
          <w:sz w:val="22"/>
          <w:szCs w:val="22"/>
        </w:rPr>
        <w:t xml:space="preserve"> </w:t>
      </w:r>
      <w:r w:rsidR="00EE2AD6" w:rsidRPr="00855B06">
        <w:rPr>
          <w:bCs/>
          <w:sz w:val="22"/>
          <w:szCs w:val="22"/>
        </w:rPr>
        <w:t>Patient attrition</w:t>
      </w:r>
      <w:r w:rsidR="00EE2AD6" w:rsidRPr="00855B06">
        <w:rPr>
          <w:b/>
          <w:sz w:val="22"/>
          <w:szCs w:val="22"/>
        </w:rPr>
        <w:t xml:space="preserve"> </w:t>
      </w:r>
    </w:p>
    <w:tbl>
      <w:tblPr>
        <w:tblStyle w:val="TableGrid"/>
        <w:tblW w:w="9350" w:type="dxa"/>
        <w:tblLook w:val="04A0" w:firstRow="1" w:lastRow="0" w:firstColumn="1" w:lastColumn="0" w:noHBand="0" w:noVBand="1"/>
      </w:tblPr>
      <w:tblGrid>
        <w:gridCol w:w="5539"/>
        <w:gridCol w:w="1155"/>
        <w:gridCol w:w="1386"/>
        <w:gridCol w:w="1270"/>
      </w:tblGrid>
      <w:tr w:rsidR="00C7558C" w:rsidRPr="00C7558C" w14:paraId="4DC9C516" w14:textId="77777777" w:rsidTr="7E656384">
        <w:trPr>
          <w:trHeight w:val="290"/>
        </w:trPr>
        <w:tc>
          <w:tcPr>
            <w:tcW w:w="5539" w:type="dxa"/>
            <w:noWrap/>
            <w:hideMark/>
          </w:tcPr>
          <w:p w14:paraId="6236802C" w14:textId="77777777" w:rsidR="00C7558C" w:rsidRPr="00C7558C" w:rsidRDefault="00C7558C">
            <w:pPr>
              <w:rPr>
                <w:b/>
                <w:bCs/>
                <w:sz w:val="18"/>
                <w:szCs w:val="18"/>
              </w:rPr>
            </w:pPr>
            <w:r w:rsidRPr="00C7558C">
              <w:rPr>
                <w:b/>
                <w:bCs/>
                <w:sz w:val="18"/>
                <w:szCs w:val="18"/>
              </w:rPr>
              <w:t> </w:t>
            </w:r>
          </w:p>
        </w:tc>
        <w:tc>
          <w:tcPr>
            <w:tcW w:w="2541" w:type="dxa"/>
            <w:gridSpan w:val="2"/>
            <w:noWrap/>
            <w:hideMark/>
          </w:tcPr>
          <w:p w14:paraId="5FE008C0" w14:textId="77777777" w:rsidR="00C7558C" w:rsidRPr="00C7558C" w:rsidRDefault="00C7558C" w:rsidP="00C7558C">
            <w:pPr>
              <w:rPr>
                <w:b/>
                <w:bCs/>
                <w:sz w:val="18"/>
                <w:szCs w:val="18"/>
              </w:rPr>
            </w:pPr>
            <w:r w:rsidRPr="00C7558C">
              <w:rPr>
                <w:b/>
                <w:bCs/>
                <w:sz w:val="18"/>
                <w:szCs w:val="18"/>
              </w:rPr>
              <w:t>Remaining</w:t>
            </w:r>
          </w:p>
        </w:tc>
        <w:tc>
          <w:tcPr>
            <w:tcW w:w="1270" w:type="dxa"/>
            <w:noWrap/>
            <w:hideMark/>
          </w:tcPr>
          <w:p w14:paraId="30BC95C0" w14:textId="77777777" w:rsidR="00C7558C" w:rsidRPr="00C7558C" w:rsidRDefault="00C7558C" w:rsidP="00C7558C">
            <w:pPr>
              <w:rPr>
                <w:b/>
                <w:bCs/>
                <w:sz w:val="18"/>
                <w:szCs w:val="18"/>
              </w:rPr>
            </w:pPr>
            <w:r w:rsidRPr="00C7558C">
              <w:rPr>
                <w:b/>
                <w:bCs/>
                <w:sz w:val="18"/>
                <w:szCs w:val="18"/>
              </w:rPr>
              <w:t>Excluded</w:t>
            </w:r>
          </w:p>
        </w:tc>
      </w:tr>
      <w:tr w:rsidR="00C7558C" w:rsidRPr="00C7558C" w14:paraId="402BD32F" w14:textId="77777777" w:rsidTr="7E656384">
        <w:trPr>
          <w:trHeight w:val="290"/>
        </w:trPr>
        <w:tc>
          <w:tcPr>
            <w:tcW w:w="5539" w:type="dxa"/>
            <w:noWrap/>
            <w:hideMark/>
          </w:tcPr>
          <w:p w14:paraId="509AAAC4" w14:textId="77777777" w:rsidR="00C7558C" w:rsidRPr="00C7558C" w:rsidRDefault="00C7558C">
            <w:pPr>
              <w:rPr>
                <w:b/>
                <w:bCs/>
                <w:sz w:val="18"/>
                <w:szCs w:val="18"/>
              </w:rPr>
            </w:pPr>
            <w:r w:rsidRPr="00C7558C">
              <w:rPr>
                <w:b/>
                <w:bCs/>
                <w:sz w:val="18"/>
                <w:szCs w:val="18"/>
              </w:rPr>
              <w:t>Inclusion/Exclusion criteria</w:t>
            </w:r>
          </w:p>
        </w:tc>
        <w:tc>
          <w:tcPr>
            <w:tcW w:w="1155" w:type="dxa"/>
            <w:noWrap/>
            <w:hideMark/>
          </w:tcPr>
          <w:p w14:paraId="58960FDF" w14:textId="77777777" w:rsidR="00C7558C" w:rsidRPr="00C7558C" w:rsidRDefault="00C7558C" w:rsidP="00C7558C">
            <w:pPr>
              <w:rPr>
                <w:b/>
                <w:bCs/>
                <w:sz w:val="18"/>
                <w:szCs w:val="18"/>
              </w:rPr>
            </w:pPr>
            <w:r w:rsidRPr="00C7558C">
              <w:rPr>
                <w:b/>
                <w:bCs/>
                <w:sz w:val="18"/>
                <w:szCs w:val="18"/>
              </w:rPr>
              <w:t>N</w:t>
            </w:r>
          </w:p>
        </w:tc>
        <w:tc>
          <w:tcPr>
            <w:tcW w:w="1386" w:type="dxa"/>
            <w:noWrap/>
            <w:hideMark/>
          </w:tcPr>
          <w:p w14:paraId="0FEBC2B8" w14:textId="77777777" w:rsidR="00C7558C" w:rsidRPr="00C7558C" w:rsidRDefault="00C7558C">
            <w:pPr>
              <w:rPr>
                <w:b/>
                <w:bCs/>
                <w:sz w:val="18"/>
                <w:szCs w:val="18"/>
              </w:rPr>
            </w:pPr>
            <w:r w:rsidRPr="00C7558C">
              <w:rPr>
                <w:b/>
                <w:bCs/>
                <w:sz w:val="18"/>
                <w:szCs w:val="18"/>
              </w:rPr>
              <w:t>% of previous step</w:t>
            </w:r>
          </w:p>
        </w:tc>
        <w:tc>
          <w:tcPr>
            <w:tcW w:w="1270" w:type="dxa"/>
            <w:noWrap/>
            <w:hideMark/>
          </w:tcPr>
          <w:p w14:paraId="6299C51D" w14:textId="77777777" w:rsidR="00C7558C" w:rsidRPr="00C7558C" w:rsidRDefault="00C7558C" w:rsidP="00C7558C">
            <w:pPr>
              <w:rPr>
                <w:b/>
                <w:bCs/>
                <w:sz w:val="18"/>
                <w:szCs w:val="18"/>
              </w:rPr>
            </w:pPr>
            <w:r w:rsidRPr="00C7558C">
              <w:rPr>
                <w:b/>
                <w:bCs/>
                <w:sz w:val="18"/>
                <w:szCs w:val="18"/>
              </w:rPr>
              <w:t>N</w:t>
            </w:r>
          </w:p>
        </w:tc>
      </w:tr>
      <w:tr w:rsidR="00C7558C" w:rsidRPr="00C7558C" w14:paraId="40E37A24" w14:textId="77777777" w:rsidTr="7E656384">
        <w:trPr>
          <w:trHeight w:val="290"/>
        </w:trPr>
        <w:tc>
          <w:tcPr>
            <w:tcW w:w="5539" w:type="dxa"/>
            <w:noWrap/>
            <w:hideMark/>
          </w:tcPr>
          <w:p w14:paraId="6C519042" w14:textId="77777777" w:rsidR="00C7558C" w:rsidRPr="00C7558C" w:rsidRDefault="00C7558C">
            <w:pPr>
              <w:rPr>
                <w:sz w:val="18"/>
                <w:szCs w:val="18"/>
              </w:rPr>
            </w:pPr>
            <w:r w:rsidRPr="00C7558C">
              <w:rPr>
                <w:sz w:val="18"/>
                <w:szCs w:val="18"/>
              </w:rPr>
              <w:t xml:space="preserve">Patients with Medicare Part A, B, and D as of September 2023  </w:t>
            </w:r>
          </w:p>
        </w:tc>
        <w:tc>
          <w:tcPr>
            <w:tcW w:w="1155" w:type="dxa"/>
            <w:noWrap/>
            <w:hideMark/>
          </w:tcPr>
          <w:p w14:paraId="10181A2F" w14:textId="77777777" w:rsidR="00C7558C" w:rsidRPr="00C7558C" w:rsidRDefault="00C7558C" w:rsidP="00C7558C">
            <w:pPr>
              <w:rPr>
                <w:sz w:val="18"/>
                <w:szCs w:val="18"/>
              </w:rPr>
            </w:pPr>
            <w:r w:rsidRPr="00C7558C">
              <w:rPr>
                <w:sz w:val="18"/>
                <w:szCs w:val="18"/>
              </w:rPr>
              <w:t>51,664,466</w:t>
            </w:r>
          </w:p>
        </w:tc>
        <w:tc>
          <w:tcPr>
            <w:tcW w:w="1386" w:type="dxa"/>
            <w:noWrap/>
            <w:hideMark/>
          </w:tcPr>
          <w:p w14:paraId="07B12743" w14:textId="77777777" w:rsidR="00C7558C" w:rsidRPr="00C7558C" w:rsidRDefault="00C7558C" w:rsidP="00C7558C">
            <w:pPr>
              <w:rPr>
                <w:sz w:val="18"/>
                <w:szCs w:val="18"/>
              </w:rPr>
            </w:pPr>
            <w:r w:rsidRPr="00C7558C">
              <w:rPr>
                <w:sz w:val="18"/>
                <w:szCs w:val="18"/>
              </w:rPr>
              <w:t> </w:t>
            </w:r>
          </w:p>
        </w:tc>
        <w:tc>
          <w:tcPr>
            <w:tcW w:w="1270" w:type="dxa"/>
            <w:noWrap/>
            <w:hideMark/>
          </w:tcPr>
          <w:p w14:paraId="323BF2EF" w14:textId="77777777" w:rsidR="00C7558C" w:rsidRPr="00C7558C" w:rsidRDefault="00C7558C" w:rsidP="00C7558C">
            <w:pPr>
              <w:rPr>
                <w:sz w:val="18"/>
                <w:szCs w:val="18"/>
              </w:rPr>
            </w:pPr>
            <w:r w:rsidRPr="00C7558C">
              <w:rPr>
                <w:sz w:val="18"/>
                <w:szCs w:val="18"/>
              </w:rPr>
              <w:t> </w:t>
            </w:r>
          </w:p>
        </w:tc>
      </w:tr>
      <w:tr w:rsidR="00C7558C" w:rsidRPr="00C7558C" w14:paraId="17A35367" w14:textId="77777777" w:rsidTr="7E656384">
        <w:trPr>
          <w:trHeight w:val="290"/>
        </w:trPr>
        <w:tc>
          <w:tcPr>
            <w:tcW w:w="5539" w:type="dxa"/>
            <w:noWrap/>
            <w:hideMark/>
          </w:tcPr>
          <w:p w14:paraId="71D17D35" w14:textId="77777777" w:rsidR="00C7558C" w:rsidRPr="00C7558C" w:rsidRDefault="00C7558C">
            <w:pPr>
              <w:rPr>
                <w:sz w:val="18"/>
                <w:szCs w:val="18"/>
              </w:rPr>
            </w:pPr>
            <w:r w:rsidRPr="00C7558C">
              <w:rPr>
                <w:sz w:val="18"/>
                <w:szCs w:val="18"/>
              </w:rPr>
              <w:t>Enrolled in Medicare for age as of September 1, 2023</w:t>
            </w:r>
          </w:p>
        </w:tc>
        <w:tc>
          <w:tcPr>
            <w:tcW w:w="1155" w:type="dxa"/>
            <w:noWrap/>
            <w:hideMark/>
          </w:tcPr>
          <w:p w14:paraId="0CBD5B0F" w14:textId="77777777" w:rsidR="00C7558C" w:rsidRPr="00C7558C" w:rsidRDefault="00C7558C" w:rsidP="00C7558C">
            <w:pPr>
              <w:rPr>
                <w:sz w:val="18"/>
                <w:szCs w:val="18"/>
              </w:rPr>
            </w:pPr>
            <w:r w:rsidRPr="00C7558C">
              <w:rPr>
                <w:sz w:val="18"/>
                <w:szCs w:val="18"/>
              </w:rPr>
              <w:t>45,263,075</w:t>
            </w:r>
          </w:p>
        </w:tc>
        <w:tc>
          <w:tcPr>
            <w:tcW w:w="1386" w:type="dxa"/>
            <w:noWrap/>
            <w:hideMark/>
          </w:tcPr>
          <w:p w14:paraId="575B0B37" w14:textId="77777777" w:rsidR="00C7558C" w:rsidRPr="00C7558C" w:rsidRDefault="00C7558C" w:rsidP="00C7558C">
            <w:pPr>
              <w:rPr>
                <w:sz w:val="18"/>
                <w:szCs w:val="18"/>
              </w:rPr>
            </w:pPr>
            <w:r w:rsidRPr="00C7558C">
              <w:rPr>
                <w:sz w:val="18"/>
                <w:szCs w:val="18"/>
              </w:rPr>
              <w:t>87.61%</w:t>
            </w:r>
          </w:p>
        </w:tc>
        <w:tc>
          <w:tcPr>
            <w:tcW w:w="1270" w:type="dxa"/>
            <w:noWrap/>
            <w:hideMark/>
          </w:tcPr>
          <w:p w14:paraId="5ACA22BB" w14:textId="77777777" w:rsidR="00C7558C" w:rsidRPr="00C7558C" w:rsidRDefault="00C7558C" w:rsidP="00C7558C">
            <w:pPr>
              <w:rPr>
                <w:sz w:val="18"/>
                <w:szCs w:val="18"/>
              </w:rPr>
            </w:pPr>
            <w:r w:rsidRPr="00C7558C">
              <w:rPr>
                <w:sz w:val="18"/>
                <w:szCs w:val="18"/>
              </w:rPr>
              <w:t>6,401,391</w:t>
            </w:r>
          </w:p>
        </w:tc>
      </w:tr>
      <w:tr w:rsidR="00C7558C" w:rsidRPr="00C7558C" w14:paraId="4F5DA534" w14:textId="77777777" w:rsidTr="7E656384">
        <w:trPr>
          <w:trHeight w:val="290"/>
        </w:trPr>
        <w:tc>
          <w:tcPr>
            <w:tcW w:w="5539" w:type="dxa"/>
            <w:noWrap/>
            <w:hideMark/>
          </w:tcPr>
          <w:p w14:paraId="6FC3465F" w14:textId="77777777" w:rsidR="00C7558C" w:rsidRPr="00C7558C" w:rsidRDefault="00C7558C">
            <w:pPr>
              <w:rPr>
                <w:sz w:val="18"/>
                <w:szCs w:val="18"/>
              </w:rPr>
            </w:pPr>
            <w:r w:rsidRPr="00C7558C">
              <w:rPr>
                <w:sz w:val="18"/>
                <w:szCs w:val="18"/>
              </w:rPr>
              <w:t>Located in 50 states and DC</w:t>
            </w:r>
          </w:p>
        </w:tc>
        <w:tc>
          <w:tcPr>
            <w:tcW w:w="1155" w:type="dxa"/>
            <w:noWrap/>
            <w:hideMark/>
          </w:tcPr>
          <w:p w14:paraId="316F8DF1" w14:textId="77777777" w:rsidR="00C7558C" w:rsidRPr="00C7558C" w:rsidRDefault="00C7558C" w:rsidP="00C7558C">
            <w:pPr>
              <w:rPr>
                <w:sz w:val="18"/>
                <w:szCs w:val="18"/>
              </w:rPr>
            </w:pPr>
            <w:r w:rsidRPr="00C7558C">
              <w:rPr>
                <w:sz w:val="18"/>
                <w:szCs w:val="18"/>
              </w:rPr>
              <w:t>44,694,461</w:t>
            </w:r>
          </w:p>
        </w:tc>
        <w:tc>
          <w:tcPr>
            <w:tcW w:w="1386" w:type="dxa"/>
            <w:noWrap/>
            <w:hideMark/>
          </w:tcPr>
          <w:p w14:paraId="1FA531E4" w14:textId="77777777" w:rsidR="00C7558C" w:rsidRPr="00C7558C" w:rsidRDefault="00C7558C" w:rsidP="00C7558C">
            <w:pPr>
              <w:rPr>
                <w:sz w:val="18"/>
                <w:szCs w:val="18"/>
              </w:rPr>
            </w:pPr>
            <w:r w:rsidRPr="00C7558C">
              <w:rPr>
                <w:sz w:val="18"/>
                <w:szCs w:val="18"/>
              </w:rPr>
              <w:t>98.74%</w:t>
            </w:r>
          </w:p>
        </w:tc>
        <w:tc>
          <w:tcPr>
            <w:tcW w:w="1270" w:type="dxa"/>
            <w:noWrap/>
            <w:hideMark/>
          </w:tcPr>
          <w:p w14:paraId="1F77BB6A" w14:textId="77777777" w:rsidR="00C7558C" w:rsidRPr="00C7558C" w:rsidRDefault="00C7558C" w:rsidP="00C7558C">
            <w:pPr>
              <w:rPr>
                <w:sz w:val="18"/>
                <w:szCs w:val="18"/>
              </w:rPr>
            </w:pPr>
            <w:r w:rsidRPr="00C7558C">
              <w:rPr>
                <w:sz w:val="18"/>
                <w:szCs w:val="18"/>
              </w:rPr>
              <w:t>568,614</w:t>
            </w:r>
          </w:p>
        </w:tc>
      </w:tr>
      <w:tr w:rsidR="00C7558C" w:rsidRPr="00C7558C" w14:paraId="7FA58411" w14:textId="77777777" w:rsidTr="7E656384">
        <w:trPr>
          <w:trHeight w:val="580"/>
        </w:trPr>
        <w:tc>
          <w:tcPr>
            <w:tcW w:w="5539" w:type="dxa"/>
            <w:hideMark/>
          </w:tcPr>
          <w:p w14:paraId="5697919C" w14:textId="77777777" w:rsidR="00C7558C" w:rsidRPr="00C7558C" w:rsidRDefault="00C7558C">
            <w:pPr>
              <w:rPr>
                <w:sz w:val="18"/>
                <w:szCs w:val="18"/>
              </w:rPr>
            </w:pPr>
            <w:r w:rsidRPr="00C7558C">
              <w:rPr>
                <w:sz w:val="18"/>
                <w:szCs w:val="18"/>
              </w:rPr>
              <w:t>Exclusion of patients with Medicare Part C (Medicare Advantage) at any point during study period (March 1, 2023 - August 31, 2024)</w:t>
            </w:r>
          </w:p>
        </w:tc>
        <w:tc>
          <w:tcPr>
            <w:tcW w:w="1155" w:type="dxa"/>
            <w:noWrap/>
            <w:hideMark/>
          </w:tcPr>
          <w:p w14:paraId="0FB9DFB9" w14:textId="77777777" w:rsidR="00C7558C" w:rsidRPr="00C7558C" w:rsidRDefault="00C7558C" w:rsidP="00C7558C">
            <w:pPr>
              <w:rPr>
                <w:sz w:val="18"/>
                <w:szCs w:val="18"/>
              </w:rPr>
            </w:pPr>
            <w:r w:rsidRPr="00C7558C">
              <w:rPr>
                <w:sz w:val="18"/>
                <w:szCs w:val="18"/>
              </w:rPr>
              <w:t>16,918,222</w:t>
            </w:r>
          </w:p>
        </w:tc>
        <w:tc>
          <w:tcPr>
            <w:tcW w:w="1386" w:type="dxa"/>
            <w:noWrap/>
            <w:hideMark/>
          </w:tcPr>
          <w:p w14:paraId="68C86BB6" w14:textId="77777777" w:rsidR="00C7558C" w:rsidRPr="00C7558C" w:rsidRDefault="00C7558C" w:rsidP="00C7558C">
            <w:pPr>
              <w:rPr>
                <w:sz w:val="18"/>
                <w:szCs w:val="18"/>
              </w:rPr>
            </w:pPr>
            <w:r w:rsidRPr="00C7558C">
              <w:rPr>
                <w:sz w:val="18"/>
                <w:szCs w:val="18"/>
              </w:rPr>
              <w:t>37.85%</w:t>
            </w:r>
          </w:p>
        </w:tc>
        <w:tc>
          <w:tcPr>
            <w:tcW w:w="1270" w:type="dxa"/>
            <w:noWrap/>
            <w:hideMark/>
          </w:tcPr>
          <w:p w14:paraId="6BD90519" w14:textId="77777777" w:rsidR="00C7558C" w:rsidRPr="00C7558C" w:rsidRDefault="00C7558C" w:rsidP="00C7558C">
            <w:pPr>
              <w:rPr>
                <w:sz w:val="18"/>
                <w:szCs w:val="18"/>
              </w:rPr>
            </w:pPr>
            <w:r w:rsidRPr="00C7558C">
              <w:rPr>
                <w:sz w:val="18"/>
                <w:szCs w:val="18"/>
              </w:rPr>
              <w:t>27,776,239</w:t>
            </w:r>
          </w:p>
        </w:tc>
      </w:tr>
      <w:tr w:rsidR="00C7558C" w:rsidRPr="00C7558C" w14:paraId="2465DB1E" w14:textId="77777777" w:rsidTr="7E656384">
        <w:trPr>
          <w:trHeight w:val="580"/>
        </w:trPr>
        <w:tc>
          <w:tcPr>
            <w:tcW w:w="5539" w:type="dxa"/>
            <w:hideMark/>
          </w:tcPr>
          <w:p w14:paraId="0BC88746" w14:textId="0BC4DD8B" w:rsidR="00C7558C" w:rsidRPr="00C7558C" w:rsidRDefault="00C7558C">
            <w:pPr>
              <w:rPr>
                <w:sz w:val="18"/>
                <w:szCs w:val="18"/>
              </w:rPr>
            </w:pPr>
            <w:r w:rsidRPr="00C7558C">
              <w:rPr>
                <w:sz w:val="18"/>
                <w:szCs w:val="18"/>
              </w:rPr>
              <w:t xml:space="preserve">Had an inpatient admission with COVID-19 (U07.1) in the principal or </w:t>
            </w:r>
            <w:r w:rsidR="7A004A78" w:rsidRPr="716F98F3">
              <w:rPr>
                <w:sz w:val="18"/>
                <w:szCs w:val="18"/>
              </w:rPr>
              <w:t>second</w:t>
            </w:r>
            <w:r w:rsidRPr="00C7558C">
              <w:rPr>
                <w:sz w:val="18"/>
                <w:szCs w:val="18"/>
              </w:rPr>
              <w:t xml:space="preserve"> position between Sept 1, </w:t>
            </w:r>
            <w:r w:rsidR="00EE6B03" w:rsidRPr="00C7558C">
              <w:rPr>
                <w:sz w:val="18"/>
                <w:szCs w:val="18"/>
              </w:rPr>
              <w:t>2023,</w:t>
            </w:r>
            <w:r w:rsidRPr="00C7558C">
              <w:rPr>
                <w:sz w:val="18"/>
                <w:szCs w:val="18"/>
              </w:rPr>
              <w:t xml:space="preserve"> and Feb 29, </w:t>
            </w:r>
            <w:r w:rsidR="00EE6B03" w:rsidRPr="00C7558C">
              <w:rPr>
                <w:sz w:val="18"/>
                <w:szCs w:val="18"/>
              </w:rPr>
              <w:t>2024,</w:t>
            </w:r>
            <w:r w:rsidRPr="00C7558C">
              <w:rPr>
                <w:sz w:val="18"/>
                <w:szCs w:val="18"/>
              </w:rPr>
              <w:t xml:space="preserve"> with at least 1 overnight stay</w:t>
            </w:r>
          </w:p>
        </w:tc>
        <w:tc>
          <w:tcPr>
            <w:tcW w:w="1155" w:type="dxa"/>
            <w:noWrap/>
            <w:hideMark/>
          </w:tcPr>
          <w:p w14:paraId="26FA4F17" w14:textId="77777777" w:rsidR="00C7558C" w:rsidRPr="00C7558C" w:rsidRDefault="00C7558C" w:rsidP="00C7558C">
            <w:pPr>
              <w:rPr>
                <w:sz w:val="18"/>
                <w:szCs w:val="18"/>
              </w:rPr>
            </w:pPr>
            <w:r w:rsidRPr="00C7558C">
              <w:rPr>
                <w:sz w:val="18"/>
                <w:szCs w:val="18"/>
              </w:rPr>
              <w:t>80,171</w:t>
            </w:r>
          </w:p>
        </w:tc>
        <w:tc>
          <w:tcPr>
            <w:tcW w:w="1386" w:type="dxa"/>
            <w:noWrap/>
            <w:hideMark/>
          </w:tcPr>
          <w:p w14:paraId="6BB8E3D8" w14:textId="77777777" w:rsidR="00C7558C" w:rsidRPr="00C7558C" w:rsidRDefault="00C7558C" w:rsidP="00C7558C">
            <w:pPr>
              <w:rPr>
                <w:sz w:val="18"/>
                <w:szCs w:val="18"/>
              </w:rPr>
            </w:pPr>
            <w:r w:rsidRPr="00C7558C">
              <w:rPr>
                <w:sz w:val="18"/>
                <w:szCs w:val="18"/>
              </w:rPr>
              <w:t>0.47%</w:t>
            </w:r>
          </w:p>
        </w:tc>
        <w:tc>
          <w:tcPr>
            <w:tcW w:w="1270" w:type="dxa"/>
            <w:noWrap/>
            <w:hideMark/>
          </w:tcPr>
          <w:p w14:paraId="2F09C20B" w14:textId="77777777" w:rsidR="00C7558C" w:rsidRPr="00C7558C" w:rsidRDefault="00C7558C" w:rsidP="00C7558C">
            <w:pPr>
              <w:rPr>
                <w:sz w:val="18"/>
                <w:szCs w:val="18"/>
              </w:rPr>
            </w:pPr>
            <w:r w:rsidRPr="00C7558C">
              <w:rPr>
                <w:sz w:val="18"/>
                <w:szCs w:val="18"/>
              </w:rPr>
              <w:t>16,838,051</w:t>
            </w:r>
          </w:p>
        </w:tc>
      </w:tr>
      <w:tr w:rsidR="00C7558C" w:rsidRPr="00C7558C" w14:paraId="1330AA60" w14:textId="77777777" w:rsidTr="7E656384">
        <w:trPr>
          <w:trHeight w:val="290"/>
        </w:trPr>
        <w:tc>
          <w:tcPr>
            <w:tcW w:w="5539" w:type="dxa"/>
            <w:noWrap/>
            <w:hideMark/>
          </w:tcPr>
          <w:p w14:paraId="7293CD6F" w14:textId="77777777" w:rsidR="00C7558C" w:rsidRPr="00C7558C" w:rsidRDefault="00C7558C">
            <w:pPr>
              <w:rPr>
                <w:sz w:val="18"/>
                <w:szCs w:val="18"/>
              </w:rPr>
            </w:pPr>
            <w:r w:rsidRPr="00C7558C">
              <w:rPr>
                <w:sz w:val="18"/>
                <w:szCs w:val="18"/>
              </w:rPr>
              <w:t>Excluding patients who died on or before index (discharge date)</w:t>
            </w:r>
          </w:p>
        </w:tc>
        <w:tc>
          <w:tcPr>
            <w:tcW w:w="1155" w:type="dxa"/>
            <w:noWrap/>
            <w:hideMark/>
          </w:tcPr>
          <w:p w14:paraId="2B3D1CBA" w14:textId="77777777" w:rsidR="00C7558C" w:rsidRPr="00C7558C" w:rsidRDefault="00C7558C" w:rsidP="00C7558C">
            <w:pPr>
              <w:rPr>
                <w:sz w:val="18"/>
                <w:szCs w:val="18"/>
              </w:rPr>
            </w:pPr>
            <w:r w:rsidRPr="00C7558C">
              <w:rPr>
                <w:sz w:val="18"/>
                <w:szCs w:val="18"/>
              </w:rPr>
              <w:t>77,673</w:t>
            </w:r>
          </w:p>
        </w:tc>
        <w:tc>
          <w:tcPr>
            <w:tcW w:w="1386" w:type="dxa"/>
            <w:noWrap/>
            <w:hideMark/>
          </w:tcPr>
          <w:p w14:paraId="6283D9B8" w14:textId="77777777" w:rsidR="00C7558C" w:rsidRPr="00C7558C" w:rsidRDefault="00C7558C" w:rsidP="00C7558C">
            <w:pPr>
              <w:rPr>
                <w:sz w:val="18"/>
                <w:szCs w:val="18"/>
              </w:rPr>
            </w:pPr>
            <w:r w:rsidRPr="00C7558C">
              <w:rPr>
                <w:sz w:val="18"/>
                <w:szCs w:val="18"/>
              </w:rPr>
              <w:t>96.88%</w:t>
            </w:r>
          </w:p>
        </w:tc>
        <w:tc>
          <w:tcPr>
            <w:tcW w:w="1270" w:type="dxa"/>
            <w:noWrap/>
            <w:hideMark/>
          </w:tcPr>
          <w:p w14:paraId="774452FD" w14:textId="77777777" w:rsidR="00C7558C" w:rsidRPr="00C7558C" w:rsidRDefault="00C7558C" w:rsidP="00C7558C">
            <w:pPr>
              <w:rPr>
                <w:sz w:val="18"/>
                <w:szCs w:val="18"/>
              </w:rPr>
            </w:pPr>
            <w:r w:rsidRPr="00C7558C">
              <w:rPr>
                <w:sz w:val="18"/>
                <w:szCs w:val="18"/>
              </w:rPr>
              <w:t>2,498</w:t>
            </w:r>
          </w:p>
        </w:tc>
      </w:tr>
      <w:tr w:rsidR="00C7558C" w:rsidRPr="00C7558C" w14:paraId="7120DD62" w14:textId="77777777" w:rsidTr="7E656384">
        <w:trPr>
          <w:trHeight w:val="290"/>
        </w:trPr>
        <w:tc>
          <w:tcPr>
            <w:tcW w:w="5539" w:type="dxa"/>
            <w:noWrap/>
            <w:hideMark/>
          </w:tcPr>
          <w:p w14:paraId="4D04DF18" w14:textId="77777777" w:rsidR="00C7558C" w:rsidRPr="00C7558C" w:rsidRDefault="00C7558C">
            <w:pPr>
              <w:rPr>
                <w:sz w:val="18"/>
                <w:szCs w:val="18"/>
              </w:rPr>
            </w:pPr>
            <w:r w:rsidRPr="00C7558C">
              <w:rPr>
                <w:sz w:val="18"/>
                <w:szCs w:val="18"/>
              </w:rPr>
              <w:t>Continuous enrollment in Part A/B and D for 180 days before admission date</w:t>
            </w:r>
          </w:p>
        </w:tc>
        <w:tc>
          <w:tcPr>
            <w:tcW w:w="1155" w:type="dxa"/>
            <w:noWrap/>
            <w:hideMark/>
          </w:tcPr>
          <w:p w14:paraId="4EEF7ABA" w14:textId="77777777" w:rsidR="00C7558C" w:rsidRPr="00C7558C" w:rsidRDefault="00C7558C" w:rsidP="00C7558C">
            <w:pPr>
              <w:rPr>
                <w:sz w:val="18"/>
                <w:szCs w:val="18"/>
              </w:rPr>
            </w:pPr>
            <w:r w:rsidRPr="00C7558C">
              <w:rPr>
                <w:sz w:val="18"/>
                <w:szCs w:val="18"/>
              </w:rPr>
              <w:t>76,879</w:t>
            </w:r>
          </w:p>
        </w:tc>
        <w:tc>
          <w:tcPr>
            <w:tcW w:w="1386" w:type="dxa"/>
            <w:noWrap/>
            <w:hideMark/>
          </w:tcPr>
          <w:p w14:paraId="544417B2" w14:textId="77777777" w:rsidR="00C7558C" w:rsidRPr="00C7558C" w:rsidRDefault="00C7558C" w:rsidP="00C7558C">
            <w:pPr>
              <w:rPr>
                <w:sz w:val="18"/>
                <w:szCs w:val="18"/>
              </w:rPr>
            </w:pPr>
            <w:r w:rsidRPr="00C7558C">
              <w:rPr>
                <w:sz w:val="18"/>
                <w:szCs w:val="18"/>
              </w:rPr>
              <w:t>98.98%</w:t>
            </w:r>
          </w:p>
        </w:tc>
        <w:tc>
          <w:tcPr>
            <w:tcW w:w="1270" w:type="dxa"/>
            <w:noWrap/>
            <w:hideMark/>
          </w:tcPr>
          <w:p w14:paraId="534DF79B" w14:textId="77777777" w:rsidR="00C7558C" w:rsidRPr="00C7558C" w:rsidRDefault="00C7558C" w:rsidP="00C7558C">
            <w:pPr>
              <w:rPr>
                <w:sz w:val="18"/>
                <w:szCs w:val="18"/>
              </w:rPr>
            </w:pPr>
            <w:r w:rsidRPr="00C7558C">
              <w:rPr>
                <w:sz w:val="18"/>
                <w:szCs w:val="18"/>
              </w:rPr>
              <w:t>794</w:t>
            </w:r>
          </w:p>
        </w:tc>
      </w:tr>
      <w:tr w:rsidR="00C7558C" w:rsidRPr="00C7558C" w14:paraId="5E954B68" w14:textId="77777777" w:rsidTr="7E656384">
        <w:trPr>
          <w:trHeight w:val="290"/>
        </w:trPr>
        <w:tc>
          <w:tcPr>
            <w:tcW w:w="5539" w:type="dxa"/>
            <w:noWrap/>
            <w:hideMark/>
          </w:tcPr>
          <w:p w14:paraId="14D9DDE8" w14:textId="77777777" w:rsidR="00C7558C" w:rsidRPr="00C7558C" w:rsidRDefault="00C7558C">
            <w:pPr>
              <w:rPr>
                <w:sz w:val="18"/>
                <w:szCs w:val="18"/>
              </w:rPr>
            </w:pPr>
            <w:r w:rsidRPr="00C7558C">
              <w:rPr>
                <w:sz w:val="18"/>
                <w:szCs w:val="18"/>
              </w:rPr>
              <w:t xml:space="preserve">Patients admitted for non-COVID-19 reasons and tested positive for COVID-19 incidentally  </w:t>
            </w:r>
          </w:p>
        </w:tc>
        <w:tc>
          <w:tcPr>
            <w:tcW w:w="1155" w:type="dxa"/>
            <w:noWrap/>
            <w:hideMark/>
          </w:tcPr>
          <w:p w14:paraId="0522D6F1" w14:textId="77777777" w:rsidR="00C7558C" w:rsidRPr="00C7558C" w:rsidRDefault="00C7558C" w:rsidP="00C7558C">
            <w:pPr>
              <w:rPr>
                <w:sz w:val="18"/>
                <w:szCs w:val="18"/>
              </w:rPr>
            </w:pPr>
            <w:r w:rsidRPr="00C7558C">
              <w:rPr>
                <w:sz w:val="18"/>
                <w:szCs w:val="18"/>
              </w:rPr>
              <w:t>68,278</w:t>
            </w:r>
          </w:p>
        </w:tc>
        <w:tc>
          <w:tcPr>
            <w:tcW w:w="1386" w:type="dxa"/>
            <w:noWrap/>
            <w:hideMark/>
          </w:tcPr>
          <w:p w14:paraId="249C7DDF" w14:textId="77777777" w:rsidR="00C7558C" w:rsidRPr="00C7558C" w:rsidRDefault="00C7558C" w:rsidP="00C7558C">
            <w:pPr>
              <w:rPr>
                <w:sz w:val="18"/>
                <w:szCs w:val="18"/>
              </w:rPr>
            </w:pPr>
            <w:r w:rsidRPr="00C7558C">
              <w:rPr>
                <w:sz w:val="18"/>
                <w:szCs w:val="18"/>
              </w:rPr>
              <w:t>88.81%</w:t>
            </w:r>
          </w:p>
        </w:tc>
        <w:tc>
          <w:tcPr>
            <w:tcW w:w="1270" w:type="dxa"/>
            <w:noWrap/>
            <w:hideMark/>
          </w:tcPr>
          <w:p w14:paraId="22958ED5" w14:textId="77777777" w:rsidR="00C7558C" w:rsidRPr="00C7558C" w:rsidRDefault="00C7558C" w:rsidP="00C7558C">
            <w:pPr>
              <w:rPr>
                <w:sz w:val="18"/>
                <w:szCs w:val="18"/>
              </w:rPr>
            </w:pPr>
            <w:r w:rsidRPr="00C7558C">
              <w:rPr>
                <w:sz w:val="18"/>
                <w:szCs w:val="18"/>
              </w:rPr>
              <w:t>8,601</w:t>
            </w:r>
          </w:p>
        </w:tc>
      </w:tr>
      <w:tr w:rsidR="00C7558C" w:rsidRPr="00C7558C" w14:paraId="28656297" w14:textId="77777777" w:rsidTr="7E656384">
        <w:trPr>
          <w:trHeight w:val="290"/>
        </w:trPr>
        <w:tc>
          <w:tcPr>
            <w:tcW w:w="5539" w:type="dxa"/>
            <w:noWrap/>
            <w:hideMark/>
          </w:tcPr>
          <w:p w14:paraId="207AC04E" w14:textId="77777777" w:rsidR="00C7558C" w:rsidRPr="00C7558C" w:rsidRDefault="00C7558C">
            <w:pPr>
              <w:rPr>
                <w:sz w:val="18"/>
                <w:szCs w:val="18"/>
              </w:rPr>
            </w:pPr>
            <w:r w:rsidRPr="00C7558C">
              <w:rPr>
                <w:sz w:val="18"/>
                <w:szCs w:val="18"/>
              </w:rPr>
              <w:t>Patients with COVID-19 hospitalization (any position) 180 days before admission date</w:t>
            </w:r>
          </w:p>
        </w:tc>
        <w:tc>
          <w:tcPr>
            <w:tcW w:w="1155" w:type="dxa"/>
            <w:noWrap/>
            <w:hideMark/>
          </w:tcPr>
          <w:p w14:paraId="20303CEA" w14:textId="77777777" w:rsidR="00C7558C" w:rsidRPr="00C7558C" w:rsidRDefault="00C7558C" w:rsidP="00C7558C">
            <w:pPr>
              <w:rPr>
                <w:sz w:val="18"/>
                <w:szCs w:val="18"/>
              </w:rPr>
            </w:pPr>
            <w:r w:rsidRPr="00C7558C">
              <w:rPr>
                <w:sz w:val="18"/>
                <w:szCs w:val="18"/>
              </w:rPr>
              <w:t>67,438</w:t>
            </w:r>
          </w:p>
        </w:tc>
        <w:tc>
          <w:tcPr>
            <w:tcW w:w="1386" w:type="dxa"/>
            <w:noWrap/>
            <w:hideMark/>
          </w:tcPr>
          <w:p w14:paraId="759DA8E8" w14:textId="77777777" w:rsidR="00C7558C" w:rsidRPr="00C7558C" w:rsidRDefault="00C7558C" w:rsidP="00C7558C">
            <w:pPr>
              <w:rPr>
                <w:sz w:val="18"/>
                <w:szCs w:val="18"/>
              </w:rPr>
            </w:pPr>
            <w:r w:rsidRPr="00C7558C">
              <w:rPr>
                <w:sz w:val="18"/>
                <w:szCs w:val="18"/>
              </w:rPr>
              <w:t>98.77%</w:t>
            </w:r>
          </w:p>
        </w:tc>
        <w:tc>
          <w:tcPr>
            <w:tcW w:w="1270" w:type="dxa"/>
            <w:noWrap/>
            <w:hideMark/>
          </w:tcPr>
          <w:p w14:paraId="3C65CC8F" w14:textId="77777777" w:rsidR="00C7558C" w:rsidRPr="00C7558C" w:rsidRDefault="00C7558C" w:rsidP="00C7558C">
            <w:pPr>
              <w:rPr>
                <w:sz w:val="18"/>
                <w:szCs w:val="18"/>
              </w:rPr>
            </w:pPr>
            <w:r w:rsidRPr="00C7558C">
              <w:rPr>
                <w:sz w:val="18"/>
                <w:szCs w:val="18"/>
              </w:rPr>
              <w:t>840</w:t>
            </w:r>
          </w:p>
        </w:tc>
      </w:tr>
      <w:tr w:rsidR="00C7558C" w:rsidRPr="00C7558C" w14:paraId="4F698082" w14:textId="77777777" w:rsidTr="7E656384">
        <w:trPr>
          <w:trHeight w:val="290"/>
        </w:trPr>
        <w:tc>
          <w:tcPr>
            <w:tcW w:w="5539" w:type="dxa"/>
            <w:noWrap/>
            <w:hideMark/>
          </w:tcPr>
          <w:p w14:paraId="5484101F" w14:textId="77777777" w:rsidR="00C7558C" w:rsidRPr="00C7558C" w:rsidRDefault="00C7558C">
            <w:pPr>
              <w:rPr>
                <w:sz w:val="18"/>
                <w:szCs w:val="18"/>
              </w:rPr>
            </w:pPr>
            <w:r w:rsidRPr="00C7558C">
              <w:rPr>
                <w:sz w:val="18"/>
                <w:szCs w:val="18"/>
              </w:rPr>
              <w:t>Exclude patients with a planned readmission as their discharge status</w:t>
            </w:r>
          </w:p>
        </w:tc>
        <w:tc>
          <w:tcPr>
            <w:tcW w:w="1155" w:type="dxa"/>
            <w:noWrap/>
            <w:hideMark/>
          </w:tcPr>
          <w:p w14:paraId="696B6A39" w14:textId="77777777" w:rsidR="00C7558C" w:rsidRPr="00C7558C" w:rsidRDefault="00C7558C" w:rsidP="00C7558C">
            <w:pPr>
              <w:rPr>
                <w:sz w:val="18"/>
                <w:szCs w:val="18"/>
              </w:rPr>
            </w:pPr>
            <w:r w:rsidRPr="00C7558C">
              <w:rPr>
                <w:sz w:val="18"/>
                <w:szCs w:val="18"/>
              </w:rPr>
              <w:t>67,358</w:t>
            </w:r>
          </w:p>
        </w:tc>
        <w:tc>
          <w:tcPr>
            <w:tcW w:w="1386" w:type="dxa"/>
            <w:noWrap/>
            <w:hideMark/>
          </w:tcPr>
          <w:p w14:paraId="58D6FB4D" w14:textId="77777777" w:rsidR="00C7558C" w:rsidRPr="00C7558C" w:rsidRDefault="00C7558C" w:rsidP="00C7558C">
            <w:pPr>
              <w:rPr>
                <w:sz w:val="18"/>
                <w:szCs w:val="18"/>
              </w:rPr>
            </w:pPr>
            <w:r w:rsidRPr="00C7558C">
              <w:rPr>
                <w:sz w:val="18"/>
                <w:szCs w:val="18"/>
              </w:rPr>
              <w:t>99.88%</w:t>
            </w:r>
          </w:p>
        </w:tc>
        <w:tc>
          <w:tcPr>
            <w:tcW w:w="1270" w:type="dxa"/>
            <w:noWrap/>
            <w:hideMark/>
          </w:tcPr>
          <w:p w14:paraId="4A7396B5" w14:textId="77777777" w:rsidR="00C7558C" w:rsidRPr="00C7558C" w:rsidRDefault="00C7558C" w:rsidP="00C7558C">
            <w:pPr>
              <w:rPr>
                <w:sz w:val="18"/>
                <w:szCs w:val="18"/>
              </w:rPr>
            </w:pPr>
            <w:r w:rsidRPr="00C7558C">
              <w:rPr>
                <w:sz w:val="18"/>
                <w:szCs w:val="18"/>
              </w:rPr>
              <w:t>80</w:t>
            </w:r>
          </w:p>
        </w:tc>
      </w:tr>
    </w:tbl>
    <w:p w14:paraId="62394FC4" w14:textId="097E2D81" w:rsidR="00C7558C" w:rsidRDefault="00C7558C" w:rsidP="00825B10"/>
    <w:p w14:paraId="48A455F3" w14:textId="77777777" w:rsidR="00C7558C" w:rsidRDefault="00C7558C">
      <w:r>
        <w:br w:type="page"/>
      </w:r>
    </w:p>
    <w:p w14:paraId="169B75ED" w14:textId="7372E5AB" w:rsidR="003467DD" w:rsidRPr="00855B06" w:rsidRDefault="00825B10" w:rsidP="00825B10">
      <w:pPr>
        <w:rPr>
          <w:b/>
          <w:sz w:val="22"/>
          <w:szCs w:val="22"/>
        </w:rPr>
      </w:pPr>
      <w:r w:rsidRPr="00855B06">
        <w:rPr>
          <w:b/>
          <w:bCs/>
          <w:sz w:val="22"/>
          <w:szCs w:val="22"/>
        </w:rPr>
        <w:t>Supplemental Table S2:</w:t>
      </w:r>
      <w:r w:rsidRPr="00855B06">
        <w:rPr>
          <w:b/>
          <w:sz w:val="22"/>
          <w:szCs w:val="22"/>
        </w:rPr>
        <w:t xml:space="preserve"> </w:t>
      </w:r>
      <w:r w:rsidR="003467DD" w:rsidRPr="00855B06">
        <w:rPr>
          <w:bCs/>
          <w:sz w:val="22"/>
          <w:szCs w:val="22"/>
        </w:rPr>
        <w:t>High-risk comorbidit</w:t>
      </w:r>
      <w:r w:rsidR="00E70BA0" w:rsidRPr="00855B06">
        <w:rPr>
          <w:bCs/>
          <w:sz w:val="22"/>
          <w:szCs w:val="22"/>
        </w:rPr>
        <w:t xml:space="preserve">ies </w:t>
      </w:r>
      <w:r w:rsidR="665BFC71" w:rsidRPr="00855B06">
        <w:rPr>
          <w:bCs/>
          <w:sz w:val="22"/>
          <w:szCs w:val="22"/>
        </w:rPr>
        <w:t xml:space="preserve">by </w:t>
      </w:r>
      <w:r w:rsidR="00E40D13" w:rsidRPr="00855B06">
        <w:rPr>
          <w:bCs/>
          <w:sz w:val="22"/>
          <w:szCs w:val="22"/>
        </w:rPr>
        <w:t>post-discharge care setting</w:t>
      </w:r>
    </w:p>
    <w:tbl>
      <w:tblPr>
        <w:tblStyle w:val="TableGrid"/>
        <w:tblW w:w="9350" w:type="dxa"/>
        <w:tblLayout w:type="fixed"/>
        <w:tblLook w:val="04A0" w:firstRow="1" w:lastRow="0" w:firstColumn="1" w:lastColumn="0" w:noHBand="0" w:noVBand="1"/>
      </w:tblPr>
      <w:tblGrid>
        <w:gridCol w:w="3570"/>
        <w:gridCol w:w="1445"/>
        <w:gridCol w:w="1445"/>
        <w:gridCol w:w="1445"/>
        <w:gridCol w:w="1445"/>
      </w:tblGrid>
      <w:tr w:rsidR="00282BE5" w:rsidRPr="00282BE5" w14:paraId="7C5BFE8C" w14:textId="77777777" w:rsidTr="00830CB5">
        <w:trPr>
          <w:trHeight w:val="250"/>
        </w:trPr>
        <w:tc>
          <w:tcPr>
            <w:tcW w:w="5015" w:type="dxa"/>
            <w:gridSpan w:val="2"/>
            <w:tcBorders>
              <w:right w:val="double" w:sz="4" w:space="0" w:color="auto"/>
            </w:tcBorders>
            <w:noWrap/>
            <w:hideMark/>
          </w:tcPr>
          <w:p w14:paraId="13A92F7B" w14:textId="77777777" w:rsidR="00282BE5" w:rsidRPr="00282BE5" w:rsidRDefault="00282BE5" w:rsidP="00282BE5">
            <w:pPr>
              <w:rPr>
                <w:b/>
                <w:bCs/>
                <w:sz w:val="18"/>
                <w:szCs w:val="18"/>
              </w:rPr>
            </w:pPr>
            <w:r w:rsidRPr="00282BE5">
              <w:rPr>
                <w:b/>
                <w:bCs/>
                <w:sz w:val="18"/>
                <w:szCs w:val="18"/>
              </w:rPr>
              <w:t> </w:t>
            </w:r>
          </w:p>
        </w:tc>
        <w:tc>
          <w:tcPr>
            <w:tcW w:w="4335" w:type="dxa"/>
            <w:gridSpan w:val="3"/>
            <w:tcBorders>
              <w:left w:val="double" w:sz="4" w:space="0" w:color="auto"/>
            </w:tcBorders>
            <w:noWrap/>
            <w:hideMark/>
          </w:tcPr>
          <w:p w14:paraId="5C8F311D" w14:textId="75474D39" w:rsidR="00282BE5" w:rsidRPr="00282BE5" w:rsidRDefault="00282BE5" w:rsidP="00742FC9">
            <w:pPr>
              <w:jc w:val="center"/>
              <w:rPr>
                <w:b/>
                <w:bCs/>
                <w:sz w:val="18"/>
                <w:szCs w:val="18"/>
              </w:rPr>
            </w:pPr>
            <w:r w:rsidRPr="00282BE5">
              <w:rPr>
                <w:b/>
                <w:bCs/>
                <w:sz w:val="18"/>
                <w:szCs w:val="18"/>
              </w:rPr>
              <w:t>First Post-</w:t>
            </w:r>
            <w:r>
              <w:rPr>
                <w:b/>
                <w:bCs/>
                <w:sz w:val="18"/>
                <w:szCs w:val="18"/>
              </w:rPr>
              <w:t>D</w:t>
            </w:r>
            <w:r w:rsidRPr="00282BE5">
              <w:rPr>
                <w:b/>
                <w:bCs/>
                <w:sz w:val="18"/>
                <w:szCs w:val="18"/>
              </w:rPr>
              <w:t xml:space="preserve">ischarge </w:t>
            </w:r>
            <w:r w:rsidR="00E40D13">
              <w:rPr>
                <w:b/>
                <w:bCs/>
                <w:sz w:val="18"/>
                <w:szCs w:val="18"/>
              </w:rPr>
              <w:t>Care Setting</w:t>
            </w:r>
          </w:p>
        </w:tc>
      </w:tr>
      <w:tr w:rsidR="00282BE5" w:rsidRPr="00282BE5" w14:paraId="7D3B9E4E" w14:textId="77777777" w:rsidTr="00830CB5">
        <w:trPr>
          <w:trHeight w:val="790"/>
        </w:trPr>
        <w:tc>
          <w:tcPr>
            <w:tcW w:w="3570" w:type="dxa"/>
            <w:tcBorders>
              <w:right w:val="single" w:sz="4" w:space="0" w:color="000000" w:themeColor="text1"/>
            </w:tcBorders>
            <w:noWrap/>
            <w:hideMark/>
          </w:tcPr>
          <w:p w14:paraId="704138F8" w14:textId="77777777" w:rsidR="00282BE5" w:rsidRPr="00282BE5" w:rsidRDefault="00282BE5" w:rsidP="00282BE5">
            <w:pPr>
              <w:rPr>
                <w:b/>
                <w:bCs/>
                <w:sz w:val="18"/>
                <w:szCs w:val="18"/>
              </w:rPr>
            </w:pPr>
            <w:r w:rsidRPr="00282BE5">
              <w:rPr>
                <w:b/>
                <w:bCs/>
                <w:sz w:val="18"/>
                <w:szCs w:val="18"/>
              </w:rPr>
              <w:t>Characteristic</w:t>
            </w:r>
          </w:p>
        </w:tc>
        <w:tc>
          <w:tcPr>
            <w:tcW w:w="1445" w:type="dxa"/>
            <w:tcBorders>
              <w:top w:val="single" w:sz="4" w:space="0" w:color="000000" w:themeColor="text1"/>
              <w:left w:val="single" w:sz="4" w:space="0" w:color="000000" w:themeColor="text1"/>
              <w:bottom w:val="single" w:sz="4" w:space="0" w:color="000000" w:themeColor="text1"/>
              <w:right w:val="double" w:sz="4" w:space="0" w:color="auto"/>
            </w:tcBorders>
            <w:hideMark/>
          </w:tcPr>
          <w:p w14:paraId="11336288" w14:textId="77777777" w:rsidR="00282BE5" w:rsidRPr="00282BE5" w:rsidRDefault="00282BE5" w:rsidP="00282BE5">
            <w:pPr>
              <w:rPr>
                <w:b/>
                <w:bCs/>
                <w:sz w:val="18"/>
                <w:szCs w:val="18"/>
              </w:rPr>
            </w:pPr>
            <w:r w:rsidRPr="00282BE5">
              <w:rPr>
                <w:b/>
                <w:bCs/>
                <w:sz w:val="18"/>
                <w:szCs w:val="18"/>
              </w:rPr>
              <w:t>Overall</w:t>
            </w:r>
          </w:p>
        </w:tc>
        <w:tc>
          <w:tcPr>
            <w:tcW w:w="1445" w:type="dxa"/>
            <w:tcBorders>
              <w:left w:val="double" w:sz="4" w:space="0" w:color="auto"/>
            </w:tcBorders>
            <w:hideMark/>
          </w:tcPr>
          <w:p w14:paraId="7B57A630" w14:textId="7F4B51CE" w:rsidR="00282BE5" w:rsidRPr="00282BE5" w:rsidRDefault="00282BE5" w:rsidP="00282BE5">
            <w:pPr>
              <w:rPr>
                <w:b/>
                <w:bCs/>
                <w:sz w:val="18"/>
                <w:szCs w:val="18"/>
              </w:rPr>
            </w:pPr>
            <w:r w:rsidRPr="00282BE5">
              <w:rPr>
                <w:b/>
                <w:bCs/>
                <w:sz w:val="18"/>
                <w:szCs w:val="18"/>
              </w:rPr>
              <w:t xml:space="preserve">Home </w:t>
            </w:r>
            <w:r w:rsidRPr="00282BE5">
              <w:rPr>
                <w:b/>
                <w:bCs/>
                <w:sz w:val="18"/>
                <w:szCs w:val="18"/>
              </w:rPr>
              <w:br/>
              <w:t>(self-care)</w:t>
            </w:r>
          </w:p>
        </w:tc>
        <w:tc>
          <w:tcPr>
            <w:tcW w:w="1445" w:type="dxa"/>
            <w:hideMark/>
          </w:tcPr>
          <w:p w14:paraId="6C8F74C6" w14:textId="3CAC9C9B" w:rsidR="00282BE5" w:rsidRPr="00282BE5" w:rsidRDefault="00282BE5" w:rsidP="00282BE5">
            <w:pPr>
              <w:rPr>
                <w:b/>
                <w:bCs/>
                <w:sz w:val="18"/>
                <w:szCs w:val="18"/>
              </w:rPr>
            </w:pPr>
            <w:r w:rsidRPr="00282BE5">
              <w:rPr>
                <w:b/>
                <w:bCs/>
                <w:sz w:val="18"/>
                <w:szCs w:val="18"/>
              </w:rPr>
              <w:t xml:space="preserve">Home </w:t>
            </w:r>
            <w:r w:rsidRPr="00282BE5">
              <w:rPr>
                <w:b/>
                <w:bCs/>
                <w:sz w:val="18"/>
                <w:szCs w:val="18"/>
              </w:rPr>
              <w:br/>
              <w:t>(under</w:t>
            </w:r>
            <w:r w:rsidR="00842266">
              <w:rPr>
                <w:b/>
                <w:bCs/>
                <w:sz w:val="18"/>
                <w:szCs w:val="18"/>
              </w:rPr>
              <w:t xml:space="preserve"> </w:t>
            </w:r>
            <w:r w:rsidRPr="00282BE5">
              <w:rPr>
                <w:b/>
                <w:bCs/>
                <w:sz w:val="18"/>
                <w:szCs w:val="18"/>
              </w:rPr>
              <w:t>care)</w:t>
            </w:r>
          </w:p>
        </w:tc>
        <w:tc>
          <w:tcPr>
            <w:tcW w:w="1445" w:type="dxa"/>
            <w:hideMark/>
          </w:tcPr>
          <w:p w14:paraId="567FBB27" w14:textId="558F8AA8" w:rsidR="00282BE5" w:rsidRPr="00D05136" w:rsidRDefault="00282BE5" w:rsidP="00282BE5">
            <w:pPr>
              <w:rPr>
                <w:b/>
                <w:bCs/>
                <w:sz w:val="18"/>
                <w:szCs w:val="18"/>
                <w:vertAlign w:val="superscript"/>
              </w:rPr>
            </w:pPr>
            <w:r w:rsidRPr="00282BE5">
              <w:rPr>
                <w:b/>
                <w:bCs/>
                <w:sz w:val="18"/>
                <w:szCs w:val="18"/>
              </w:rPr>
              <w:t xml:space="preserve">Any </w:t>
            </w:r>
            <w:r w:rsidRPr="00282BE5">
              <w:rPr>
                <w:b/>
                <w:bCs/>
                <w:sz w:val="18"/>
                <w:szCs w:val="18"/>
              </w:rPr>
              <w:br/>
              <w:t>healthcare</w:t>
            </w:r>
            <w:r w:rsidRPr="00282BE5">
              <w:rPr>
                <w:b/>
                <w:bCs/>
                <w:sz w:val="18"/>
                <w:szCs w:val="18"/>
              </w:rPr>
              <w:br/>
              <w:t xml:space="preserve"> facility</w:t>
            </w:r>
            <w:r w:rsidR="00D05136">
              <w:rPr>
                <w:b/>
                <w:bCs/>
                <w:sz w:val="18"/>
                <w:szCs w:val="18"/>
                <w:vertAlign w:val="superscript"/>
              </w:rPr>
              <w:t>1</w:t>
            </w:r>
          </w:p>
        </w:tc>
      </w:tr>
      <w:tr w:rsidR="00282BE5" w:rsidRPr="00282BE5" w14:paraId="59245AD2" w14:textId="77777777" w:rsidTr="00830CB5">
        <w:trPr>
          <w:trHeight w:val="250"/>
        </w:trPr>
        <w:tc>
          <w:tcPr>
            <w:tcW w:w="3570" w:type="dxa"/>
            <w:noWrap/>
            <w:hideMark/>
          </w:tcPr>
          <w:p w14:paraId="7E8A86D2" w14:textId="77FDE59A" w:rsidR="00282BE5" w:rsidRPr="007A0C47" w:rsidRDefault="00282BE5" w:rsidP="2B242B95">
            <w:pPr>
              <w:rPr>
                <w:sz w:val="18"/>
                <w:szCs w:val="18"/>
              </w:rPr>
            </w:pPr>
            <w:r w:rsidRPr="007A0C47">
              <w:rPr>
                <w:sz w:val="18"/>
                <w:szCs w:val="18"/>
              </w:rPr>
              <w:t>Patient </w:t>
            </w:r>
            <w:r w:rsidR="007A0C47">
              <w:rPr>
                <w:sz w:val="18"/>
                <w:szCs w:val="18"/>
              </w:rPr>
              <w:t>c</w:t>
            </w:r>
            <w:r w:rsidRPr="007A0C47">
              <w:rPr>
                <w:sz w:val="18"/>
                <w:szCs w:val="18"/>
              </w:rPr>
              <w:t>ount</w:t>
            </w:r>
          </w:p>
          <w:p w14:paraId="7335200D" w14:textId="622D0774" w:rsidR="00282BE5" w:rsidRPr="00282BE5" w:rsidRDefault="4ECA25E8" w:rsidP="3E84F8E8">
            <w:pPr>
              <w:rPr>
                <w:sz w:val="18"/>
                <w:szCs w:val="18"/>
              </w:rPr>
            </w:pPr>
            <w:r w:rsidRPr="3E84F8E8">
              <w:rPr>
                <w:sz w:val="18"/>
                <w:szCs w:val="18"/>
              </w:rPr>
              <w:t>N</w:t>
            </w:r>
            <w:r w:rsidR="789ABCB6" w:rsidRPr="1680A125">
              <w:rPr>
                <w:sz w:val="18"/>
                <w:szCs w:val="18"/>
              </w:rPr>
              <w:t xml:space="preserve"> </w:t>
            </w:r>
            <w:r w:rsidRPr="3E84F8E8">
              <w:rPr>
                <w:sz w:val="18"/>
                <w:szCs w:val="18"/>
              </w:rPr>
              <w:t>(%)</w:t>
            </w:r>
          </w:p>
        </w:tc>
        <w:tc>
          <w:tcPr>
            <w:tcW w:w="1445" w:type="dxa"/>
            <w:tcBorders>
              <w:top w:val="single" w:sz="4" w:space="0" w:color="000000" w:themeColor="text1"/>
              <w:right w:val="double" w:sz="4" w:space="0" w:color="auto"/>
            </w:tcBorders>
            <w:noWrap/>
            <w:hideMark/>
          </w:tcPr>
          <w:p w14:paraId="581B8D87" w14:textId="77777777" w:rsidR="00282BE5" w:rsidRPr="00282BE5" w:rsidRDefault="00282BE5" w:rsidP="00282BE5">
            <w:pPr>
              <w:rPr>
                <w:b/>
                <w:bCs/>
                <w:sz w:val="18"/>
                <w:szCs w:val="18"/>
              </w:rPr>
            </w:pPr>
            <w:r w:rsidRPr="00282BE5">
              <w:rPr>
                <w:b/>
                <w:bCs/>
                <w:sz w:val="18"/>
                <w:szCs w:val="18"/>
              </w:rPr>
              <w:t>67358 (100.0%)</w:t>
            </w:r>
          </w:p>
        </w:tc>
        <w:tc>
          <w:tcPr>
            <w:tcW w:w="1445" w:type="dxa"/>
            <w:tcBorders>
              <w:left w:val="double" w:sz="4" w:space="0" w:color="auto"/>
            </w:tcBorders>
            <w:noWrap/>
            <w:hideMark/>
          </w:tcPr>
          <w:p w14:paraId="34116928" w14:textId="77777777" w:rsidR="00282BE5" w:rsidRPr="00282BE5" w:rsidRDefault="00282BE5" w:rsidP="00282BE5">
            <w:pPr>
              <w:rPr>
                <w:b/>
                <w:bCs/>
                <w:sz w:val="18"/>
                <w:szCs w:val="18"/>
              </w:rPr>
            </w:pPr>
            <w:r w:rsidRPr="00282BE5">
              <w:rPr>
                <w:b/>
                <w:bCs/>
                <w:sz w:val="18"/>
                <w:szCs w:val="18"/>
              </w:rPr>
              <w:t>25962 (38.5%)</w:t>
            </w:r>
          </w:p>
        </w:tc>
        <w:tc>
          <w:tcPr>
            <w:tcW w:w="1445" w:type="dxa"/>
            <w:noWrap/>
            <w:hideMark/>
          </w:tcPr>
          <w:p w14:paraId="1AFBF9B4" w14:textId="77777777" w:rsidR="00282BE5" w:rsidRPr="00282BE5" w:rsidRDefault="00282BE5" w:rsidP="00282BE5">
            <w:pPr>
              <w:rPr>
                <w:b/>
                <w:bCs/>
                <w:sz w:val="18"/>
                <w:szCs w:val="18"/>
              </w:rPr>
            </w:pPr>
            <w:r w:rsidRPr="00282BE5">
              <w:rPr>
                <w:b/>
                <w:bCs/>
                <w:sz w:val="18"/>
                <w:szCs w:val="18"/>
              </w:rPr>
              <w:t>17248 (25.6%)</w:t>
            </w:r>
          </w:p>
        </w:tc>
        <w:tc>
          <w:tcPr>
            <w:tcW w:w="1445" w:type="dxa"/>
            <w:noWrap/>
            <w:hideMark/>
          </w:tcPr>
          <w:p w14:paraId="4FA71D85" w14:textId="77777777" w:rsidR="00282BE5" w:rsidRPr="00282BE5" w:rsidRDefault="00282BE5" w:rsidP="00282BE5">
            <w:pPr>
              <w:rPr>
                <w:b/>
                <w:bCs/>
                <w:sz w:val="18"/>
                <w:szCs w:val="18"/>
              </w:rPr>
            </w:pPr>
            <w:r w:rsidRPr="00282BE5">
              <w:rPr>
                <w:b/>
                <w:bCs/>
                <w:sz w:val="18"/>
                <w:szCs w:val="18"/>
              </w:rPr>
              <w:t>24148 (35.9%)</w:t>
            </w:r>
          </w:p>
        </w:tc>
      </w:tr>
      <w:tr w:rsidR="00282BE5" w:rsidRPr="00282BE5" w14:paraId="718C4913" w14:textId="77777777" w:rsidTr="7E656384">
        <w:trPr>
          <w:trHeight w:val="250"/>
        </w:trPr>
        <w:tc>
          <w:tcPr>
            <w:tcW w:w="9350" w:type="dxa"/>
            <w:gridSpan w:val="5"/>
            <w:noWrap/>
            <w:hideMark/>
          </w:tcPr>
          <w:p w14:paraId="2001D209" w14:textId="28ABF215" w:rsidR="2C8EBE6F" w:rsidRDefault="2C8EBE6F" w:rsidP="7E656384">
            <w:pPr>
              <w:rPr>
                <w:b/>
                <w:bCs/>
                <w:sz w:val="18"/>
                <w:szCs w:val="18"/>
              </w:rPr>
            </w:pPr>
            <w:r w:rsidRPr="7E656384">
              <w:rPr>
                <w:b/>
                <w:bCs/>
                <w:sz w:val="18"/>
                <w:szCs w:val="18"/>
              </w:rPr>
              <w:t>High-</w:t>
            </w:r>
            <w:r w:rsidR="007A0C47" w:rsidRPr="7E656384">
              <w:rPr>
                <w:b/>
                <w:bCs/>
                <w:sz w:val="18"/>
                <w:szCs w:val="18"/>
              </w:rPr>
              <w:t>r</w:t>
            </w:r>
            <w:r w:rsidRPr="7E656384">
              <w:rPr>
                <w:b/>
                <w:bCs/>
                <w:sz w:val="18"/>
                <w:szCs w:val="18"/>
              </w:rPr>
              <w:t>isk </w:t>
            </w:r>
            <w:r w:rsidR="007A0C47" w:rsidRPr="7E656384">
              <w:rPr>
                <w:b/>
                <w:bCs/>
                <w:sz w:val="18"/>
                <w:szCs w:val="18"/>
              </w:rPr>
              <w:t>c</w:t>
            </w:r>
            <w:r w:rsidRPr="7E656384">
              <w:rPr>
                <w:b/>
                <w:bCs/>
                <w:sz w:val="18"/>
                <w:szCs w:val="18"/>
              </w:rPr>
              <w:t>omorbidities</w:t>
            </w:r>
          </w:p>
        </w:tc>
      </w:tr>
      <w:tr w:rsidR="00282BE5" w:rsidRPr="00282BE5" w14:paraId="285B3A06" w14:textId="77777777" w:rsidTr="00830CB5">
        <w:trPr>
          <w:trHeight w:val="250"/>
        </w:trPr>
        <w:tc>
          <w:tcPr>
            <w:tcW w:w="3570" w:type="dxa"/>
            <w:noWrap/>
            <w:hideMark/>
          </w:tcPr>
          <w:p w14:paraId="2DDC50C5" w14:textId="4106D83F" w:rsidR="00282BE5" w:rsidRPr="00282BE5" w:rsidRDefault="00282BE5">
            <w:pPr>
              <w:rPr>
                <w:b/>
                <w:bCs/>
                <w:sz w:val="18"/>
                <w:szCs w:val="18"/>
              </w:rPr>
            </w:pPr>
            <w:r w:rsidRPr="00282BE5">
              <w:rPr>
                <w:b/>
                <w:bCs/>
                <w:sz w:val="18"/>
                <w:szCs w:val="18"/>
              </w:rPr>
              <w:t>      Any </w:t>
            </w:r>
            <w:r w:rsidR="007A0C47">
              <w:rPr>
                <w:b/>
                <w:bCs/>
                <w:sz w:val="18"/>
                <w:szCs w:val="18"/>
              </w:rPr>
              <w:t>h</w:t>
            </w:r>
            <w:r w:rsidRPr="00282BE5">
              <w:rPr>
                <w:b/>
                <w:bCs/>
                <w:sz w:val="18"/>
                <w:szCs w:val="18"/>
              </w:rPr>
              <w:t>igh-</w:t>
            </w:r>
            <w:r w:rsidR="007A0C47">
              <w:rPr>
                <w:b/>
                <w:bCs/>
                <w:sz w:val="18"/>
                <w:szCs w:val="18"/>
              </w:rPr>
              <w:t>r</w:t>
            </w:r>
            <w:r w:rsidRPr="00282BE5">
              <w:rPr>
                <w:b/>
                <w:bCs/>
                <w:sz w:val="18"/>
                <w:szCs w:val="18"/>
              </w:rPr>
              <w:t>isk </w:t>
            </w:r>
            <w:r w:rsidR="007A0C47">
              <w:rPr>
                <w:b/>
                <w:bCs/>
                <w:sz w:val="18"/>
                <w:szCs w:val="18"/>
              </w:rPr>
              <w:t>c</w:t>
            </w:r>
            <w:r w:rsidRPr="00282BE5">
              <w:rPr>
                <w:b/>
                <w:bCs/>
                <w:sz w:val="18"/>
                <w:szCs w:val="18"/>
              </w:rPr>
              <w:t>ondition</w:t>
            </w:r>
          </w:p>
        </w:tc>
        <w:tc>
          <w:tcPr>
            <w:tcW w:w="1445" w:type="dxa"/>
            <w:tcBorders>
              <w:right w:val="double" w:sz="4" w:space="0" w:color="auto"/>
            </w:tcBorders>
            <w:noWrap/>
            <w:hideMark/>
          </w:tcPr>
          <w:p w14:paraId="78135A93" w14:textId="77777777" w:rsidR="00282BE5" w:rsidRPr="00282BE5" w:rsidRDefault="00282BE5" w:rsidP="00282BE5">
            <w:pPr>
              <w:rPr>
                <w:sz w:val="18"/>
                <w:szCs w:val="18"/>
              </w:rPr>
            </w:pPr>
            <w:r w:rsidRPr="00282BE5">
              <w:rPr>
                <w:sz w:val="18"/>
                <w:szCs w:val="18"/>
              </w:rPr>
              <w:t>64919 (96.4%)</w:t>
            </w:r>
          </w:p>
        </w:tc>
        <w:tc>
          <w:tcPr>
            <w:tcW w:w="1445" w:type="dxa"/>
            <w:tcBorders>
              <w:left w:val="double" w:sz="4" w:space="0" w:color="auto"/>
            </w:tcBorders>
            <w:noWrap/>
            <w:hideMark/>
          </w:tcPr>
          <w:p w14:paraId="19869E69" w14:textId="77777777" w:rsidR="00282BE5" w:rsidRPr="00282BE5" w:rsidRDefault="00282BE5" w:rsidP="00282BE5">
            <w:pPr>
              <w:rPr>
                <w:sz w:val="18"/>
                <w:szCs w:val="18"/>
              </w:rPr>
            </w:pPr>
            <w:r w:rsidRPr="00282BE5">
              <w:rPr>
                <w:sz w:val="18"/>
                <w:szCs w:val="18"/>
              </w:rPr>
              <w:t>24697 (95.1%)</w:t>
            </w:r>
          </w:p>
        </w:tc>
        <w:tc>
          <w:tcPr>
            <w:tcW w:w="1445" w:type="dxa"/>
            <w:noWrap/>
            <w:hideMark/>
          </w:tcPr>
          <w:p w14:paraId="5C77CFED" w14:textId="77777777" w:rsidR="00282BE5" w:rsidRPr="00282BE5" w:rsidRDefault="00282BE5" w:rsidP="00282BE5">
            <w:pPr>
              <w:rPr>
                <w:sz w:val="18"/>
                <w:szCs w:val="18"/>
              </w:rPr>
            </w:pPr>
            <w:r w:rsidRPr="00282BE5">
              <w:rPr>
                <w:sz w:val="18"/>
                <w:szCs w:val="18"/>
              </w:rPr>
              <w:t>16768 (97.2%)</w:t>
            </w:r>
          </w:p>
        </w:tc>
        <w:tc>
          <w:tcPr>
            <w:tcW w:w="1445" w:type="dxa"/>
            <w:noWrap/>
            <w:hideMark/>
          </w:tcPr>
          <w:p w14:paraId="7B709042" w14:textId="77777777" w:rsidR="00282BE5" w:rsidRPr="00282BE5" w:rsidRDefault="00282BE5" w:rsidP="00282BE5">
            <w:pPr>
              <w:rPr>
                <w:sz w:val="18"/>
                <w:szCs w:val="18"/>
              </w:rPr>
            </w:pPr>
            <w:r w:rsidRPr="00282BE5">
              <w:rPr>
                <w:sz w:val="18"/>
                <w:szCs w:val="18"/>
              </w:rPr>
              <w:t>23454 (97.1%)</w:t>
            </w:r>
          </w:p>
        </w:tc>
      </w:tr>
      <w:tr w:rsidR="00282BE5" w:rsidRPr="00282BE5" w14:paraId="43C50F6F" w14:textId="77777777" w:rsidTr="00830CB5">
        <w:trPr>
          <w:trHeight w:val="250"/>
        </w:trPr>
        <w:tc>
          <w:tcPr>
            <w:tcW w:w="3570" w:type="dxa"/>
            <w:noWrap/>
            <w:hideMark/>
          </w:tcPr>
          <w:p w14:paraId="4ECDD05F" w14:textId="77777777" w:rsidR="00282BE5" w:rsidRPr="00282BE5" w:rsidRDefault="00282BE5">
            <w:pPr>
              <w:rPr>
                <w:sz w:val="18"/>
                <w:szCs w:val="18"/>
              </w:rPr>
            </w:pPr>
            <w:r w:rsidRPr="00282BE5">
              <w:rPr>
                <w:sz w:val="18"/>
                <w:szCs w:val="18"/>
              </w:rPr>
              <w:t>      Asthma</w:t>
            </w:r>
          </w:p>
        </w:tc>
        <w:tc>
          <w:tcPr>
            <w:tcW w:w="1445" w:type="dxa"/>
            <w:tcBorders>
              <w:right w:val="double" w:sz="4" w:space="0" w:color="auto"/>
            </w:tcBorders>
            <w:noWrap/>
            <w:hideMark/>
          </w:tcPr>
          <w:p w14:paraId="48BF9E55" w14:textId="77777777" w:rsidR="00282BE5" w:rsidRPr="00282BE5" w:rsidRDefault="00282BE5" w:rsidP="00282BE5">
            <w:pPr>
              <w:rPr>
                <w:sz w:val="18"/>
                <w:szCs w:val="18"/>
              </w:rPr>
            </w:pPr>
            <w:r w:rsidRPr="00282BE5">
              <w:rPr>
                <w:sz w:val="18"/>
                <w:szCs w:val="18"/>
              </w:rPr>
              <w:t>1700 (2.5%)</w:t>
            </w:r>
          </w:p>
        </w:tc>
        <w:tc>
          <w:tcPr>
            <w:tcW w:w="1445" w:type="dxa"/>
            <w:tcBorders>
              <w:left w:val="double" w:sz="4" w:space="0" w:color="auto"/>
            </w:tcBorders>
            <w:noWrap/>
            <w:hideMark/>
          </w:tcPr>
          <w:p w14:paraId="7A2A0A34" w14:textId="77777777" w:rsidR="00282BE5" w:rsidRPr="00282BE5" w:rsidRDefault="00282BE5" w:rsidP="00282BE5">
            <w:pPr>
              <w:rPr>
                <w:sz w:val="18"/>
                <w:szCs w:val="18"/>
              </w:rPr>
            </w:pPr>
            <w:r w:rsidRPr="00282BE5">
              <w:rPr>
                <w:sz w:val="18"/>
                <w:szCs w:val="18"/>
              </w:rPr>
              <w:t>806 (3.1%)</w:t>
            </w:r>
          </w:p>
        </w:tc>
        <w:tc>
          <w:tcPr>
            <w:tcW w:w="1445" w:type="dxa"/>
            <w:noWrap/>
            <w:hideMark/>
          </w:tcPr>
          <w:p w14:paraId="39D6593D" w14:textId="77777777" w:rsidR="00282BE5" w:rsidRPr="00282BE5" w:rsidRDefault="00282BE5" w:rsidP="00282BE5">
            <w:pPr>
              <w:rPr>
                <w:sz w:val="18"/>
                <w:szCs w:val="18"/>
              </w:rPr>
            </w:pPr>
            <w:r w:rsidRPr="00282BE5">
              <w:rPr>
                <w:sz w:val="18"/>
                <w:szCs w:val="18"/>
              </w:rPr>
              <w:t>468 (2.7%)</w:t>
            </w:r>
          </w:p>
        </w:tc>
        <w:tc>
          <w:tcPr>
            <w:tcW w:w="1445" w:type="dxa"/>
            <w:noWrap/>
            <w:hideMark/>
          </w:tcPr>
          <w:p w14:paraId="6F2A45CF" w14:textId="77777777" w:rsidR="00282BE5" w:rsidRPr="00282BE5" w:rsidRDefault="00282BE5" w:rsidP="00282BE5">
            <w:pPr>
              <w:rPr>
                <w:sz w:val="18"/>
                <w:szCs w:val="18"/>
              </w:rPr>
            </w:pPr>
            <w:r w:rsidRPr="00282BE5">
              <w:rPr>
                <w:sz w:val="18"/>
                <w:szCs w:val="18"/>
              </w:rPr>
              <w:t>426 (1.8%)</w:t>
            </w:r>
          </w:p>
        </w:tc>
      </w:tr>
      <w:tr w:rsidR="00282BE5" w:rsidRPr="00282BE5" w14:paraId="04A44029" w14:textId="77777777" w:rsidTr="00830CB5">
        <w:trPr>
          <w:trHeight w:val="250"/>
        </w:trPr>
        <w:tc>
          <w:tcPr>
            <w:tcW w:w="3570" w:type="dxa"/>
            <w:noWrap/>
            <w:hideMark/>
          </w:tcPr>
          <w:p w14:paraId="79EDEB44" w14:textId="77777777" w:rsidR="00282BE5" w:rsidRPr="00282BE5" w:rsidRDefault="00282BE5">
            <w:pPr>
              <w:rPr>
                <w:sz w:val="18"/>
                <w:szCs w:val="18"/>
              </w:rPr>
            </w:pPr>
            <w:r w:rsidRPr="00282BE5">
              <w:rPr>
                <w:sz w:val="18"/>
                <w:szCs w:val="18"/>
              </w:rPr>
              <w:t>      Cancer</w:t>
            </w:r>
          </w:p>
        </w:tc>
        <w:tc>
          <w:tcPr>
            <w:tcW w:w="1445" w:type="dxa"/>
            <w:tcBorders>
              <w:right w:val="double" w:sz="4" w:space="0" w:color="auto"/>
            </w:tcBorders>
            <w:noWrap/>
            <w:hideMark/>
          </w:tcPr>
          <w:p w14:paraId="376776A8" w14:textId="77777777" w:rsidR="00282BE5" w:rsidRPr="00282BE5" w:rsidRDefault="00282BE5" w:rsidP="00282BE5">
            <w:pPr>
              <w:rPr>
                <w:sz w:val="18"/>
                <w:szCs w:val="18"/>
              </w:rPr>
            </w:pPr>
            <w:r w:rsidRPr="00282BE5">
              <w:rPr>
                <w:sz w:val="18"/>
                <w:szCs w:val="18"/>
              </w:rPr>
              <w:t>25728 (38.2%)</w:t>
            </w:r>
          </w:p>
        </w:tc>
        <w:tc>
          <w:tcPr>
            <w:tcW w:w="1445" w:type="dxa"/>
            <w:tcBorders>
              <w:left w:val="double" w:sz="4" w:space="0" w:color="auto"/>
            </w:tcBorders>
            <w:noWrap/>
            <w:hideMark/>
          </w:tcPr>
          <w:p w14:paraId="173FD4B0" w14:textId="77777777" w:rsidR="00282BE5" w:rsidRPr="00282BE5" w:rsidRDefault="00282BE5" w:rsidP="00282BE5">
            <w:pPr>
              <w:rPr>
                <w:sz w:val="18"/>
                <w:szCs w:val="18"/>
              </w:rPr>
            </w:pPr>
            <w:r w:rsidRPr="00282BE5">
              <w:rPr>
                <w:sz w:val="18"/>
                <w:szCs w:val="18"/>
              </w:rPr>
              <w:t>10218 (39.4%)</w:t>
            </w:r>
          </w:p>
        </w:tc>
        <w:tc>
          <w:tcPr>
            <w:tcW w:w="1445" w:type="dxa"/>
            <w:noWrap/>
            <w:hideMark/>
          </w:tcPr>
          <w:p w14:paraId="06CF2C9F" w14:textId="77777777" w:rsidR="00282BE5" w:rsidRPr="00282BE5" w:rsidRDefault="00282BE5" w:rsidP="00282BE5">
            <w:pPr>
              <w:rPr>
                <w:sz w:val="18"/>
                <w:szCs w:val="18"/>
              </w:rPr>
            </w:pPr>
            <w:r w:rsidRPr="00282BE5">
              <w:rPr>
                <w:sz w:val="18"/>
                <w:szCs w:val="18"/>
              </w:rPr>
              <w:t>7037 (40.8%)</w:t>
            </w:r>
          </w:p>
        </w:tc>
        <w:tc>
          <w:tcPr>
            <w:tcW w:w="1445" w:type="dxa"/>
            <w:noWrap/>
            <w:hideMark/>
          </w:tcPr>
          <w:p w14:paraId="54EF8A94" w14:textId="77777777" w:rsidR="00282BE5" w:rsidRPr="00282BE5" w:rsidRDefault="00282BE5" w:rsidP="00282BE5">
            <w:pPr>
              <w:rPr>
                <w:sz w:val="18"/>
                <w:szCs w:val="18"/>
              </w:rPr>
            </w:pPr>
            <w:r w:rsidRPr="00282BE5">
              <w:rPr>
                <w:sz w:val="18"/>
                <w:szCs w:val="18"/>
              </w:rPr>
              <w:t>8473 (35.1%)</w:t>
            </w:r>
          </w:p>
        </w:tc>
      </w:tr>
      <w:tr w:rsidR="00282BE5" w:rsidRPr="00282BE5" w14:paraId="5A95F6DF" w14:textId="77777777" w:rsidTr="00830CB5">
        <w:trPr>
          <w:trHeight w:val="250"/>
        </w:trPr>
        <w:tc>
          <w:tcPr>
            <w:tcW w:w="3570" w:type="dxa"/>
            <w:noWrap/>
            <w:hideMark/>
          </w:tcPr>
          <w:p w14:paraId="2C3E2A0E" w14:textId="02E4A477" w:rsidR="00282BE5" w:rsidRPr="00282BE5" w:rsidRDefault="00282BE5">
            <w:pPr>
              <w:rPr>
                <w:sz w:val="18"/>
                <w:szCs w:val="18"/>
              </w:rPr>
            </w:pPr>
            <w:r w:rsidRPr="00282BE5">
              <w:rPr>
                <w:sz w:val="18"/>
                <w:szCs w:val="18"/>
              </w:rPr>
              <w:t>      Cerebrovascular </w:t>
            </w:r>
            <w:r w:rsidR="007A0C47">
              <w:rPr>
                <w:sz w:val="18"/>
                <w:szCs w:val="18"/>
              </w:rPr>
              <w:t>d</w:t>
            </w:r>
            <w:r w:rsidRPr="00282BE5">
              <w:rPr>
                <w:sz w:val="18"/>
                <w:szCs w:val="18"/>
              </w:rPr>
              <w:t>isease</w:t>
            </w:r>
          </w:p>
        </w:tc>
        <w:tc>
          <w:tcPr>
            <w:tcW w:w="1445" w:type="dxa"/>
            <w:tcBorders>
              <w:right w:val="double" w:sz="4" w:space="0" w:color="auto"/>
            </w:tcBorders>
            <w:noWrap/>
            <w:hideMark/>
          </w:tcPr>
          <w:p w14:paraId="67E027A9" w14:textId="77777777" w:rsidR="00282BE5" w:rsidRPr="00282BE5" w:rsidRDefault="00282BE5" w:rsidP="00282BE5">
            <w:pPr>
              <w:rPr>
                <w:sz w:val="18"/>
                <w:szCs w:val="18"/>
              </w:rPr>
            </w:pPr>
            <w:r w:rsidRPr="00282BE5">
              <w:rPr>
                <w:sz w:val="18"/>
                <w:szCs w:val="18"/>
              </w:rPr>
              <w:t>31045 (46.1%)</w:t>
            </w:r>
          </w:p>
        </w:tc>
        <w:tc>
          <w:tcPr>
            <w:tcW w:w="1445" w:type="dxa"/>
            <w:tcBorders>
              <w:left w:val="double" w:sz="4" w:space="0" w:color="auto"/>
            </w:tcBorders>
            <w:noWrap/>
            <w:hideMark/>
          </w:tcPr>
          <w:p w14:paraId="1D5E70AA" w14:textId="77777777" w:rsidR="00282BE5" w:rsidRPr="00282BE5" w:rsidRDefault="00282BE5" w:rsidP="00282BE5">
            <w:pPr>
              <w:rPr>
                <w:sz w:val="18"/>
                <w:szCs w:val="18"/>
              </w:rPr>
            </w:pPr>
            <w:r w:rsidRPr="00282BE5">
              <w:rPr>
                <w:sz w:val="18"/>
                <w:szCs w:val="18"/>
              </w:rPr>
              <w:t>9182 (35.4%)</w:t>
            </w:r>
          </w:p>
        </w:tc>
        <w:tc>
          <w:tcPr>
            <w:tcW w:w="1445" w:type="dxa"/>
            <w:noWrap/>
            <w:hideMark/>
          </w:tcPr>
          <w:p w14:paraId="4B14DD4F" w14:textId="77777777" w:rsidR="00282BE5" w:rsidRPr="00282BE5" w:rsidRDefault="00282BE5" w:rsidP="00282BE5">
            <w:pPr>
              <w:rPr>
                <w:sz w:val="18"/>
                <w:szCs w:val="18"/>
              </w:rPr>
            </w:pPr>
            <w:r w:rsidRPr="00282BE5">
              <w:rPr>
                <w:sz w:val="18"/>
                <w:szCs w:val="18"/>
              </w:rPr>
              <w:t>8287 (48.0%)</w:t>
            </w:r>
          </w:p>
        </w:tc>
        <w:tc>
          <w:tcPr>
            <w:tcW w:w="1445" w:type="dxa"/>
            <w:noWrap/>
            <w:hideMark/>
          </w:tcPr>
          <w:p w14:paraId="7A7AF856" w14:textId="77777777" w:rsidR="00282BE5" w:rsidRPr="00282BE5" w:rsidRDefault="00282BE5" w:rsidP="00282BE5">
            <w:pPr>
              <w:rPr>
                <w:sz w:val="18"/>
                <w:szCs w:val="18"/>
              </w:rPr>
            </w:pPr>
            <w:r w:rsidRPr="00282BE5">
              <w:rPr>
                <w:sz w:val="18"/>
                <w:szCs w:val="18"/>
              </w:rPr>
              <w:t>13576 (56.2%)</w:t>
            </w:r>
          </w:p>
        </w:tc>
      </w:tr>
      <w:tr w:rsidR="00282BE5" w:rsidRPr="00282BE5" w14:paraId="17D9F2C6" w14:textId="77777777" w:rsidTr="00830CB5">
        <w:trPr>
          <w:trHeight w:val="250"/>
        </w:trPr>
        <w:tc>
          <w:tcPr>
            <w:tcW w:w="3570" w:type="dxa"/>
            <w:noWrap/>
            <w:hideMark/>
          </w:tcPr>
          <w:p w14:paraId="462CBE20" w14:textId="6E3A658F" w:rsidR="00282BE5" w:rsidRPr="00282BE5" w:rsidRDefault="00282BE5">
            <w:pPr>
              <w:rPr>
                <w:sz w:val="18"/>
                <w:szCs w:val="18"/>
              </w:rPr>
            </w:pPr>
            <w:r w:rsidRPr="00282BE5">
              <w:rPr>
                <w:sz w:val="18"/>
                <w:szCs w:val="18"/>
              </w:rPr>
              <w:t>      Chronic </w:t>
            </w:r>
            <w:r w:rsidR="007A0C47">
              <w:rPr>
                <w:sz w:val="18"/>
                <w:szCs w:val="18"/>
              </w:rPr>
              <w:t>k</w:t>
            </w:r>
            <w:r w:rsidRPr="00282BE5">
              <w:rPr>
                <w:sz w:val="18"/>
                <w:szCs w:val="18"/>
              </w:rPr>
              <w:t>idney </w:t>
            </w:r>
            <w:r w:rsidR="007A0C47">
              <w:rPr>
                <w:sz w:val="18"/>
                <w:szCs w:val="18"/>
              </w:rPr>
              <w:t>d</w:t>
            </w:r>
            <w:r w:rsidRPr="00282BE5">
              <w:rPr>
                <w:sz w:val="18"/>
                <w:szCs w:val="18"/>
              </w:rPr>
              <w:t>isease</w:t>
            </w:r>
          </w:p>
        </w:tc>
        <w:tc>
          <w:tcPr>
            <w:tcW w:w="1445" w:type="dxa"/>
            <w:tcBorders>
              <w:right w:val="double" w:sz="4" w:space="0" w:color="auto"/>
            </w:tcBorders>
            <w:noWrap/>
            <w:hideMark/>
          </w:tcPr>
          <w:p w14:paraId="3D86A7CB" w14:textId="77777777" w:rsidR="00282BE5" w:rsidRPr="00282BE5" w:rsidRDefault="00282BE5" w:rsidP="00282BE5">
            <w:pPr>
              <w:rPr>
                <w:sz w:val="18"/>
                <w:szCs w:val="18"/>
              </w:rPr>
            </w:pPr>
            <w:r w:rsidRPr="00282BE5">
              <w:rPr>
                <w:sz w:val="18"/>
                <w:szCs w:val="18"/>
              </w:rPr>
              <w:t>25840 (38.4%)</w:t>
            </w:r>
          </w:p>
        </w:tc>
        <w:tc>
          <w:tcPr>
            <w:tcW w:w="1445" w:type="dxa"/>
            <w:tcBorders>
              <w:left w:val="double" w:sz="4" w:space="0" w:color="auto"/>
            </w:tcBorders>
            <w:noWrap/>
            <w:hideMark/>
          </w:tcPr>
          <w:p w14:paraId="71DFEC3D" w14:textId="77777777" w:rsidR="00282BE5" w:rsidRPr="00282BE5" w:rsidRDefault="00282BE5" w:rsidP="00282BE5">
            <w:pPr>
              <w:rPr>
                <w:sz w:val="18"/>
                <w:szCs w:val="18"/>
              </w:rPr>
            </w:pPr>
            <w:r w:rsidRPr="00282BE5">
              <w:rPr>
                <w:sz w:val="18"/>
                <w:szCs w:val="18"/>
              </w:rPr>
              <w:t>8711 (33.6%)</w:t>
            </w:r>
          </w:p>
        </w:tc>
        <w:tc>
          <w:tcPr>
            <w:tcW w:w="1445" w:type="dxa"/>
            <w:noWrap/>
            <w:hideMark/>
          </w:tcPr>
          <w:p w14:paraId="3676C3AA" w14:textId="77777777" w:rsidR="00282BE5" w:rsidRPr="00282BE5" w:rsidRDefault="00282BE5" w:rsidP="00282BE5">
            <w:pPr>
              <w:rPr>
                <w:sz w:val="18"/>
                <w:szCs w:val="18"/>
              </w:rPr>
            </w:pPr>
            <w:r w:rsidRPr="00282BE5">
              <w:rPr>
                <w:sz w:val="18"/>
                <w:szCs w:val="18"/>
              </w:rPr>
              <w:t>7159 (41.5%)</w:t>
            </w:r>
          </w:p>
        </w:tc>
        <w:tc>
          <w:tcPr>
            <w:tcW w:w="1445" w:type="dxa"/>
            <w:noWrap/>
            <w:hideMark/>
          </w:tcPr>
          <w:p w14:paraId="053D32FE" w14:textId="77777777" w:rsidR="00282BE5" w:rsidRPr="00282BE5" w:rsidRDefault="00282BE5" w:rsidP="00282BE5">
            <w:pPr>
              <w:rPr>
                <w:sz w:val="18"/>
                <w:szCs w:val="18"/>
              </w:rPr>
            </w:pPr>
            <w:r w:rsidRPr="00282BE5">
              <w:rPr>
                <w:sz w:val="18"/>
                <w:szCs w:val="18"/>
              </w:rPr>
              <w:t>9970 (41.3%)</w:t>
            </w:r>
          </w:p>
        </w:tc>
      </w:tr>
      <w:tr w:rsidR="00282BE5" w:rsidRPr="00282BE5" w14:paraId="3ABBF43C" w14:textId="77777777" w:rsidTr="00830CB5">
        <w:trPr>
          <w:trHeight w:val="250"/>
        </w:trPr>
        <w:tc>
          <w:tcPr>
            <w:tcW w:w="3570" w:type="dxa"/>
            <w:noWrap/>
            <w:hideMark/>
          </w:tcPr>
          <w:p w14:paraId="1F4347C2" w14:textId="6A7420EF" w:rsidR="00282BE5" w:rsidRPr="00282BE5" w:rsidRDefault="00282BE5">
            <w:pPr>
              <w:rPr>
                <w:sz w:val="18"/>
                <w:szCs w:val="18"/>
              </w:rPr>
            </w:pPr>
            <w:r w:rsidRPr="00282BE5">
              <w:rPr>
                <w:sz w:val="18"/>
                <w:szCs w:val="18"/>
              </w:rPr>
              <w:t>      Chronic</w:t>
            </w:r>
            <w:r w:rsidR="007A0C47">
              <w:rPr>
                <w:sz w:val="18"/>
                <w:szCs w:val="18"/>
              </w:rPr>
              <w:t xml:space="preserve"> l</w:t>
            </w:r>
            <w:r w:rsidRPr="00282BE5">
              <w:rPr>
                <w:sz w:val="18"/>
                <w:szCs w:val="18"/>
              </w:rPr>
              <w:t>iver </w:t>
            </w:r>
            <w:r w:rsidR="007A0C47">
              <w:rPr>
                <w:sz w:val="18"/>
                <w:szCs w:val="18"/>
              </w:rPr>
              <w:t>d</w:t>
            </w:r>
            <w:r w:rsidRPr="00282BE5">
              <w:rPr>
                <w:sz w:val="18"/>
                <w:szCs w:val="18"/>
              </w:rPr>
              <w:t>isease</w:t>
            </w:r>
          </w:p>
        </w:tc>
        <w:tc>
          <w:tcPr>
            <w:tcW w:w="1445" w:type="dxa"/>
            <w:tcBorders>
              <w:right w:val="double" w:sz="4" w:space="0" w:color="auto"/>
            </w:tcBorders>
            <w:noWrap/>
            <w:hideMark/>
          </w:tcPr>
          <w:p w14:paraId="7324AF4C" w14:textId="77777777" w:rsidR="00282BE5" w:rsidRPr="00282BE5" w:rsidRDefault="00282BE5" w:rsidP="00282BE5">
            <w:pPr>
              <w:rPr>
                <w:sz w:val="18"/>
                <w:szCs w:val="18"/>
              </w:rPr>
            </w:pPr>
            <w:r w:rsidRPr="00282BE5">
              <w:rPr>
                <w:sz w:val="18"/>
                <w:szCs w:val="18"/>
              </w:rPr>
              <w:t>3331 (4.9%)</w:t>
            </w:r>
          </w:p>
        </w:tc>
        <w:tc>
          <w:tcPr>
            <w:tcW w:w="1445" w:type="dxa"/>
            <w:tcBorders>
              <w:left w:val="double" w:sz="4" w:space="0" w:color="auto"/>
            </w:tcBorders>
            <w:noWrap/>
            <w:hideMark/>
          </w:tcPr>
          <w:p w14:paraId="6165DDEF" w14:textId="77777777" w:rsidR="00282BE5" w:rsidRPr="00282BE5" w:rsidRDefault="00282BE5" w:rsidP="00282BE5">
            <w:pPr>
              <w:rPr>
                <w:sz w:val="18"/>
                <w:szCs w:val="18"/>
              </w:rPr>
            </w:pPr>
            <w:r w:rsidRPr="00282BE5">
              <w:rPr>
                <w:sz w:val="18"/>
                <w:szCs w:val="18"/>
              </w:rPr>
              <w:t>1347 (5.2%)</w:t>
            </w:r>
          </w:p>
        </w:tc>
        <w:tc>
          <w:tcPr>
            <w:tcW w:w="1445" w:type="dxa"/>
            <w:noWrap/>
            <w:hideMark/>
          </w:tcPr>
          <w:p w14:paraId="1C00063F" w14:textId="77777777" w:rsidR="00282BE5" w:rsidRPr="00282BE5" w:rsidRDefault="00282BE5" w:rsidP="00282BE5">
            <w:pPr>
              <w:rPr>
                <w:sz w:val="18"/>
                <w:szCs w:val="18"/>
              </w:rPr>
            </w:pPr>
            <w:r w:rsidRPr="00282BE5">
              <w:rPr>
                <w:sz w:val="18"/>
                <w:szCs w:val="18"/>
              </w:rPr>
              <w:t>876 (5.1%)</w:t>
            </w:r>
          </w:p>
        </w:tc>
        <w:tc>
          <w:tcPr>
            <w:tcW w:w="1445" w:type="dxa"/>
            <w:noWrap/>
            <w:hideMark/>
          </w:tcPr>
          <w:p w14:paraId="47FC725B" w14:textId="77777777" w:rsidR="00282BE5" w:rsidRPr="00282BE5" w:rsidRDefault="00282BE5" w:rsidP="00282BE5">
            <w:pPr>
              <w:rPr>
                <w:sz w:val="18"/>
                <w:szCs w:val="18"/>
              </w:rPr>
            </w:pPr>
            <w:r w:rsidRPr="00282BE5">
              <w:rPr>
                <w:sz w:val="18"/>
                <w:szCs w:val="18"/>
              </w:rPr>
              <w:t>1108 (4.6%)</w:t>
            </w:r>
          </w:p>
        </w:tc>
      </w:tr>
      <w:tr w:rsidR="00282BE5" w:rsidRPr="00282BE5" w14:paraId="65B31033" w14:textId="77777777" w:rsidTr="00830CB5">
        <w:trPr>
          <w:trHeight w:val="250"/>
        </w:trPr>
        <w:tc>
          <w:tcPr>
            <w:tcW w:w="3570" w:type="dxa"/>
            <w:noWrap/>
            <w:hideMark/>
          </w:tcPr>
          <w:p w14:paraId="57958035" w14:textId="09B1532C" w:rsidR="00282BE5" w:rsidRPr="00282BE5" w:rsidRDefault="00282BE5">
            <w:pPr>
              <w:rPr>
                <w:sz w:val="18"/>
                <w:szCs w:val="18"/>
              </w:rPr>
            </w:pPr>
            <w:r w:rsidRPr="00282BE5">
              <w:rPr>
                <w:sz w:val="18"/>
                <w:szCs w:val="18"/>
              </w:rPr>
              <w:t>      Chronic </w:t>
            </w:r>
            <w:r w:rsidR="007A0C47">
              <w:rPr>
                <w:sz w:val="18"/>
                <w:szCs w:val="18"/>
              </w:rPr>
              <w:t>l</w:t>
            </w:r>
            <w:r w:rsidRPr="00282BE5">
              <w:rPr>
                <w:sz w:val="18"/>
                <w:szCs w:val="18"/>
              </w:rPr>
              <w:t>ung </w:t>
            </w:r>
            <w:r w:rsidR="007A0C47">
              <w:rPr>
                <w:sz w:val="18"/>
                <w:szCs w:val="18"/>
              </w:rPr>
              <w:t>d</w:t>
            </w:r>
            <w:r w:rsidRPr="00282BE5">
              <w:rPr>
                <w:sz w:val="18"/>
                <w:szCs w:val="18"/>
              </w:rPr>
              <w:t>isease</w:t>
            </w:r>
          </w:p>
        </w:tc>
        <w:tc>
          <w:tcPr>
            <w:tcW w:w="1445" w:type="dxa"/>
            <w:tcBorders>
              <w:right w:val="double" w:sz="4" w:space="0" w:color="auto"/>
            </w:tcBorders>
            <w:noWrap/>
            <w:hideMark/>
          </w:tcPr>
          <w:p w14:paraId="1D644600" w14:textId="77777777" w:rsidR="00282BE5" w:rsidRPr="00282BE5" w:rsidRDefault="00282BE5" w:rsidP="00282BE5">
            <w:pPr>
              <w:rPr>
                <w:sz w:val="18"/>
                <w:szCs w:val="18"/>
              </w:rPr>
            </w:pPr>
            <w:r w:rsidRPr="00282BE5">
              <w:rPr>
                <w:sz w:val="18"/>
                <w:szCs w:val="18"/>
              </w:rPr>
              <w:t>28912 (42.9%)</w:t>
            </w:r>
          </w:p>
        </w:tc>
        <w:tc>
          <w:tcPr>
            <w:tcW w:w="1445" w:type="dxa"/>
            <w:tcBorders>
              <w:left w:val="double" w:sz="4" w:space="0" w:color="auto"/>
            </w:tcBorders>
            <w:noWrap/>
            <w:hideMark/>
          </w:tcPr>
          <w:p w14:paraId="2ADE3230" w14:textId="77777777" w:rsidR="00282BE5" w:rsidRPr="00282BE5" w:rsidRDefault="00282BE5" w:rsidP="00282BE5">
            <w:pPr>
              <w:rPr>
                <w:sz w:val="18"/>
                <w:szCs w:val="18"/>
              </w:rPr>
            </w:pPr>
            <w:r w:rsidRPr="00282BE5">
              <w:rPr>
                <w:sz w:val="18"/>
                <w:szCs w:val="18"/>
              </w:rPr>
              <w:t>10393 (40.0%)</w:t>
            </w:r>
          </w:p>
        </w:tc>
        <w:tc>
          <w:tcPr>
            <w:tcW w:w="1445" w:type="dxa"/>
            <w:noWrap/>
            <w:hideMark/>
          </w:tcPr>
          <w:p w14:paraId="29381A27" w14:textId="77777777" w:rsidR="00282BE5" w:rsidRPr="00282BE5" w:rsidRDefault="00282BE5" w:rsidP="00282BE5">
            <w:pPr>
              <w:rPr>
                <w:sz w:val="18"/>
                <w:szCs w:val="18"/>
              </w:rPr>
            </w:pPr>
            <w:r w:rsidRPr="00282BE5">
              <w:rPr>
                <w:sz w:val="18"/>
                <w:szCs w:val="18"/>
              </w:rPr>
              <w:t>7865 (45.6%)</w:t>
            </w:r>
          </w:p>
        </w:tc>
        <w:tc>
          <w:tcPr>
            <w:tcW w:w="1445" w:type="dxa"/>
            <w:noWrap/>
            <w:hideMark/>
          </w:tcPr>
          <w:p w14:paraId="68502547" w14:textId="77777777" w:rsidR="00282BE5" w:rsidRPr="00282BE5" w:rsidRDefault="00282BE5" w:rsidP="00282BE5">
            <w:pPr>
              <w:rPr>
                <w:sz w:val="18"/>
                <w:szCs w:val="18"/>
              </w:rPr>
            </w:pPr>
            <w:r w:rsidRPr="00282BE5">
              <w:rPr>
                <w:sz w:val="18"/>
                <w:szCs w:val="18"/>
              </w:rPr>
              <w:t>10654 (44.1%)</w:t>
            </w:r>
          </w:p>
        </w:tc>
      </w:tr>
      <w:tr w:rsidR="00282BE5" w:rsidRPr="00282BE5" w14:paraId="72AA3B43" w14:textId="77777777" w:rsidTr="00830CB5">
        <w:trPr>
          <w:trHeight w:val="250"/>
        </w:trPr>
        <w:tc>
          <w:tcPr>
            <w:tcW w:w="3570" w:type="dxa"/>
            <w:noWrap/>
            <w:hideMark/>
          </w:tcPr>
          <w:p w14:paraId="21815496" w14:textId="438A2C70" w:rsidR="00282BE5" w:rsidRPr="00282BE5" w:rsidRDefault="00282BE5">
            <w:pPr>
              <w:rPr>
                <w:sz w:val="18"/>
                <w:szCs w:val="18"/>
              </w:rPr>
            </w:pPr>
            <w:r w:rsidRPr="00282BE5">
              <w:rPr>
                <w:sz w:val="18"/>
                <w:szCs w:val="18"/>
              </w:rPr>
              <w:t>      Cystic </w:t>
            </w:r>
            <w:r w:rsidR="007A0C47">
              <w:rPr>
                <w:sz w:val="18"/>
                <w:szCs w:val="18"/>
              </w:rPr>
              <w:t>f</w:t>
            </w:r>
            <w:r w:rsidRPr="00282BE5">
              <w:rPr>
                <w:sz w:val="18"/>
                <w:szCs w:val="18"/>
              </w:rPr>
              <w:t>ibrosis</w:t>
            </w:r>
          </w:p>
        </w:tc>
        <w:tc>
          <w:tcPr>
            <w:tcW w:w="1445" w:type="dxa"/>
            <w:tcBorders>
              <w:right w:val="double" w:sz="4" w:space="0" w:color="auto"/>
            </w:tcBorders>
            <w:noWrap/>
            <w:hideMark/>
          </w:tcPr>
          <w:p w14:paraId="7996D315" w14:textId="77777777" w:rsidR="00282BE5" w:rsidRPr="00282BE5" w:rsidRDefault="00282BE5" w:rsidP="00282BE5">
            <w:pPr>
              <w:rPr>
                <w:sz w:val="18"/>
                <w:szCs w:val="18"/>
              </w:rPr>
            </w:pPr>
            <w:r w:rsidRPr="00282BE5">
              <w:rPr>
                <w:sz w:val="18"/>
                <w:szCs w:val="18"/>
              </w:rPr>
              <w:t>20 (0.0%)</w:t>
            </w:r>
          </w:p>
        </w:tc>
        <w:tc>
          <w:tcPr>
            <w:tcW w:w="1445" w:type="dxa"/>
            <w:tcBorders>
              <w:left w:val="double" w:sz="4" w:space="0" w:color="auto"/>
            </w:tcBorders>
            <w:noWrap/>
            <w:hideMark/>
          </w:tcPr>
          <w:p w14:paraId="2A2CCF9B" w14:textId="77777777" w:rsidR="00282BE5" w:rsidRPr="00282BE5" w:rsidRDefault="00282BE5" w:rsidP="00282BE5">
            <w:pPr>
              <w:rPr>
                <w:sz w:val="18"/>
                <w:szCs w:val="18"/>
              </w:rPr>
            </w:pPr>
            <w:r w:rsidRPr="00282BE5">
              <w:rPr>
                <w:sz w:val="18"/>
                <w:szCs w:val="18"/>
              </w:rPr>
              <w:t>11 (0.0%)</w:t>
            </w:r>
          </w:p>
        </w:tc>
        <w:tc>
          <w:tcPr>
            <w:tcW w:w="1445" w:type="dxa"/>
            <w:noWrap/>
            <w:hideMark/>
          </w:tcPr>
          <w:p w14:paraId="14253445" w14:textId="3818386D" w:rsidR="00282BE5" w:rsidRPr="00282BE5" w:rsidRDefault="00282BE5" w:rsidP="00282BE5">
            <w:pPr>
              <w:rPr>
                <w:sz w:val="18"/>
                <w:szCs w:val="18"/>
              </w:rPr>
            </w:pPr>
            <w:r w:rsidRPr="00282BE5">
              <w:rPr>
                <w:sz w:val="18"/>
                <w:szCs w:val="18"/>
              </w:rPr>
              <w:t>n&lt;11</w:t>
            </w:r>
            <w:r w:rsidR="001E4737">
              <w:rPr>
                <w:sz w:val="18"/>
                <w:szCs w:val="18"/>
              </w:rPr>
              <w:t>*</w:t>
            </w:r>
          </w:p>
        </w:tc>
        <w:tc>
          <w:tcPr>
            <w:tcW w:w="1445" w:type="dxa"/>
            <w:noWrap/>
            <w:hideMark/>
          </w:tcPr>
          <w:p w14:paraId="7252EF10" w14:textId="14397981" w:rsidR="00282BE5" w:rsidRPr="00282BE5" w:rsidRDefault="00282BE5" w:rsidP="00282BE5">
            <w:pPr>
              <w:rPr>
                <w:sz w:val="18"/>
                <w:szCs w:val="18"/>
              </w:rPr>
            </w:pPr>
            <w:r w:rsidRPr="00282BE5">
              <w:rPr>
                <w:sz w:val="18"/>
                <w:szCs w:val="18"/>
              </w:rPr>
              <w:t>n&lt;11</w:t>
            </w:r>
            <w:r w:rsidR="001E4737">
              <w:rPr>
                <w:sz w:val="18"/>
                <w:szCs w:val="18"/>
              </w:rPr>
              <w:t>*</w:t>
            </w:r>
          </w:p>
        </w:tc>
      </w:tr>
      <w:tr w:rsidR="00282BE5" w:rsidRPr="00282BE5" w14:paraId="374F78B2" w14:textId="77777777" w:rsidTr="00830CB5">
        <w:trPr>
          <w:trHeight w:val="250"/>
        </w:trPr>
        <w:tc>
          <w:tcPr>
            <w:tcW w:w="3570" w:type="dxa"/>
            <w:noWrap/>
            <w:hideMark/>
          </w:tcPr>
          <w:p w14:paraId="07B05C53" w14:textId="7A015BC9" w:rsidR="00282BE5" w:rsidRPr="00282BE5" w:rsidRDefault="00282BE5">
            <w:pPr>
              <w:rPr>
                <w:sz w:val="18"/>
                <w:szCs w:val="18"/>
              </w:rPr>
            </w:pPr>
            <w:r w:rsidRPr="00282BE5">
              <w:rPr>
                <w:sz w:val="18"/>
                <w:szCs w:val="18"/>
              </w:rPr>
              <w:t>      Diabetes </w:t>
            </w:r>
            <w:r w:rsidR="007A0C47">
              <w:rPr>
                <w:sz w:val="18"/>
                <w:szCs w:val="18"/>
              </w:rPr>
              <w:t>m</w:t>
            </w:r>
            <w:r w:rsidRPr="00282BE5">
              <w:rPr>
                <w:sz w:val="18"/>
                <w:szCs w:val="18"/>
              </w:rPr>
              <w:t>ellitus </w:t>
            </w:r>
            <w:r w:rsidR="007A0C47">
              <w:rPr>
                <w:sz w:val="18"/>
                <w:szCs w:val="18"/>
              </w:rPr>
              <w:t>t</w:t>
            </w:r>
            <w:r w:rsidRPr="00282BE5">
              <w:rPr>
                <w:sz w:val="18"/>
                <w:szCs w:val="18"/>
              </w:rPr>
              <w:t>ype I</w:t>
            </w:r>
          </w:p>
        </w:tc>
        <w:tc>
          <w:tcPr>
            <w:tcW w:w="1445" w:type="dxa"/>
            <w:tcBorders>
              <w:right w:val="double" w:sz="4" w:space="0" w:color="auto"/>
            </w:tcBorders>
            <w:noWrap/>
            <w:hideMark/>
          </w:tcPr>
          <w:p w14:paraId="13D28DAF" w14:textId="77777777" w:rsidR="00282BE5" w:rsidRPr="00282BE5" w:rsidRDefault="00282BE5" w:rsidP="00282BE5">
            <w:pPr>
              <w:rPr>
                <w:sz w:val="18"/>
                <w:szCs w:val="18"/>
              </w:rPr>
            </w:pPr>
            <w:r w:rsidRPr="00282BE5">
              <w:rPr>
                <w:sz w:val="18"/>
                <w:szCs w:val="18"/>
              </w:rPr>
              <w:t>1642 (2.4%)</w:t>
            </w:r>
          </w:p>
        </w:tc>
        <w:tc>
          <w:tcPr>
            <w:tcW w:w="1445" w:type="dxa"/>
            <w:tcBorders>
              <w:left w:val="double" w:sz="4" w:space="0" w:color="auto"/>
            </w:tcBorders>
            <w:noWrap/>
            <w:hideMark/>
          </w:tcPr>
          <w:p w14:paraId="0F922887" w14:textId="77777777" w:rsidR="00282BE5" w:rsidRPr="00282BE5" w:rsidRDefault="00282BE5" w:rsidP="00282BE5">
            <w:pPr>
              <w:rPr>
                <w:sz w:val="18"/>
                <w:szCs w:val="18"/>
              </w:rPr>
            </w:pPr>
            <w:r w:rsidRPr="00282BE5">
              <w:rPr>
                <w:sz w:val="18"/>
                <w:szCs w:val="18"/>
              </w:rPr>
              <w:t>552 (2.1%)</w:t>
            </w:r>
          </w:p>
        </w:tc>
        <w:tc>
          <w:tcPr>
            <w:tcW w:w="1445" w:type="dxa"/>
            <w:noWrap/>
            <w:hideMark/>
          </w:tcPr>
          <w:p w14:paraId="75296E20" w14:textId="77777777" w:rsidR="00282BE5" w:rsidRPr="00282BE5" w:rsidRDefault="00282BE5" w:rsidP="00282BE5">
            <w:pPr>
              <w:rPr>
                <w:sz w:val="18"/>
                <w:szCs w:val="18"/>
              </w:rPr>
            </w:pPr>
            <w:r w:rsidRPr="00282BE5">
              <w:rPr>
                <w:sz w:val="18"/>
                <w:szCs w:val="18"/>
              </w:rPr>
              <w:t>464 (2.7%)</w:t>
            </w:r>
          </w:p>
        </w:tc>
        <w:tc>
          <w:tcPr>
            <w:tcW w:w="1445" w:type="dxa"/>
            <w:noWrap/>
            <w:hideMark/>
          </w:tcPr>
          <w:p w14:paraId="5172AC79" w14:textId="77777777" w:rsidR="00282BE5" w:rsidRPr="00282BE5" w:rsidRDefault="00282BE5" w:rsidP="00282BE5">
            <w:pPr>
              <w:rPr>
                <w:sz w:val="18"/>
                <w:szCs w:val="18"/>
              </w:rPr>
            </w:pPr>
            <w:r w:rsidRPr="00282BE5">
              <w:rPr>
                <w:sz w:val="18"/>
                <w:szCs w:val="18"/>
              </w:rPr>
              <w:t>626 (2.6%)</w:t>
            </w:r>
          </w:p>
        </w:tc>
      </w:tr>
      <w:tr w:rsidR="00282BE5" w:rsidRPr="00282BE5" w14:paraId="277616FD" w14:textId="77777777" w:rsidTr="00830CB5">
        <w:trPr>
          <w:trHeight w:val="250"/>
        </w:trPr>
        <w:tc>
          <w:tcPr>
            <w:tcW w:w="3570" w:type="dxa"/>
            <w:noWrap/>
            <w:hideMark/>
          </w:tcPr>
          <w:p w14:paraId="7ED61D3A" w14:textId="0DFE3076" w:rsidR="00282BE5" w:rsidRPr="00282BE5" w:rsidRDefault="00282BE5">
            <w:pPr>
              <w:rPr>
                <w:sz w:val="18"/>
                <w:szCs w:val="18"/>
              </w:rPr>
            </w:pPr>
            <w:r w:rsidRPr="00282BE5">
              <w:rPr>
                <w:sz w:val="18"/>
                <w:szCs w:val="18"/>
              </w:rPr>
              <w:t>      Diabetes </w:t>
            </w:r>
            <w:r w:rsidR="007A0C47">
              <w:rPr>
                <w:sz w:val="18"/>
                <w:szCs w:val="18"/>
              </w:rPr>
              <w:t>m</w:t>
            </w:r>
            <w:r w:rsidRPr="00282BE5">
              <w:rPr>
                <w:sz w:val="18"/>
                <w:szCs w:val="18"/>
              </w:rPr>
              <w:t>ellitus </w:t>
            </w:r>
            <w:r w:rsidR="007A0C47">
              <w:rPr>
                <w:sz w:val="18"/>
                <w:szCs w:val="18"/>
              </w:rPr>
              <w:t>t</w:t>
            </w:r>
            <w:r w:rsidRPr="00282BE5">
              <w:rPr>
                <w:sz w:val="18"/>
                <w:szCs w:val="18"/>
              </w:rPr>
              <w:t>ype II</w:t>
            </w:r>
          </w:p>
        </w:tc>
        <w:tc>
          <w:tcPr>
            <w:tcW w:w="1445" w:type="dxa"/>
            <w:tcBorders>
              <w:right w:val="double" w:sz="4" w:space="0" w:color="auto"/>
            </w:tcBorders>
            <w:noWrap/>
            <w:hideMark/>
          </w:tcPr>
          <w:p w14:paraId="772C2EBB" w14:textId="77777777" w:rsidR="00282BE5" w:rsidRPr="00282BE5" w:rsidRDefault="00282BE5" w:rsidP="00282BE5">
            <w:pPr>
              <w:rPr>
                <w:sz w:val="18"/>
                <w:szCs w:val="18"/>
              </w:rPr>
            </w:pPr>
            <w:r w:rsidRPr="00282BE5">
              <w:rPr>
                <w:sz w:val="18"/>
                <w:szCs w:val="18"/>
              </w:rPr>
              <w:t>27653 (41.1%)</w:t>
            </w:r>
          </w:p>
        </w:tc>
        <w:tc>
          <w:tcPr>
            <w:tcW w:w="1445" w:type="dxa"/>
            <w:tcBorders>
              <w:left w:val="double" w:sz="4" w:space="0" w:color="auto"/>
            </w:tcBorders>
            <w:noWrap/>
            <w:hideMark/>
          </w:tcPr>
          <w:p w14:paraId="7509B517" w14:textId="77777777" w:rsidR="00282BE5" w:rsidRPr="00282BE5" w:rsidRDefault="00282BE5" w:rsidP="00282BE5">
            <w:pPr>
              <w:rPr>
                <w:sz w:val="18"/>
                <w:szCs w:val="18"/>
              </w:rPr>
            </w:pPr>
            <w:r w:rsidRPr="00282BE5">
              <w:rPr>
                <w:sz w:val="18"/>
                <w:szCs w:val="18"/>
              </w:rPr>
              <w:t>9991 (38.5%)</w:t>
            </w:r>
          </w:p>
        </w:tc>
        <w:tc>
          <w:tcPr>
            <w:tcW w:w="1445" w:type="dxa"/>
            <w:noWrap/>
            <w:hideMark/>
          </w:tcPr>
          <w:p w14:paraId="1075289F" w14:textId="77777777" w:rsidR="00282BE5" w:rsidRPr="00282BE5" w:rsidRDefault="00282BE5" w:rsidP="00282BE5">
            <w:pPr>
              <w:rPr>
                <w:sz w:val="18"/>
                <w:szCs w:val="18"/>
              </w:rPr>
            </w:pPr>
            <w:r w:rsidRPr="00282BE5">
              <w:rPr>
                <w:sz w:val="18"/>
                <w:szCs w:val="18"/>
              </w:rPr>
              <w:t>7374 (42.8%)</w:t>
            </w:r>
          </w:p>
        </w:tc>
        <w:tc>
          <w:tcPr>
            <w:tcW w:w="1445" w:type="dxa"/>
            <w:noWrap/>
            <w:hideMark/>
          </w:tcPr>
          <w:p w14:paraId="79A41993" w14:textId="77777777" w:rsidR="00282BE5" w:rsidRPr="00282BE5" w:rsidRDefault="00282BE5" w:rsidP="00282BE5">
            <w:pPr>
              <w:rPr>
                <w:sz w:val="18"/>
                <w:szCs w:val="18"/>
              </w:rPr>
            </w:pPr>
            <w:r w:rsidRPr="00282BE5">
              <w:rPr>
                <w:sz w:val="18"/>
                <w:szCs w:val="18"/>
              </w:rPr>
              <w:t>10288 (42.6%)</w:t>
            </w:r>
          </w:p>
        </w:tc>
      </w:tr>
      <w:tr w:rsidR="00282BE5" w:rsidRPr="00282BE5" w14:paraId="55A51834" w14:textId="77777777" w:rsidTr="00830CB5">
        <w:trPr>
          <w:trHeight w:val="250"/>
        </w:trPr>
        <w:tc>
          <w:tcPr>
            <w:tcW w:w="3570" w:type="dxa"/>
            <w:noWrap/>
            <w:hideMark/>
          </w:tcPr>
          <w:p w14:paraId="785CA1AD" w14:textId="77777777" w:rsidR="00282BE5" w:rsidRPr="00282BE5" w:rsidRDefault="00282BE5">
            <w:pPr>
              <w:rPr>
                <w:sz w:val="18"/>
                <w:szCs w:val="18"/>
              </w:rPr>
            </w:pPr>
            <w:r w:rsidRPr="00282BE5">
              <w:rPr>
                <w:sz w:val="18"/>
                <w:szCs w:val="18"/>
              </w:rPr>
              <w:t>      Disabilities</w:t>
            </w:r>
          </w:p>
        </w:tc>
        <w:tc>
          <w:tcPr>
            <w:tcW w:w="1445" w:type="dxa"/>
            <w:tcBorders>
              <w:right w:val="double" w:sz="4" w:space="0" w:color="auto"/>
            </w:tcBorders>
            <w:noWrap/>
            <w:hideMark/>
          </w:tcPr>
          <w:p w14:paraId="14B36BC7" w14:textId="77777777" w:rsidR="00282BE5" w:rsidRPr="00282BE5" w:rsidRDefault="00282BE5" w:rsidP="00282BE5">
            <w:pPr>
              <w:rPr>
                <w:sz w:val="18"/>
                <w:szCs w:val="18"/>
              </w:rPr>
            </w:pPr>
            <w:r w:rsidRPr="00282BE5">
              <w:rPr>
                <w:sz w:val="18"/>
                <w:szCs w:val="18"/>
              </w:rPr>
              <w:t>25358 (37.6%)</w:t>
            </w:r>
          </w:p>
        </w:tc>
        <w:tc>
          <w:tcPr>
            <w:tcW w:w="1445" w:type="dxa"/>
            <w:tcBorders>
              <w:left w:val="double" w:sz="4" w:space="0" w:color="auto"/>
            </w:tcBorders>
            <w:noWrap/>
            <w:hideMark/>
          </w:tcPr>
          <w:p w14:paraId="423A6392" w14:textId="77777777" w:rsidR="00282BE5" w:rsidRPr="00282BE5" w:rsidRDefault="00282BE5" w:rsidP="00282BE5">
            <w:pPr>
              <w:rPr>
                <w:sz w:val="18"/>
                <w:szCs w:val="18"/>
              </w:rPr>
            </w:pPr>
            <w:r w:rsidRPr="00282BE5">
              <w:rPr>
                <w:sz w:val="18"/>
                <w:szCs w:val="18"/>
              </w:rPr>
              <w:t>6252 (24.1%)</w:t>
            </w:r>
          </w:p>
        </w:tc>
        <w:tc>
          <w:tcPr>
            <w:tcW w:w="1445" w:type="dxa"/>
            <w:noWrap/>
            <w:hideMark/>
          </w:tcPr>
          <w:p w14:paraId="550AAD4E" w14:textId="77777777" w:rsidR="00282BE5" w:rsidRPr="00282BE5" w:rsidRDefault="00282BE5" w:rsidP="00282BE5">
            <w:pPr>
              <w:rPr>
                <w:sz w:val="18"/>
                <w:szCs w:val="18"/>
              </w:rPr>
            </w:pPr>
            <w:r w:rsidRPr="00282BE5">
              <w:rPr>
                <w:sz w:val="18"/>
                <w:szCs w:val="18"/>
              </w:rPr>
              <w:t>6463 (37.5%)</w:t>
            </w:r>
          </w:p>
        </w:tc>
        <w:tc>
          <w:tcPr>
            <w:tcW w:w="1445" w:type="dxa"/>
            <w:noWrap/>
            <w:hideMark/>
          </w:tcPr>
          <w:p w14:paraId="15A77E4D" w14:textId="77777777" w:rsidR="00282BE5" w:rsidRPr="00282BE5" w:rsidRDefault="00282BE5" w:rsidP="00282BE5">
            <w:pPr>
              <w:rPr>
                <w:sz w:val="18"/>
                <w:szCs w:val="18"/>
              </w:rPr>
            </w:pPr>
            <w:r w:rsidRPr="00282BE5">
              <w:rPr>
                <w:sz w:val="18"/>
                <w:szCs w:val="18"/>
              </w:rPr>
              <w:t>12643 (52.4%)</w:t>
            </w:r>
          </w:p>
        </w:tc>
      </w:tr>
      <w:tr w:rsidR="00282BE5" w:rsidRPr="00282BE5" w14:paraId="37F0B943" w14:textId="77777777" w:rsidTr="00830CB5">
        <w:trPr>
          <w:trHeight w:val="250"/>
        </w:trPr>
        <w:tc>
          <w:tcPr>
            <w:tcW w:w="3570" w:type="dxa"/>
            <w:noWrap/>
            <w:hideMark/>
          </w:tcPr>
          <w:p w14:paraId="399E60A0" w14:textId="6AFBF274" w:rsidR="00282BE5" w:rsidRPr="00282BE5" w:rsidRDefault="00282BE5">
            <w:pPr>
              <w:rPr>
                <w:sz w:val="18"/>
                <w:szCs w:val="18"/>
              </w:rPr>
            </w:pPr>
            <w:r w:rsidRPr="00282BE5">
              <w:rPr>
                <w:sz w:val="18"/>
                <w:szCs w:val="18"/>
              </w:rPr>
              <w:t>      Heart </w:t>
            </w:r>
            <w:r w:rsidR="007A0C47">
              <w:rPr>
                <w:sz w:val="18"/>
                <w:szCs w:val="18"/>
              </w:rPr>
              <w:t>c</w:t>
            </w:r>
            <w:r w:rsidRPr="00282BE5">
              <w:rPr>
                <w:sz w:val="18"/>
                <w:szCs w:val="18"/>
              </w:rPr>
              <w:t>onditions</w:t>
            </w:r>
          </w:p>
        </w:tc>
        <w:tc>
          <w:tcPr>
            <w:tcW w:w="1445" w:type="dxa"/>
            <w:tcBorders>
              <w:right w:val="double" w:sz="4" w:space="0" w:color="auto"/>
            </w:tcBorders>
            <w:noWrap/>
            <w:hideMark/>
          </w:tcPr>
          <w:p w14:paraId="0BEDBCE2" w14:textId="77777777" w:rsidR="00282BE5" w:rsidRPr="00282BE5" w:rsidRDefault="00282BE5" w:rsidP="00282BE5">
            <w:pPr>
              <w:rPr>
                <w:sz w:val="18"/>
                <w:szCs w:val="18"/>
              </w:rPr>
            </w:pPr>
            <w:r w:rsidRPr="00282BE5">
              <w:rPr>
                <w:sz w:val="18"/>
                <w:szCs w:val="18"/>
              </w:rPr>
              <w:t>49979 (74.2%)</w:t>
            </w:r>
          </w:p>
        </w:tc>
        <w:tc>
          <w:tcPr>
            <w:tcW w:w="1445" w:type="dxa"/>
            <w:tcBorders>
              <w:left w:val="double" w:sz="4" w:space="0" w:color="auto"/>
            </w:tcBorders>
            <w:noWrap/>
            <w:hideMark/>
          </w:tcPr>
          <w:p w14:paraId="3A73ED03" w14:textId="77777777" w:rsidR="00282BE5" w:rsidRPr="00282BE5" w:rsidRDefault="00282BE5" w:rsidP="00282BE5">
            <w:pPr>
              <w:rPr>
                <w:sz w:val="18"/>
                <w:szCs w:val="18"/>
              </w:rPr>
            </w:pPr>
            <w:r w:rsidRPr="00282BE5">
              <w:rPr>
                <w:sz w:val="18"/>
                <w:szCs w:val="18"/>
              </w:rPr>
              <w:t>18130 (69.8%)</w:t>
            </w:r>
          </w:p>
        </w:tc>
        <w:tc>
          <w:tcPr>
            <w:tcW w:w="1445" w:type="dxa"/>
            <w:noWrap/>
            <w:hideMark/>
          </w:tcPr>
          <w:p w14:paraId="0C586DCD" w14:textId="77777777" w:rsidR="00282BE5" w:rsidRPr="00282BE5" w:rsidRDefault="00282BE5" w:rsidP="00282BE5">
            <w:pPr>
              <w:rPr>
                <w:sz w:val="18"/>
                <w:szCs w:val="18"/>
              </w:rPr>
            </w:pPr>
            <w:r w:rsidRPr="00282BE5">
              <w:rPr>
                <w:sz w:val="18"/>
                <w:szCs w:val="18"/>
              </w:rPr>
              <w:t>13282 (77.0%)</w:t>
            </w:r>
          </w:p>
        </w:tc>
        <w:tc>
          <w:tcPr>
            <w:tcW w:w="1445" w:type="dxa"/>
            <w:noWrap/>
            <w:hideMark/>
          </w:tcPr>
          <w:p w14:paraId="3778FF8E" w14:textId="77777777" w:rsidR="00282BE5" w:rsidRPr="00282BE5" w:rsidRDefault="00282BE5" w:rsidP="00282BE5">
            <w:pPr>
              <w:rPr>
                <w:sz w:val="18"/>
                <w:szCs w:val="18"/>
              </w:rPr>
            </w:pPr>
            <w:r w:rsidRPr="00282BE5">
              <w:rPr>
                <w:sz w:val="18"/>
                <w:szCs w:val="18"/>
              </w:rPr>
              <w:t>18567 (76.9%)</w:t>
            </w:r>
          </w:p>
        </w:tc>
      </w:tr>
      <w:tr w:rsidR="00282BE5" w:rsidRPr="00282BE5" w14:paraId="0AEE682D" w14:textId="77777777" w:rsidTr="00830CB5">
        <w:trPr>
          <w:trHeight w:val="250"/>
        </w:trPr>
        <w:tc>
          <w:tcPr>
            <w:tcW w:w="3570" w:type="dxa"/>
            <w:noWrap/>
            <w:hideMark/>
          </w:tcPr>
          <w:p w14:paraId="29000E8A" w14:textId="77777777" w:rsidR="00282BE5" w:rsidRPr="00282BE5" w:rsidRDefault="00282BE5">
            <w:pPr>
              <w:rPr>
                <w:sz w:val="18"/>
                <w:szCs w:val="18"/>
              </w:rPr>
            </w:pPr>
            <w:r w:rsidRPr="00282BE5">
              <w:rPr>
                <w:sz w:val="18"/>
                <w:szCs w:val="18"/>
              </w:rPr>
              <w:t>      HIV</w:t>
            </w:r>
          </w:p>
        </w:tc>
        <w:tc>
          <w:tcPr>
            <w:tcW w:w="1445" w:type="dxa"/>
            <w:tcBorders>
              <w:right w:val="double" w:sz="4" w:space="0" w:color="auto"/>
            </w:tcBorders>
            <w:noWrap/>
            <w:hideMark/>
          </w:tcPr>
          <w:p w14:paraId="023A9DC0" w14:textId="77777777" w:rsidR="00282BE5" w:rsidRPr="00282BE5" w:rsidRDefault="00282BE5" w:rsidP="00282BE5">
            <w:pPr>
              <w:rPr>
                <w:sz w:val="18"/>
                <w:szCs w:val="18"/>
              </w:rPr>
            </w:pPr>
            <w:r w:rsidRPr="00282BE5">
              <w:rPr>
                <w:sz w:val="18"/>
                <w:szCs w:val="18"/>
              </w:rPr>
              <w:t>144 (0.2%)</w:t>
            </w:r>
          </w:p>
        </w:tc>
        <w:tc>
          <w:tcPr>
            <w:tcW w:w="1445" w:type="dxa"/>
            <w:tcBorders>
              <w:left w:val="double" w:sz="4" w:space="0" w:color="auto"/>
            </w:tcBorders>
            <w:noWrap/>
            <w:hideMark/>
          </w:tcPr>
          <w:p w14:paraId="1DC28B85" w14:textId="77777777" w:rsidR="00282BE5" w:rsidRPr="00282BE5" w:rsidRDefault="00282BE5" w:rsidP="00282BE5">
            <w:pPr>
              <w:rPr>
                <w:sz w:val="18"/>
                <w:szCs w:val="18"/>
              </w:rPr>
            </w:pPr>
            <w:r w:rsidRPr="00282BE5">
              <w:rPr>
                <w:sz w:val="18"/>
                <w:szCs w:val="18"/>
              </w:rPr>
              <w:t>56 (0.2%)</w:t>
            </w:r>
          </w:p>
        </w:tc>
        <w:tc>
          <w:tcPr>
            <w:tcW w:w="1445" w:type="dxa"/>
            <w:noWrap/>
            <w:hideMark/>
          </w:tcPr>
          <w:p w14:paraId="4B6F2CB5" w14:textId="77777777" w:rsidR="00282BE5" w:rsidRPr="00282BE5" w:rsidRDefault="00282BE5" w:rsidP="00282BE5">
            <w:pPr>
              <w:rPr>
                <w:sz w:val="18"/>
                <w:szCs w:val="18"/>
              </w:rPr>
            </w:pPr>
            <w:r w:rsidRPr="00282BE5">
              <w:rPr>
                <w:sz w:val="18"/>
                <w:szCs w:val="18"/>
              </w:rPr>
              <w:t>36 (0.2%)</w:t>
            </w:r>
          </w:p>
        </w:tc>
        <w:tc>
          <w:tcPr>
            <w:tcW w:w="1445" w:type="dxa"/>
            <w:noWrap/>
            <w:hideMark/>
          </w:tcPr>
          <w:p w14:paraId="0312FFDD" w14:textId="77777777" w:rsidR="00282BE5" w:rsidRPr="00282BE5" w:rsidRDefault="00282BE5" w:rsidP="00282BE5">
            <w:pPr>
              <w:rPr>
                <w:sz w:val="18"/>
                <w:szCs w:val="18"/>
              </w:rPr>
            </w:pPr>
            <w:r w:rsidRPr="00282BE5">
              <w:rPr>
                <w:sz w:val="18"/>
                <w:szCs w:val="18"/>
              </w:rPr>
              <w:t>52 (0.2%)</w:t>
            </w:r>
          </w:p>
        </w:tc>
      </w:tr>
      <w:tr w:rsidR="00282BE5" w:rsidRPr="00282BE5" w14:paraId="6B15F307" w14:textId="77777777" w:rsidTr="00830CB5">
        <w:trPr>
          <w:trHeight w:val="250"/>
        </w:trPr>
        <w:tc>
          <w:tcPr>
            <w:tcW w:w="3570" w:type="dxa"/>
            <w:noWrap/>
            <w:hideMark/>
          </w:tcPr>
          <w:p w14:paraId="771F443D" w14:textId="77777777" w:rsidR="00282BE5" w:rsidRPr="00282BE5" w:rsidRDefault="00282BE5">
            <w:pPr>
              <w:rPr>
                <w:sz w:val="18"/>
                <w:szCs w:val="18"/>
              </w:rPr>
            </w:pPr>
            <w:r w:rsidRPr="00282BE5">
              <w:rPr>
                <w:sz w:val="18"/>
                <w:szCs w:val="18"/>
              </w:rPr>
              <w:t>      Mental health conditions</w:t>
            </w:r>
          </w:p>
        </w:tc>
        <w:tc>
          <w:tcPr>
            <w:tcW w:w="1445" w:type="dxa"/>
            <w:tcBorders>
              <w:right w:val="double" w:sz="4" w:space="0" w:color="auto"/>
            </w:tcBorders>
            <w:noWrap/>
            <w:hideMark/>
          </w:tcPr>
          <w:p w14:paraId="0589CA58" w14:textId="77777777" w:rsidR="00282BE5" w:rsidRPr="00282BE5" w:rsidRDefault="00282BE5" w:rsidP="00282BE5">
            <w:pPr>
              <w:rPr>
                <w:sz w:val="18"/>
                <w:szCs w:val="18"/>
              </w:rPr>
            </w:pPr>
            <w:r w:rsidRPr="00282BE5">
              <w:rPr>
                <w:sz w:val="18"/>
                <w:szCs w:val="18"/>
              </w:rPr>
              <w:t>22405 (33.3%)</w:t>
            </w:r>
          </w:p>
        </w:tc>
        <w:tc>
          <w:tcPr>
            <w:tcW w:w="1445" w:type="dxa"/>
            <w:tcBorders>
              <w:left w:val="double" w:sz="4" w:space="0" w:color="auto"/>
            </w:tcBorders>
            <w:noWrap/>
            <w:hideMark/>
          </w:tcPr>
          <w:p w14:paraId="122455C8" w14:textId="77777777" w:rsidR="00282BE5" w:rsidRPr="00282BE5" w:rsidRDefault="00282BE5" w:rsidP="00282BE5">
            <w:pPr>
              <w:rPr>
                <w:sz w:val="18"/>
                <w:szCs w:val="18"/>
              </w:rPr>
            </w:pPr>
            <w:r w:rsidRPr="00282BE5">
              <w:rPr>
                <w:sz w:val="18"/>
                <w:szCs w:val="18"/>
              </w:rPr>
              <w:t>6126 (23.6%)</w:t>
            </w:r>
          </w:p>
        </w:tc>
        <w:tc>
          <w:tcPr>
            <w:tcW w:w="1445" w:type="dxa"/>
            <w:noWrap/>
            <w:hideMark/>
          </w:tcPr>
          <w:p w14:paraId="16FB9BE5" w14:textId="77777777" w:rsidR="00282BE5" w:rsidRPr="00282BE5" w:rsidRDefault="00282BE5" w:rsidP="00282BE5">
            <w:pPr>
              <w:rPr>
                <w:sz w:val="18"/>
                <w:szCs w:val="18"/>
              </w:rPr>
            </w:pPr>
            <w:r w:rsidRPr="00282BE5">
              <w:rPr>
                <w:sz w:val="18"/>
                <w:szCs w:val="18"/>
              </w:rPr>
              <w:t>5676 (32.9%)</w:t>
            </w:r>
          </w:p>
        </w:tc>
        <w:tc>
          <w:tcPr>
            <w:tcW w:w="1445" w:type="dxa"/>
            <w:noWrap/>
            <w:hideMark/>
          </w:tcPr>
          <w:p w14:paraId="4D98698C" w14:textId="77777777" w:rsidR="00282BE5" w:rsidRPr="00282BE5" w:rsidRDefault="00282BE5" w:rsidP="00282BE5">
            <w:pPr>
              <w:rPr>
                <w:sz w:val="18"/>
                <w:szCs w:val="18"/>
              </w:rPr>
            </w:pPr>
            <w:r w:rsidRPr="00282BE5">
              <w:rPr>
                <w:sz w:val="18"/>
                <w:szCs w:val="18"/>
              </w:rPr>
              <w:t>10603 (43.9%)</w:t>
            </w:r>
          </w:p>
        </w:tc>
      </w:tr>
      <w:tr w:rsidR="00282BE5" w:rsidRPr="00282BE5" w14:paraId="1642E45A" w14:textId="77777777" w:rsidTr="00830CB5">
        <w:trPr>
          <w:trHeight w:val="250"/>
        </w:trPr>
        <w:tc>
          <w:tcPr>
            <w:tcW w:w="3570" w:type="dxa"/>
            <w:noWrap/>
            <w:hideMark/>
          </w:tcPr>
          <w:p w14:paraId="44194536" w14:textId="77777777" w:rsidR="00282BE5" w:rsidRPr="00282BE5" w:rsidRDefault="00282BE5">
            <w:pPr>
              <w:rPr>
                <w:sz w:val="18"/>
                <w:szCs w:val="18"/>
              </w:rPr>
            </w:pPr>
            <w:r w:rsidRPr="00282BE5">
              <w:rPr>
                <w:sz w:val="18"/>
                <w:szCs w:val="18"/>
              </w:rPr>
              <w:t>      Neurologic conditions limited to dementia</w:t>
            </w:r>
          </w:p>
        </w:tc>
        <w:tc>
          <w:tcPr>
            <w:tcW w:w="1445" w:type="dxa"/>
            <w:tcBorders>
              <w:right w:val="double" w:sz="4" w:space="0" w:color="auto"/>
            </w:tcBorders>
            <w:noWrap/>
            <w:hideMark/>
          </w:tcPr>
          <w:p w14:paraId="1880F13A" w14:textId="77777777" w:rsidR="00282BE5" w:rsidRPr="00282BE5" w:rsidRDefault="00282BE5" w:rsidP="00282BE5">
            <w:pPr>
              <w:rPr>
                <w:sz w:val="18"/>
                <w:szCs w:val="18"/>
              </w:rPr>
            </w:pPr>
            <w:r w:rsidRPr="00282BE5">
              <w:rPr>
                <w:sz w:val="18"/>
                <w:szCs w:val="18"/>
              </w:rPr>
              <w:t>8163 (12.1%)</w:t>
            </w:r>
          </w:p>
        </w:tc>
        <w:tc>
          <w:tcPr>
            <w:tcW w:w="1445" w:type="dxa"/>
            <w:tcBorders>
              <w:left w:val="double" w:sz="4" w:space="0" w:color="auto"/>
            </w:tcBorders>
            <w:noWrap/>
            <w:hideMark/>
          </w:tcPr>
          <w:p w14:paraId="25B2F1EC" w14:textId="77777777" w:rsidR="00282BE5" w:rsidRPr="00282BE5" w:rsidRDefault="00282BE5" w:rsidP="00282BE5">
            <w:pPr>
              <w:rPr>
                <w:sz w:val="18"/>
                <w:szCs w:val="18"/>
              </w:rPr>
            </w:pPr>
            <w:r w:rsidRPr="00282BE5">
              <w:rPr>
                <w:sz w:val="18"/>
                <w:szCs w:val="18"/>
              </w:rPr>
              <w:t>1159 (4.5%)</w:t>
            </w:r>
          </w:p>
        </w:tc>
        <w:tc>
          <w:tcPr>
            <w:tcW w:w="1445" w:type="dxa"/>
            <w:noWrap/>
            <w:hideMark/>
          </w:tcPr>
          <w:p w14:paraId="5CF7B8E2" w14:textId="77777777" w:rsidR="00282BE5" w:rsidRPr="00282BE5" w:rsidRDefault="00282BE5" w:rsidP="00282BE5">
            <w:pPr>
              <w:rPr>
                <w:sz w:val="18"/>
                <w:szCs w:val="18"/>
              </w:rPr>
            </w:pPr>
            <w:r w:rsidRPr="00282BE5">
              <w:rPr>
                <w:sz w:val="18"/>
                <w:szCs w:val="18"/>
              </w:rPr>
              <w:t>1971 (11.4%)</w:t>
            </w:r>
          </w:p>
        </w:tc>
        <w:tc>
          <w:tcPr>
            <w:tcW w:w="1445" w:type="dxa"/>
            <w:noWrap/>
            <w:hideMark/>
          </w:tcPr>
          <w:p w14:paraId="267CA140" w14:textId="77777777" w:rsidR="00282BE5" w:rsidRPr="00282BE5" w:rsidRDefault="00282BE5" w:rsidP="00282BE5">
            <w:pPr>
              <w:rPr>
                <w:sz w:val="18"/>
                <w:szCs w:val="18"/>
              </w:rPr>
            </w:pPr>
            <w:r w:rsidRPr="00282BE5">
              <w:rPr>
                <w:sz w:val="18"/>
                <w:szCs w:val="18"/>
              </w:rPr>
              <w:t>5033 (20.8%)</w:t>
            </w:r>
          </w:p>
        </w:tc>
      </w:tr>
      <w:tr w:rsidR="00282BE5" w:rsidRPr="00282BE5" w14:paraId="3F38646A" w14:textId="77777777" w:rsidTr="00830CB5">
        <w:trPr>
          <w:trHeight w:val="250"/>
        </w:trPr>
        <w:tc>
          <w:tcPr>
            <w:tcW w:w="3570" w:type="dxa"/>
            <w:noWrap/>
            <w:hideMark/>
          </w:tcPr>
          <w:p w14:paraId="1F3F0AD8" w14:textId="23C2F004" w:rsidR="00282BE5" w:rsidRPr="00282BE5" w:rsidRDefault="00282BE5" w:rsidP="00282BE5">
            <w:pPr>
              <w:rPr>
                <w:sz w:val="18"/>
                <w:szCs w:val="18"/>
              </w:rPr>
            </w:pPr>
            <w:r w:rsidRPr="53E71A9C">
              <w:rPr>
                <w:sz w:val="18"/>
                <w:szCs w:val="18"/>
              </w:rPr>
              <w:t xml:space="preserve">  Overweight BMI</w:t>
            </w:r>
            <w:r w:rsidR="2A432C62" w:rsidRPr="53E71A9C">
              <w:rPr>
                <w:sz w:val="18"/>
                <w:szCs w:val="18"/>
              </w:rPr>
              <w:t>^</w:t>
            </w:r>
          </w:p>
        </w:tc>
        <w:tc>
          <w:tcPr>
            <w:tcW w:w="1445" w:type="dxa"/>
            <w:tcBorders>
              <w:right w:val="double" w:sz="4" w:space="0" w:color="auto"/>
            </w:tcBorders>
            <w:noWrap/>
            <w:hideMark/>
          </w:tcPr>
          <w:p w14:paraId="508FB225" w14:textId="77777777" w:rsidR="00282BE5" w:rsidRPr="00282BE5" w:rsidRDefault="00282BE5" w:rsidP="00282BE5">
            <w:pPr>
              <w:rPr>
                <w:sz w:val="18"/>
                <w:szCs w:val="18"/>
              </w:rPr>
            </w:pPr>
            <w:r w:rsidRPr="00282BE5">
              <w:rPr>
                <w:sz w:val="18"/>
                <w:szCs w:val="18"/>
              </w:rPr>
              <w:t>7112 (10.6%)</w:t>
            </w:r>
          </w:p>
        </w:tc>
        <w:tc>
          <w:tcPr>
            <w:tcW w:w="1445" w:type="dxa"/>
            <w:tcBorders>
              <w:left w:val="double" w:sz="4" w:space="0" w:color="auto"/>
            </w:tcBorders>
            <w:noWrap/>
            <w:hideMark/>
          </w:tcPr>
          <w:p w14:paraId="33B21FB1" w14:textId="77777777" w:rsidR="00282BE5" w:rsidRPr="00282BE5" w:rsidRDefault="00282BE5" w:rsidP="00282BE5">
            <w:pPr>
              <w:rPr>
                <w:sz w:val="18"/>
                <w:szCs w:val="18"/>
              </w:rPr>
            </w:pPr>
            <w:r w:rsidRPr="00282BE5">
              <w:rPr>
                <w:sz w:val="18"/>
                <w:szCs w:val="18"/>
              </w:rPr>
              <w:t>2888 (11.1%)</w:t>
            </w:r>
          </w:p>
        </w:tc>
        <w:tc>
          <w:tcPr>
            <w:tcW w:w="1445" w:type="dxa"/>
            <w:noWrap/>
            <w:hideMark/>
          </w:tcPr>
          <w:p w14:paraId="53769281" w14:textId="77777777" w:rsidR="00282BE5" w:rsidRPr="00282BE5" w:rsidRDefault="00282BE5" w:rsidP="00282BE5">
            <w:pPr>
              <w:rPr>
                <w:sz w:val="18"/>
                <w:szCs w:val="18"/>
              </w:rPr>
            </w:pPr>
            <w:r w:rsidRPr="00282BE5">
              <w:rPr>
                <w:sz w:val="18"/>
                <w:szCs w:val="18"/>
              </w:rPr>
              <w:t>1870 (10.8%)</w:t>
            </w:r>
          </w:p>
        </w:tc>
        <w:tc>
          <w:tcPr>
            <w:tcW w:w="1445" w:type="dxa"/>
            <w:noWrap/>
            <w:hideMark/>
          </w:tcPr>
          <w:p w14:paraId="06DF4A77" w14:textId="77777777" w:rsidR="00282BE5" w:rsidRPr="00282BE5" w:rsidRDefault="00282BE5" w:rsidP="00282BE5">
            <w:pPr>
              <w:rPr>
                <w:sz w:val="18"/>
                <w:szCs w:val="18"/>
              </w:rPr>
            </w:pPr>
            <w:r w:rsidRPr="00282BE5">
              <w:rPr>
                <w:sz w:val="18"/>
                <w:szCs w:val="18"/>
              </w:rPr>
              <w:t>2354 (9.7%)</w:t>
            </w:r>
          </w:p>
        </w:tc>
      </w:tr>
      <w:tr w:rsidR="00282BE5" w:rsidRPr="00282BE5" w14:paraId="7B8EC739" w14:textId="77777777" w:rsidTr="00830CB5">
        <w:trPr>
          <w:trHeight w:val="250"/>
        </w:trPr>
        <w:tc>
          <w:tcPr>
            <w:tcW w:w="3570" w:type="dxa"/>
            <w:noWrap/>
            <w:hideMark/>
          </w:tcPr>
          <w:p w14:paraId="7170FE49" w14:textId="77777777" w:rsidR="00282BE5" w:rsidRPr="00282BE5" w:rsidRDefault="00282BE5">
            <w:pPr>
              <w:rPr>
                <w:sz w:val="18"/>
                <w:szCs w:val="18"/>
              </w:rPr>
            </w:pPr>
            <w:r w:rsidRPr="00282BE5">
              <w:rPr>
                <w:sz w:val="18"/>
                <w:szCs w:val="18"/>
              </w:rPr>
              <w:t>      Obesity</w:t>
            </w:r>
          </w:p>
        </w:tc>
        <w:tc>
          <w:tcPr>
            <w:tcW w:w="1445" w:type="dxa"/>
            <w:tcBorders>
              <w:right w:val="double" w:sz="4" w:space="0" w:color="auto"/>
            </w:tcBorders>
            <w:noWrap/>
            <w:hideMark/>
          </w:tcPr>
          <w:p w14:paraId="16D8372D" w14:textId="77777777" w:rsidR="00282BE5" w:rsidRPr="00282BE5" w:rsidRDefault="00282BE5" w:rsidP="00282BE5">
            <w:pPr>
              <w:rPr>
                <w:sz w:val="18"/>
                <w:szCs w:val="18"/>
              </w:rPr>
            </w:pPr>
            <w:r w:rsidRPr="00282BE5">
              <w:rPr>
                <w:sz w:val="18"/>
                <w:szCs w:val="18"/>
              </w:rPr>
              <w:t>15826 (23.5%)</w:t>
            </w:r>
          </w:p>
        </w:tc>
        <w:tc>
          <w:tcPr>
            <w:tcW w:w="1445" w:type="dxa"/>
            <w:tcBorders>
              <w:left w:val="double" w:sz="4" w:space="0" w:color="auto"/>
            </w:tcBorders>
            <w:noWrap/>
            <w:hideMark/>
          </w:tcPr>
          <w:p w14:paraId="7FC9682D" w14:textId="77777777" w:rsidR="00282BE5" w:rsidRPr="00282BE5" w:rsidRDefault="00282BE5" w:rsidP="00282BE5">
            <w:pPr>
              <w:rPr>
                <w:sz w:val="18"/>
                <w:szCs w:val="18"/>
              </w:rPr>
            </w:pPr>
            <w:r w:rsidRPr="00282BE5">
              <w:rPr>
                <w:sz w:val="18"/>
                <w:szCs w:val="18"/>
              </w:rPr>
              <w:t>6227 (24.0%)</w:t>
            </w:r>
          </w:p>
        </w:tc>
        <w:tc>
          <w:tcPr>
            <w:tcW w:w="1445" w:type="dxa"/>
            <w:noWrap/>
            <w:hideMark/>
          </w:tcPr>
          <w:p w14:paraId="6CAE7457" w14:textId="77777777" w:rsidR="00282BE5" w:rsidRPr="00282BE5" w:rsidRDefault="00282BE5" w:rsidP="00282BE5">
            <w:pPr>
              <w:rPr>
                <w:sz w:val="18"/>
                <w:szCs w:val="18"/>
              </w:rPr>
            </w:pPr>
            <w:r w:rsidRPr="00282BE5">
              <w:rPr>
                <w:sz w:val="18"/>
                <w:szCs w:val="18"/>
              </w:rPr>
              <w:t>4172 (24.2%)</w:t>
            </w:r>
          </w:p>
        </w:tc>
        <w:tc>
          <w:tcPr>
            <w:tcW w:w="1445" w:type="dxa"/>
            <w:noWrap/>
            <w:hideMark/>
          </w:tcPr>
          <w:p w14:paraId="7BB22051" w14:textId="77777777" w:rsidR="00282BE5" w:rsidRPr="00282BE5" w:rsidRDefault="00282BE5" w:rsidP="00282BE5">
            <w:pPr>
              <w:rPr>
                <w:sz w:val="18"/>
                <w:szCs w:val="18"/>
              </w:rPr>
            </w:pPr>
            <w:r w:rsidRPr="00282BE5">
              <w:rPr>
                <w:sz w:val="18"/>
                <w:szCs w:val="18"/>
              </w:rPr>
              <w:t>5427 (22.5%)</w:t>
            </w:r>
          </w:p>
        </w:tc>
      </w:tr>
      <w:tr w:rsidR="00282BE5" w:rsidRPr="00282BE5" w14:paraId="0D4714A9" w14:textId="77777777" w:rsidTr="00830CB5">
        <w:trPr>
          <w:trHeight w:val="250"/>
        </w:trPr>
        <w:tc>
          <w:tcPr>
            <w:tcW w:w="3570" w:type="dxa"/>
            <w:noWrap/>
            <w:hideMark/>
          </w:tcPr>
          <w:p w14:paraId="2F7DC307" w14:textId="210FB6B0" w:rsidR="00282BE5" w:rsidRPr="00282BE5" w:rsidRDefault="00282BE5">
            <w:pPr>
              <w:rPr>
                <w:sz w:val="18"/>
                <w:szCs w:val="18"/>
              </w:rPr>
            </w:pPr>
            <w:r w:rsidRPr="00282BE5">
              <w:rPr>
                <w:sz w:val="18"/>
                <w:szCs w:val="18"/>
              </w:rPr>
              <w:t>      Primary </w:t>
            </w:r>
            <w:r w:rsidR="007A0C47">
              <w:rPr>
                <w:sz w:val="18"/>
                <w:szCs w:val="18"/>
              </w:rPr>
              <w:t>i</w:t>
            </w:r>
            <w:r w:rsidRPr="00282BE5">
              <w:rPr>
                <w:sz w:val="18"/>
                <w:szCs w:val="18"/>
              </w:rPr>
              <w:t>mmunodeficiencies</w:t>
            </w:r>
          </w:p>
        </w:tc>
        <w:tc>
          <w:tcPr>
            <w:tcW w:w="1445" w:type="dxa"/>
            <w:tcBorders>
              <w:right w:val="double" w:sz="4" w:space="0" w:color="auto"/>
            </w:tcBorders>
            <w:noWrap/>
            <w:hideMark/>
          </w:tcPr>
          <w:p w14:paraId="06AFBDFC" w14:textId="77777777" w:rsidR="00282BE5" w:rsidRPr="00282BE5" w:rsidRDefault="00282BE5" w:rsidP="00282BE5">
            <w:pPr>
              <w:rPr>
                <w:sz w:val="18"/>
                <w:szCs w:val="18"/>
              </w:rPr>
            </w:pPr>
            <w:r w:rsidRPr="00282BE5">
              <w:rPr>
                <w:sz w:val="18"/>
                <w:szCs w:val="18"/>
              </w:rPr>
              <w:t>3545 (5.3%)</w:t>
            </w:r>
          </w:p>
        </w:tc>
        <w:tc>
          <w:tcPr>
            <w:tcW w:w="1445" w:type="dxa"/>
            <w:tcBorders>
              <w:left w:val="double" w:sz="4" w:space="0" w:color="auto"/>
            </w:tcBorders>
            <w:noWrap/>
            <w:hideMark/>
          </w:tcPr>
          <w:p w14:paraId="1F18293E" w14:textId="77777777" w:rsidR="00282BE5" w:rsidRPr="00282BE5" w:rsidRDefault="00282BE5" w:rsidP="00282BE5">
            <w:pPr>
              <w:rPr>
                <w:sz w:val="18"/>
                <w:szCs w:val="18"/>
              </w:rPr>
            </w:pPr>
            <w:r w:rsidRPr="00282BE5">
              <w:rPr>
                <w:sz w:val="18"/>
                <w:szCs w:val="18"/>
              </w:rPr>
              <w:t>1606 (6.2%)</w:t>
            </w:r>
          </w:p>
        </w:tc>
        <w:tc>
          <w:tcPr>
            <w:tcW w:w="1445" w:type="dxa"/>
            <w:noWrap/>
            <w:hideMark/>
          </w:tcPr>
          <w:p w14:paraId="7CF2E7F1" w14:textId="77777777" w:rsidR="00282BE5" w:rsidRPr="00282BE5" w:rsidRDefault="00282BE5" w:rsidP="00282BE5">
            <w:pPr>
              <w:rPr>
                <w:sz w:val="18"/>
                <w:szCs w:val="18"/>
              </w:rPr>
            </w:pPr>
            <w:r w:rsidRPr="00282BE5">
              <w:rPr>
                <w:sz w:val="18"/>
                <w:szCs w:val="18"/>
              </w:rPr>
              <w:t>899 (5.2%)</w:t>
            </w:r>
          </w:p>
        </w:tc>
        <w:tc>
          <w:tcPr>
            <w:tcW w:w="1445" w:type="dxa"/>
            <w:noWrap/>
            <w:hideMark/>
          </w:tcPr>
          <w:p w14:paraId="0DB90024" w14:textId="77777777" w:rsidR="00282BE5" w:rsidRPr="00282BE5" w:rsidRDefault="00282BE5" w:rsidP="00282BE5">
            <w:pPr>
              <w:rPr>
                <w:sz w:val="18"/>
                <w:szCs w:val="18"/>
              </w:rPr>
            </w:pPr>
            <w:r w:rsidRPr="00282BE5">
              <w:rPr>
                <w:sz w:val="18"/>
                <w:szCs w:val="18"/>
              </w:rPr>
              <w:t>1040 (4.3%)</w:t>
            </w:r>
          </w:p>
        </w:tc>
      </w:tr>
      <w:tr w:rsidR="00282BE5" w:rsidRPr="00282BE5" w14:paraId="16D9802D" w14:textId="77777777" w:rsidTr="00830CB5">
        <w:trPr>
          <w:trHeight w:val="250"/>
        </w:trPr>
        <w:tc>
          <w:tcPr>
            <w:tcW w:w="3570" w:type="dxa"/>
            <w:noWrap/>
            <w:hideMark/>
          </w:tcPr>
          <w:p w14:paraId="7AF057FB" w14:textId="1F9FED9F" w:rsidR="00282BE5" w:rsidRPr="00282BE5" w:rsidRDefault="00282BE5">
            <w:pPr>
              <w:rPr>
                <w:sz w:val="18"/>
                <w:szCs w:val="18"/>
              </w:rPr>
            </w:pPr>
            <w:r w:rsidRPr="00282BE5">
              <w:rPr>
                <w:sz w:val="18"/>
                <w:szCs w:val="18"/>
              </w:rPr>
              <w:t>      Sickle </w:t>
            </w:r>
            <w:r w:rsidR="007A0C47">
              <w:rPr>
                <w:sz w:val="18"/>
                <w:szCs w:val="18"/>
              </w:rPr>
              <w:t>c</w:t>
            </w:r>
            <w:r w:rsidRPr="00282BE5">
              <w:rPr>
                <w:sz w:val="18"/>
                <w:szCs w:val="18"/>
              </w:rPr>
              <w:t>ell </w:t>
            </w:r>
            <w:r w:rsidR="007A0C47">
              <w:rPr>
                <w:sz w:val="18"/>
                <w:szCs w:val="18"/>
              </w:rPr>
              <w:t>d</w:t>
            </w:r>
            <w:r w:rsidRPr="00282BE5">
              <w:rPr>
                <w:sz w:val="18"/>
                <w:szCs w:val="18"/>
              </w:rPr>
              <w:t>isease</w:t>
            </w:r>
          </w:p>
        </w:tc>
        <w:tc>
          <w:tcPr>
            <w:tcW w:w="1445" w:type="dxa"/>
            <w:tcBorders>
              <w:right w:val="double" w:sz="4" w:space="0" w:color="auto"/>
            </w:tcBorders>
            <w:noWrap/>
            <w:hideMark/>
          </w:tcPr>
          <w:p w14:paraId="716C280D" w14:textId="77777777" w:rsidR="00282BE5" w:rsidRPr="00282BE5" w:rsidRDefault="00282BE5" w:rsidP="00282BE5">
            <w:pPr>
              <w:rPr>
                <w:sz w:val="18"/>
                <w:szCs w:val="18"/>
              </w:rPr>
            </w:pPr>
            <w:r w:rsidRPr="00282BE5">
              <w:rPr>
                <w:sz w:val="18"/>
                <w:szCs w:val="18"/>
              </w:rPr>
              <w:t>62 (0.1%)</w:t>
            </w:r>
          </w:p>
        </w:tc>
        <w:tc>
          <w:tcPr>
            <w:tcW w:w="1445" w:type="dxa"/>
            <w:tcBorders>
              <w:left w:val="double" w:sz="4" w:space="0" w:color="auto"/>
            </w:tcBorders>
            <w:noWrap/>
            <w:hideMark/>
          </w:tcPr>
          <w:p w14:paraId="5D495BE7" w14:textId="77777777" w:rsidR="00282BE5" w:rsidRPr="00282BE5" w:rsidRDefault="00282BE5" w:rsidP="00282BE5">
            <w:pPr>
              <w:rPr>
                <w:sz w:val="18"/>
                <w:szCs w:val="18"/>
              </w:rPr>
            </w:pPr>
            <w:r w:rsidRPr="00282BE5">
              <w:rPr>
                <w:sz w:val="18"/>
                <w:szCs w:val="18"/>
              </w:rPr>
              <w:t>31 (0.1%)</w:t>
            </w:r>
          </w:p>
        </w:tc>
        <w:tc>
          <w:tcPr>
            <w:tcW w:w="1445" w:type="dxa"/>
            <w:noWrap/>
            <w:hideMark/>
          </w:tcPr>
          <w:p w14:paraId="62579D62" w14:textId="77777777" w:rsidR="00282BE5" w:rsidRPr="00282BE5" w:rsidRDefault="00282BE5" w:rsidP="00282BE5">
            <w:pPr>
              <w:rPr>
                <w:sz w:val="18"/>
                <w:szCs w:val="18"/>
              </w:rPr>
            </w:pPr>
            <w:r w:rsidRPr="00282BE5">
              <w:rPr>
                <w:sz w:val="18"/>
                <w:szCs w:val="18"/>
              </w:rPr>
              <w:t>14 (0.1%)</w:t>
            </w:r>
          </w:p>
        </w:tc>
        <w:tc>
          <w:tcPr>
            <w:tcW w:w="1445" w:type="dxa"/>
            <w:noWrap/>
            <w:hideMark/>
          </w:tcPr>
          <w:p w14:paraId="563DAB17" w14:textId="77777777" w:rsidR="00282BE5" w:rsidRPr="00282BE5" w:rsidRDefault="00282BE5" w:rsidP="00282BE5">
            <w:pPr>
              <w:rPr>
                <w:sz w:val="18"/>
                <w:szCs w:val="18"/>
              </w:rPr>
            </w:pPr>
            <w:r w:rsidRPr="00282BE5">
              <w:rPr>
                <w:sz w:val="18"/>
                <w:szCs w:val="18"/>
              </w:rPr>
              <w:t>17 (0.1%)</w:t>
            </w:r>
          </w:p>
        </w:tc>
      </w:tr>
      <w:tr w:rsidR="00282BE5" w:rsidRPr="00282BE5" w14:paraId="35D62B3F" w14:textId="77777777" w:rsidTr="00830CB5">
        <w:trPr>
          <w:trHeight w:val="250"/>
        </w:trPr>
        <w:tc>
          <w:tcPr>
            <w:tcW w:w="3570" w:type="dxa"/>
            <w:noWrap/>
            <w:hideMark/>
          </w:tcPr>
          <w:p w14:paraId="31170AA0" w14:textId="77777777" w:rsidR="00282BE5" w:rsidRPr="00282BE5" w:rsidRDefault="00282BE5">
            <w:pPr>
              <w:rPr>
                <w:sz w:val="18"/>
                <w:szCs w:val="18"/>
              </w:rPr>
            </w:pPr>
            <w:r w:rsidRPr="00282BE5">
              <w:rPr>
                <w:sz w:val="18"/>
                <w:szCs w:val="18"/>
              </w:rPr>
              <w:t>      Smoking current and former</w:t>
            </w:r>
          </w:p>
        </w:tc>
        <w:tc>
          <w:tcPr>
            <w:tcW w:w="1445" w:type="dxa"/>
            <w:tcBorders>
              <w:right w:val="double" w:sz="4" w:space="0" w:color="auto"/>
            </w:tcBorders>
            <w:noWrap/>
            <w:hideMark/>
          </w:tcPr>
          <w:p w14:paraId="5BFF7284" w14:textId="77777777" w:rsidR="00282BE5" w:rsidRPr="00282BE5" w:rsidRDefault="00282BE5" w:rsidP="00282BE5">
            <w:pPr>
              <w:rPr>
                <w:sz w:val="18"/>
                <w:szCs w:val="18"/>
              </w:rPr>
            </w:pPr>
            <w:r w:rsidRPr="00282BE5">
              <w:rPr>
                <w:sz w:val="18"/>
                <w:szCs w:val="18"/>
              </w:rPr>
              <w:t>22478 (33.4%)</w:t>
            </w:r>
          </w:p>
        </w:tc>
        <w:tc>
          <w:tcPr>
            <w:tcW w:w="1445" w:type="dxa"/>
            <w:tcBorders>
              <w:left w:val="double" w:sz="4" w:space="0" w:color="auto"/>
            </w:tcBorders>
            <w:noWrap/>
            <w:hideMark/>
          </w:tcPr>
          <w:p w14:paraId="71D91C59" w14:textId="77777777" w:rsidR="00282BE5" w:rsidRPr="00282BE5" w:rsidRDefault="00282BE5" w:rsidP="00282BE5">
            <w:pPr>
              <w:rPr>
                <w:sz w:val="18"/>
                <w:szCs w:val="18"/>
              </w:rPr>
            </w:pPr>
            <w:r w:rsidRPr="00282BE5">
              <w:rPr>
                <w:sz w:val="18"/>
                <w:szCs w:val="18"/>
              </w:rPr>
              <w:t>8424 (32.4%)</w:t>
            </w:r>
          </w:p>
        </w:tc>
        <w:tc>
          <w:tcPr>
            <w:tcW w:w="1445" w:type="dxa"/>
            <w:noWrap/>
            <w:hideMark/>
          </w:tcPr>
          <w:p w14:paraId="31217FD7" w14:textId="77777777" w:rsidR="00282BE5" w:rsidRPr="00282BE5" w:rsidRDefault="00282BE5" w:rsidP="00282BE5">
            <w:pPr>
              <w:rPr>
                <w:sz w:val="18"/>
                <w:szCs w:val="18"/>
              </w:rPr>
            </w:pPr>
            <w:r w:rsidRPr="00282BE5">
              <w:rPr>
                <w:sz w:val="18"/>
                <w:szCs w:val="18"/>
              </w:rPr>
              <w:t>6059 (35.1%)</w:t>
            </w:r>
          </w:p>
        </w:tc>
        <w:tc>
          <w:tcPr>
            <w:tcW w:w="1445" w:type="dxa"/>
            <w:noWrap/>
            <w:hideMark/>
          </w:tcPr>
          <w:p w14:paraId="6D32182B" w14:textId="77777777" w:rsidR="00282BE5" w:rsidRPr="00282BE5" w:rsidRDefault="00282BE5" w:rsidP="00282BE5">
            <w:pPr>
              <w:rPr>
                <w:sz w:val="18"/>
                <w:szCs w:val="18"/>
              </w:rPr>
            </w:pPr>
            <w:r w:rsidRPr="00282BE5">
              <w:rPr>
                <w:sz w:val="18"/>
                <w:szCs w:val="18"/>
              </w:rPr>
              <w:t>7995 (33.1%)</w:t>
            </w:r>
          </w:p>
        </w:tc>
      </w:tr>
      <w:tr w:rsidR="00282BE5" w:rsidRPr="00282BE5" w14:paraId="0846F702" w14:textId="77777777" w:rsidTr="00830CB5">
        <w:trPr>
          <w:trHeight w:val="250"/>
        </w:trPr>
        <w:tc>
          <w:tcPr>
            <w:tcW w:w="3570" w:type="dxa"/>
            <w:noWrap/>
            <w:hideMark/>
          </w:tcPr>
          <w:p w14:paraId="5523F486" w14:textId="006E5744" w:rsidR="00282BE5" w:rsidRPr="00282BE5" w:rsidRDefault="2C8EBE6F" w:rsidP="7E656384">
            <w:pPr>
              <w:ind w:left="180" w:hanging="180"/>
              <w:rPr>
                <w:sz w:val="18"/>
                <w:szCs w:val="18"/>
              </w:rPr>
            </w:pPr>
            <w:r w:rsidRPr="7E656384">
              <w:rPr>
                <w:sz w:val="18"/>
                <w:szCs w:val="18"/>
              </w:rPr>
              <w:t>      Solid </w:t>
            </w:r>
            <w:r w:rsidR="007A0C47" w:rsidRPr="7E656384">
              <w:rPr>
                <w:sz w:val="18"/>
                <w:szCs w:val="18"/>
              </w:rPr>
              <w:t>o</w:t>
            </w:r>
            <w:r w:rsidRPr="7E656384">
              <w:rPr>
                <w:sz w:val="18"/>
                <w:szCs w:val="18"/>
              </w:rPr>
              <w:t>rgan or </w:t>
            </w:r>
            <w:r w:rsidR="007A0C47" w:rsidRPr="7E656384">
              <w:rPr>
                <w:sz w:val="18"/>
                <w:szCs w:val="18"/>
              </w:rPr>
              <w:t>b</w:t>
            </w:r>
            <w:r w:rsidRPr="7E656384">
              <w:rPr>
                <w:sz w:val="18"/>
                <w:szCs w:val="18"/>
              </w:rPr>
              <w:t>lood </w:t>
            </w:r>
            <w:r w:rsidR="007A0C47" w:rsidRPr="7E656384">
              <w:rPr>
                <w:sz w:val="18"/>
                <w:szCs w:val="18"/>
              </w:rPr>
              <w:t>s</w:t>
            </w:r>
            <w:r w:rsidRPr="7E656384">
              <w:rPr>
                <w:sz w:val="18"/>
                <w:szCs w:val="18"/>
              </w:rPr>
              <w:t>tem </w:t>
            </w:r>
            <w:r w:rsidR="007A0C47" w:rsidRPr="7E656384">
              <w:rPr>
                <w:sz w:val="18"/>
                <w:szCs w:val="18"/>
              </w:rPr>
              <w:t>c</w:t>
            </w:r>
            <w:r w:rsidRPr="7E656384">
              <w:rPr>
                <w:sz w:val="18"/>
                <w:szCs w:val="18"/>
              </w:rPr>
              <w:t>ell </w:t>
            </w:r>
          </w:p>
          <w:p w14:paraId="7445F304" w14:textId="5EE1B90E" w:rsidR="00282BE5" w:rsidRPr="00282BE5" w:rsidRDefault="1F846A7C" w:rsidP="7E656384">
            <w:pPr>
              <w:ind w:left="180" w:hanging="180"/>
              <w:rPr>
                <w:sz w:val="18"/>
                <w:szCs w:val="18"/>
              </w:rPr>
            </w:pPr>
            <w:r w:rsidRPr="7E656384">
              <w:rPr>
                <w:sz w:val="18"/>
                <w:szCs w:val="18"/>
              </w:rPr>
              <w:t xml:space="preserve">      </w:t>
            </w:r>
            <w:r w:rsidR="007A0C47" w:rsidRPr="7E656384">
              <w:rPr>
                <w:sz w:val="18"/>
                <w:szCs w:val="18"/>
              </w:rPr>
              <w:t>t</w:t>
            </w:r>
            <w:r w:rsidR="2C8EBE6F" w:rsidRPr="7E656384">
              <w:rPr>
                <w:sz w:val="18"/>
                <w:szCs w:val="18"/>
              </w:rPr>
              <w:t>ransplantation</w:t>
            </w:r>
          </w:p>
        </w:tc>
        <w:tc>
          <w:tcPr>
            <w:tcW w:w="1445" w:type="dxa"/>
            <w:tcBorders>
              <w:right w:val="double" w:sz="4" w:space="0" w:color="auto"/>
            </w:tcBorders>
            <w:noWrap/>
            <w:hideMark/>
          </w:tcPr>
          <w:p w14:paraId="3A88C635" w14:textId="77777777" w:rsidR="00282BE5" w:rsidRPr="00282BE5" w:rsidRDefault="00282BE5" w:rsidP="00282BE5">
            <w:pPr>
              <w:rPr>
                <w:sz w:val="18"/>
                <w:szCs w:val="18"/>
              </w:rPr>
            </w:pPr>
            <w:r w:rsidRPr="00282BE5">
              <w:rPr>
                <w:sz w:val="18"/>
                <w:szCs w:val="18"/>
              </w:rPr>
              <w:t>1236 (1.8%)</w:t>
            </w:r>
          </w:p>
        </w:tc>
        <w:tc>
          <w:tcPr>
            <w:tcW w:w="1445" w:type="dxa"/>
            <w:tcBorders>
              <w:left w:val="double" w:sz="4" w:space="0" w:color="auto"/>
            </w:tcBorders>
            <w:noWrap/>
            <w:hideMark/>
          </w:tcPr>
          <w:p w14:paraId="2C28AC82" w14:textId="77777777" w:rsidR="00282BE5" w:rsidRPr="00282BE5" w:rsidRDefault="00282BE5" w:rsidP="00282BE5">
            <w:pPr>
              <w:rPr>
                <w:sz w:val="18"/>
                <w:szCs w:val="18"/>
              </w:rPr>
            </w:pPr>
            <w:r w:rsidRPr="00282BE5">
              <w:rPr>
                <w:sz w:val="18"/>
                <w:szCs w:val="18"/>
              </w:rPr>
              <w:t>686 (2.6%)</w:t>
            </w:r>
          </w:p>
        </w:tc>
        <w:tc>
          <w:tcPr>
            <w:tcW w:w="1445" w:type="dxa"/>
            <w:noWrap/>
            <w:hideMark/>
          </w:tcPr>
          <w:p w14:paraId="2F6EB51E" w14:textId="77777777" w:rsidR="00282BE5" w:rsidRPr="00282BE5" w:rsidRDefault="00282BE5" w:rsidP="00282BE5">
            <w:pPr>
              <w:rPr>
                <w:sz w:val="18"/>
                <w:szCs w:val="18"/>
              </w:rPr>
            </w:pPr>
            <w:r w:rsidRPr="00282BE5">
              <w:rPr>
                <w:sz w:val="18"/>
                <w:szCs w:val="18"/>
              </w:rPr>
              <w:t>295 (1.7%)</w:t>
            </w:r>
          </w:p>
        </w:tc>
        <w:tc>
          <w:tcPr>
            <w:tcW w:w="1445" w:type="dxa"/>
            <w:noWrap/>
            <w:hideMark/>
          </w:tcPr>
          <w:p w14:paraId="45271B16" w14:textId="77777777" w:rsidR="00282BE5" w:rsidRPr="00282BE5" w:rsidRDefault="00282BE5" w:rsidP="00282BE5">
            <w:pPr>
              <w:rPr>
                <w:sz w:val="18"/>
                <w:szCs w:val="18"/>
              </w:rPr>
            </w:pPr>
            <w:r w:rsidRPr="00282BE5">
              <w:rPr>
                <w:sz w:val="18"/>
                <w:szCs w:val="18"/>
              </w:rPr>
              <w:t>255 (1.1%)</w:t>
            </w:r>
          </w:p>
        </w:tc>
      </w:tr>
      <w:tr w:rsidR="00282BE5" w:rsidRPr="00282BE5" w14:paraId="01B0C588" w14:textId="77777777" w:rsidTr="00830CB5">
        <w:trPr>
          <w:trHeight w:val="250"/>
        </w:trPr>
        <w:tc>
          <w:tcPr>
            <w:tcW w:w="3570" w:type="dxa"/>
            <w:noWrap/>
            <w:hideMark/>
          </w:tcPr>
          <w:p w14:paraId="257EBD4D" w14:textId="6BA3DB68" w:rsidR="00282BE5" w:rsidRPr="00282BE5" w:rsidRDefault="00282BE5">
            <w:pPr>
              <w:rPr>
                <w:sz w:val="18"/>
                <w:szCs w:val="18"/>
              </w:rPr>
            </w:pPr>
            <w:r w:rsidRPr="00282BE5">
              <w:rPr>
                <w:sz w:val="18"/>
                <w:szCs w:val="18"/>
              </w:rPr>
              <w:t>      Substance </w:t>
            </w:r>
            <w:r w:rsidR="007A0C47">
              <w:rPr>
                <w:sz w:val="18"/>
                <w:szCs w:val="18"/>
              </w:rPr>
              <w:t>u</w:t>
            </w:r>
            <w:r w:rsidRPr="00282BE5">
              <w:rPr>
                <w:sz w:val="18"/>
                <w:szCs w:val="18"/>
              </w:rPr>
              <w:t>se </w:t>
            </w:r>
            <w:r w:rsidR="007A0C47">
              <w:rPr>
                <w:sz w:val="18"/>
                <w:szCs w:val="18"/>
              </w:rPr>
              <w:t>d</w:t>
            </w:r>
            <w:r w:rsidRPr="00282BE5">
              <w:rPr>
                <w:sz w:val="18"/>
                <w:szCs w:val="18"/>
              </w:rPr>
              <w:t>isorder</w:t>
            </w:r>
          </w:p>
        </w:tc>
        <w:tc>
          <w:tcPr>
            <w:tcW w:w="1445" w:type="dxa"/>
            <w:tcBorders>
              <w:right w:val="double" w:sz="4" w:space="0" w:color="auto"/>
            </w:tcBorders>
            <w:noWrap/>
            <w:hideMark/>
          </w:tcPr>
          <w:p w14:paraId="0A3107F2" w14:textId="77777777" w:rsidR="00282BE5" w:rsidRPr="00282BE5" w:rsidRDefault="00282BE5" w:rsidP="00282BE5">
            <w:pPr>
              <w:rPr>
                <w:sz w:val="18"/>
                <w:szCs w:val="18"/>
              </w:rPr>
            </w:pPr>
            <w:r w:rsidRPr="00282BE5">
              <w:rPr>
                <w:sz w:val="18"/>
                <w:szCs w:val="18"/>
              </w:rPr>
              <w:t>2322 (3.4%)</w:t>
            </w:r>
          </w:p>
        </w:tc>
        <w:tc>
          <w:tcPr>
            <w:tcW w:w="1445" w:type="dxa"/>
            <w:tcBorders>
              <w:left w:val="double" w:sz="4" w:space="0" w:color="auto"/>
            </w:tcBorders>
            <w:noWrap/>
            <w:hideMark/>
          </w:tcPr>
          <w:p w14:paraId="160A81A5" w14:textId="77777777" w:rsidR="00282BE5" w:rsidRPr="00282BE5" w:rsidRDefault="00282BE5" w:rsidP="00282BE5">
            <w:pPr>
              <w:rPr>
                <w:sz w:val="18"/>
                <w:szCs w:val="18"/>
              </w:rPr>
            </w:pPr>
            <w:r w:rsidRPr="00282BE5">
              <w:rPr>
                <w:sz w:val="18"/>
                <w:szCs w:val="18"/>
              </w:rPr>
              <w:t>788 (3.0%)</w:t>
            </w:r>
          </w:p>
        </w:tc>
        <w:tc>
          <w:tcPr>
            <w:tcW w:w="1445" w:type="dxa"/>
            <w:noWrap/>
            <w:hideMark/>
          </w:tcPr>
          <w:p w14:paraId="2C1C494B" w14:textId="77777777" w:rsidR="00282BE5" w:rsidRPr="00282BE5" w:rsidRDefault="00282BE5" w:rsidP="00282BE5">
            <w:pPr>
              <w:rPr>
                <w:sz w:val="18"/>
                <w:szCs w:val="18"/>
              </w:rPr>
            </w:pPr>
            <w:r w:rsidRPr="00282BE5">
              <w:rPr>
                <w:sz w:val="18"/>
                <w:szCs w:val="18"/>
              </w:rPr>
              <w:t>639 (3.7%)</w:t>
            </w:r>
          </w:p>
        </w:tc>
        <w:tc>
          <w:tcPr>
            <w:tcW w:w="1445" w:type="dxa"/>
            <w:noWrap/>
            <w:hideMark/>
          </w:tcPr>
          <w:p w14:paraId="54349E7B" w14:textId="77777777" w:rsidR="00282BE5" w:rsidRPr="00282BE5" w:rsidRDefault="00282BE5" w:rsidP="00282BE5">
            <w:pPr>
              <w:rPr>
                <w:sz w:val="18"/>
                <w:szCs w:val="18"/>
              </w:rPr>
            </w:pPr>
            <w:r w:rsidRPr="00282BE5">
              <w:rPr>
                <w:sz w:val="18"/>
                <w:szCs w:val="18"/>
              </w:rPr>
              <w:t>895 (3.7%)</w:t>
            </w:r>
          </w:p>
        </w:tc>
      </w:tr>
      <w:tr w:rsidR="00282BE5" w:rsidRPr="00282BE5" w14:paraId="6937A0F1" w14:textId="77777777" w:rsidTr="00830CB5">
        <w:trPr>
          <w:trHeight w:val="250"/>
        </w:trPr>
        <w:tc>
          <w:tcPr>
            <w:tcW w:w="3570" w:type="dxa"/>
            <w:noWrap/>
            <w:hideMark/>
          </w:tcPr>
          <w:p w14:paraId="759694A5" w14:textId="77777777" w:rsidR="00282BE5" w:rsidRPr="00282BE5" w:rsidRDefault="00282BE5">
            <w:pPr>
              <w:rPr>
                <w:sz w:val="18"/>
                <w:szCs w:val="18"/>
              </w:rPr>
            </w:pPr>
            <w:r w:rsidRPr="00282BE5">
              <w:rPr>
                <w:sz w:val="18"/>
                <w:szCs w:val="18"/>
              </w:rPr>
              <w:t>      Tuberculosis</w:t>
            </w:r>
          </w:p>
        </w:tc>
        <w:tc>
          <w:tcPr>
            <w:tcW w:w="1445" w:type="dxa"/>
            <w:tcBorders>
              <w:right w:val="double" w:sz="4" w:space="0" w:color="auto"/>
            </w:tcBorders>
            <w:noWrap/>
            <w:hideMark/>
          </w:tcPr>
          <w:p w14:paraId="2CD17E86" w14:textId="77777777" w:rsidR="00282BE5" w:rsidRPr="00282BE5" w:rsidRDefault="00282BE5" w:rsidP="00282BE5">
            <w:pPr>
              <w:rPr>
                <w:sz w:val="18"/>
                <w:szCs w:val="18"/>
              </w:rPr>
            </w:pPr>
            <w:r w:rsidRPr="00282BE5">
              <w:rPr>
                <w:sz w:val="18"/>
                <w:szCs w:val="18"/>
              </w:rPr>
              <w:t>289 (0.4%)</w:t>
            </w:r>
          </w:p>
        </w:tc>
        <w:tc>
          <w:tcPr>
            <w:tcW w:w="1445" w:type="dxa"/>
            <w:tcBorders>
              <w:left w:val="double" w:sz="4" w:space="0" w:color="auto"/>
            </w:tcBorders>
            <w:noWrap/>
            <w:hideMark/>
          </w:tcPr>
          <w:p w14:paraId="7BEF998B" w14:textId="77777777" w:rsidR="00282BE5" w:rsidRPr="00282BE5" w:rsidRDefault="00282BE5" w:rsidP="00282BE5">
            <w:pPr>
              <w:rPr>
                <w:sz w:val="18"/>
                <w:szCs w:val="18"/>
              </w:rPr>
            </w:pPr>
            <w:r w:rsidRPr="00282BE5">
              <w:rPr>
                <w:sz w:val="18"/>
                <w:szCs w:val="18"/>
              </w:rPr>
              <w:t>67 (0.3%)</w:t>
            </w:r>
          </w:p>
        </w:tc>
        <w:tc>
          <w:tcPr>
            <w:tcW w:w="1445" w:type="dxa"/>
            <w:noWrap/>
            <w:hideMark/>
          </w:tcPr>
          <w:p w14:paraId="31E2528C" w14:textId="77777777" w:rsidR="00282BE5" w:rsidRPr="00282BE5" w:rsidRDefault="00282BE5" w:rsidP="00282BE5">
            <w:pPr>
              <w:rPr>
                <w:sz w:val="18"/>
                <w:szCs w:val="18"/>
              </w:rPr>
            </w:pPr>
            <w:r w:rsidRPr="00282BE5">
              <w:rPr>
                <w:sz w:val="18"/>
                <w:szCs w:val="18"/>
              </w:rPr>
              <w:t>80 (0.5%)</w:t>
            </w:r>
          </w:p>
        </w:tc>
        <w:tc>
          <w:tcPr>
            <w:tcW w:w="1445" w:type="dxa"/>
            <w:noWrap/>
            <w:hideMark/>
          </w:tcPr>
          <w:p w14:paraId="528591CF" w14:textId="77777777" w:rsidR="00282BE5" w:rsidRPr="00282BE5" w:rsidRDefault="00282BE5" w:rsidP="00282BE5">
            <w:pPr>
              <w:rPr>
                <w:sz w:val="18"/>
                <w:szCs w:val="18"/>
              </w:rPr>
            </w:pPr>
            <w:r w:rsidRPr="00282BE5">
              <w:rPr>
                <w:sz w:val="18"/>
                <w:szCs w:val="18"/>
              </w:rPr>
              <w:t>142 (0.6%)</w:t>
            </w:r>
          </w:p>
        </w:tc>
      </w:tr>
      <w:tr w:rsidR="00282BE5" w:rsidRPr="00282BE5" w14:paraId="70D74050" w14:textId="77777777" w:rsidTr="00830CB5">
        <w:trPr>
          <w:trHeight w:val="250"/>
        </w:trPr>
        <w:tc>
          <w:tcPr>
            <w:tcW w:w="3570" w:type="dxa"/>
            <w:noWrap/>
            <w:hideMark/>
          </w:tcPr>
          <w:p w14:paraId="09A02AB3" w14:textId="38C0158C" w:rsidR="00282BE5" w:rsidRPr="00282BE5" w:rsidRDefault="2C8EBE6F" w:rsidP="7E656384">
            <w:pPr>
              <w:ind w:left="180" w:hanging="180"/>
              <w:rPr>
                <w:sz w:val="18"/>
                <w:szCs w:val="18"/>
              </w:rPr>
            </w:pPr>
            <w:r w:rsidRPr="7E656384">
              <w:rPr>
                <w:sz w:val="18"/>
                <w:szCs w:val="18"/>
              </w:rPr>
              <w:t>      Use of corticosteroids or other </w:t>
            </w:r>
          </w:p>
          <w:p w14:paraId="1626293A" w14:textId="0122DDE9" w:rsidR="00282BE5" w:rsidRPr="00282BE5" w:rsidRDefault="7CFF6894" w:rsidP="7E656384">
            <w:pPr>
              <w:ind w:left="180" w:hanging="180"/>
              <w:rPr>
                <w:sz w:val="18"/>
                <w:szCs w:val="18"/>
              </w:rPr>
            </w:pPr>
            <w:r w:rsidRPr="7E656384">
              <w:rPr>
                <w:sz w:val="18"/>
                <w:szCs w:val="18"/>
              </w:rPr>
              <w:t xml:space="preserve">      </w:t>
            </w:r>
            <w:r w:rsidR="2C8EBE6F" w:rsidRPr="7E656384">
              <w:rPr>
                <w:sz w:val="18"/>
                <w:szCs w:val="18"/>
              </w:rPr>
              <w:t>immunos</w:t>
            </w:r>
            <w:r w:rsidR="4C080D2C" w:rsidRPr="7E656384">
              <w:rPr>
                <w:sz w:val="18"/>
                <w:szCs w:val="18"/>
              </w:rPr>
              <w:t>u</w:t>
            </w:r>
            <w:r w:rsidR="2C8EBE6F" w:rsidRPr="7E656384">
              <w:rPr>
                <w:sz w:val="18"/>
                <w:szCs w:val="18"/>
              </w:rPr>
              <w:t>ppressive medications</w:t>
            </w:r>
          </w:p>
        </w:tc>
        <w:tc>
          <w:tcPr>
            <w:tcW w:w="1445" w:type="dxa"/>
            <w:tcBorders>
              <w:right w:val="double" w:sz="4" w:space="0" w:color="auto"/>
            </w:tcBorders>
            <w:noWrap/>
            <w:hideMark/>
          </w:tcPr>
          <w:p w14:paraId="51084A38" w14:textId="77777777" w:rsidR="00282BE5" w:rsidRPr="00282BE5" w:rsidRDefault="00282BE5" w:rsidP="00282BE5">
            <w:pPr>
              <w:rPr>
                <w:sz w:val="18"/>
                <w:szCs w:val="18"/>
              </w:rPr>
            </w:pPr>
            <w:r w:rsidRPr="00282BE5">
              <w:rPr>
                <w:sz w:val="18"/>
                <w:szCs w:val="18"/>
              </w:rPr>
              <w:t>8505 (12.6%)</w:t>
            </w:r>
          </w:p>
        </w:tc>
        <w:tc>
          <w:tcPr>
            <w:tcW w:w="1445" w:type="dxa"/>
            <w:tcBorders>
              <w:left w:val="double" w:sz="4" w:space="0" w:color="auto"/>
            </w:tcBorders>
            <w:noWrap/>
            <w:hideMark/>
          </w:tcPr>
          <w:p w14:paraId="4614305E" w14:textId="77777777" w:rsidR="00282BE5" w:rsidRPr="00282BE5" w:rsidRDefault="00282BE5" w:rsidP="00282BE5">
            <w:pPr>
              <w:rPr>
                <w:sz w:val="18"/>
                <w:szCs w:val="18"/>
              </w:rPr>
            </w:pPr>
            <w:r w:rsidRPr="00282BE5">
              <w:rPr>
                <w:sz w:val="18"/>
                <w:szCs w:val="18"/>
              </w:rPr>
              <w:t>3098 (11.9%)</w:t>
            </w:r>
          </w:p>
        </w:tc>
        <w:tc>
          <w:tcPr>
            <w:tcW w:w="1445" w:type="dxa"/>
            <w:noWrap/>
            <w:hideMark/>
          </w:tcPr>
          <w:p w14:paraId="0F9060D1" w14:textId="77777777" w:rsidR="00282BE5" w:rsidRPr="00282BE5" w:rsidRDefault="00282BE5" w:rsidP="00282BE5">
            <w:pPr>
              <w:rPr>
                <w:sz w:val="18"/>
                <w:szCs w:val="18"/>
              </w:rPr>
            </w:pPr>
            <w:r w:rsidRPr="00282BE5">
              <w:rPr>
                <w:sz w:val="18"/>
                <w:szCs w:val="18"/>
              </w:rPr>
              <w:t>2527 (14.7%)</w:t>
            </w:r>
          </w:p>
        </w:tc>
        <w:tc>
          <w:tcPr>
            <w:tcW w:w="1445" w:type="dxa"/>
            <w:noWrap/>
            <w:hideMark/>
          </w:tcPr>
          <w:p w14:paraId="30DEDD29" w14:textId="77777777" w:rsidR="00282BE5" w:rsidRPr="00282BE5" w:rsidRDefault="00282BE5" w:rsidP="00282BE5">
            <w:pPr>
              <w:rPr>
                <w:sz w:val="18"/>
                <w:szCs w:val="18"/>
              </w:rPr>
            </w:pPr>
            <w:r w:rsidRPr="00282BE5">
              <w:rPr>
                <w:sz w:val="18"/>
                <w:szCs w:val="18"/>
              </w:rPr>
              <w:t>2880 (11.9%)</w:t>
            </w:r>
          </w:p>
        </w:tc>
      </w:tr>
    </w:tbl>
    <w:p w14:paraId="53E869A8" w14:textId="658CF0E6" w:rsidR="00A45A01" w:rsidRDefault="001E4737" w:rsidP="53E71A9C">
      <w:pPr>
        <w:spacing w:after="60" w:line="278" w:lineRule="auto"/>
        <w:rPr>
          <w:sz w:val="16"/>
          <w:szCs w:val="16"/>
        </w:rPr>
      </w:pPr>
      <w:r w:rsidRPr="53E71A9C">
        <w:rPr>
          <w:sz w:val="16"/>
          <w:szCs w:val="16"/>
        </w:rPr>
        <w:t>*</w:t>
      </w:r>
      <w:r w:rsidR="41D484D7" w:rsidRPr="53E71A9C">
        <w:rPr>
          <w:sz w:val="16"/>
          <w:szCs w:val="16"/>
        </w:rPr>
        <w:t>The CMS cell size suppression policy stipulates that no cell (e.g. admissions, discharges, patients, services, etc.) containing a value of 1 to 10 can be reported directly.</w:t>
      </w:r>
      <w:r w:rsidR="37998357" w:rsidRPr="53E71A9C">
        <w:rPr>
          <w:sz w:val="16"/>
          <w:szCs w:val="16"/>
        </w:rPr>
        <w:t xml:space="preserve"> These counts have been </w:t>
      </w:r>
      <w:r w:rsidR="6C195891" w:rsidRPr="53E71A9C">
        <w:rPr>
          <w:sz w:val="16"/>
          <w:szCs w:val="16"/>
        </w:rPr>
        <w:t>censored as “n&lt;11”</w:t>
      </w:r>
    </w:p>
    <w:p w14:paraId="38505E29" w14:textId="1241363F" w:rsidR="5AB54050" w:rsidRDefault="5AB54050" w:rsidP="53E71A9C">
      <w:pPr>
        <w:spacing w:after="60" w:line="278" w:lineRule="auto"/>
        <w:rPr>
          <w:sz w:val="16"/>
          <w:szCs w:val="16"/>
        </w:rPr>
      </w:pPr>
      <w:r w:rsidRPr="53E71A9C">
        <w:rPr>
          <w:sz w:val="16"/>
          <w:szCs w:val="16"/>
        </w:rPr>
        <w:t>^Defined as BMI ≥ 25</w:t>
      </w:r>
    </w:p>
    <w:p w14:paraId="07305D76" w14:textId="14D89568" w:rsidR="007A0C47" w:rsidRPr="007A0C47" w:rsidRDefault="007A0C47" w:rsidP="008E7EEF">
      <w:pPr>
        <w:spacing w:after="60" w:line="278" w:lineRule="auto"/>
        <w:rPr>
          <w:sz w:val="16"/>
          <w:szCs w:val="16"/>
        </w:rPr>
      </w:pPr>
      <w:r>
        <w:rPr>
          <w:sz w:val="16"/>
          <w:szCs w:val="16"/>
        </w:rPr>
        <w:t xml:space="preserve">BMI: body mass index, HIV: </w:t>
      </w:r>
      <w:r w:rsidR="004D446E" w:rsidRPr="004D446E">
        <w:rPr>
          <w:sz w:val="16"/>
          <w:szCs w:val="16"/>
        </w:rPr>
        <w:t>human immunodeficiency virus</w:t>
      </w:r>
    </w:p>
    <w:p w14:paraId="67A43575" w14:textId="5E914C7E" w:rsidR="00BD7E39" w:rsidRPr="009E5DA2" w:rsidRDefault="00BD7E39" w:rsidP="008E7EEF">
      <w:pPr>
        <w:pStyle w:val="ListParagraph"/>
        <w:numPr>
          <w:ilvl w:val="0"/>
          <w:numId w:val="2"/>
        </w:numPr>
        <w:spacing w:after="60" w:line="278" w:lineRule="auto"/>
        <w:rPr>
          <w:sz w:val="16"/>
          <w:szCs w:val="16"/>
        </w:rPr>
      </w:pPr>
      <w:r w:rsidRPr="009E5DA2">
        <w:rPr>
          <w:sz w:val="16"/>
          <w:szCs w:val="16"/>
        </w:rPr>
        <w:t>Any healthcare facility included: </w:t>
      </w:r>
      <w:r>
        <w:rPr>
          <w:sz w:val="16"/>
          <w:szCs w:val="16"/>
        </w:rPr>
        <w:t xml:space="preserve">skilled nursing facilities, inpatient rehabilitation facilities, hospice, intermediate care facilities, long-term care hospitals, psychiatric inpatient unit, </w:t>
      </w:r>
      <w:r w:rsidRPr="009E5DA2">
        <w:rPr>
          <w:sz w:val="16"/>
          <w:szCs w:val="16"/>
        </w:rPr>
        <w:t>and other types of health care institutions</w:t>
      </w:r>
      <w:r>
        <w:rPr>
          <w:sz w:val="16"/>
          <w:szCs w:val="16"/>
        </w:rPr>
        <w:t>.</w:t>
      </w:r>
    </w:p>
    <w:p w14:paraId="2091E7A4" w14:textId="4D42F5BB" w:rsidR="00D05136" w:rsidRDefault="00D05136">
      <w:r>
        <w:br w:type="page"/>
      </w:r>
    </w:p>
    <w:p w14:paraId="19872900" w14:textId="1F7449CB" w:rsidR="00B4100F" w:rsidRPr="00855B06" w:rsidRDefault="008E1502">
      <w:pPr>
        <w:rPr>
          <w:b/>
          <w:bCs/>
          <w:sz w:val="22"/>
          <w:szCs w:val="22"/>
        </w:rPr>
      </w:pPr>
      <w:r w:rsidRPr="00855B06">
        <w:rPr>
          <w:b/>
          <w:bCs/>
          <w:sz w:val="22"/>
          <w:szCs w:val="22"/>
        </w:rPr>
        <w:t>Supplemental Table S</w:t>
      </w:r>
      <w:r w:rsidR="00B03A3B">
        <w:rPr>
          <w:b/>
          <w:bCs/>
          <w:sz w:val="22"/>
          <w:szCs w:val="22"/>
        </w:rPr>
        <w:t>3</w:t>
      </w:r>
      <w:r w:rsidRPr="00855B06">
        <w:rPr>
          <w:b/>
          <w:bCs/>
          <w:sz w:val="22"/>
          <w:szCs w:val="22"/>
        </w:rPr>
        <w:t>:</w:t>
      </w:r>
      <w:r w:rsidRPr="00855B06">
        <w:rPr>
          <w:sz w:val="22"/>
          <w:szCs w:val="22"/>
        </w:rPr>
        <w:t xml:space="preserve"> </w:t>
      </w:r>
      <w:r w:rsidR="00037398" w:rsidRPr="00855B06">
        <w:rPr>
          <w:sz w:val="22"/>
          <w:szCs w:val="22"/>
        </w:rPr>
        <w:t xml:space="preserve">Pre- to post-hospitalization care setting transitions </w:t>
      </w:r>
    </w:p>
    <w:tbl>
      <w:tblPr>
        <w:tblStyle w:val="TableGrid"/>
        <w:tblW w:w="9546" w:type="dxa"/>
        <w:tblLayout w:type="fixed"/>
        <w:tblLook w:val="04A0" w:firstRow="1" w:lastRow="0" w:firstColumn="1" w:lastColumn="0" w:noHBand="0" w:noVBand="1"/>
      </w:tblPr>
      <w:tblGrid>
        <w:gridCol w:w="1138"/>
        <w:gridCol w:w="2007"/>
        <w:gridCol w:w="1620"/>
        <w:gridCol w:w="1537"/>
        <w:gridCol w:w="1622"/>
        <w:gridCol w:w="1622"/>
      </w:tblGrid>
      <w:tr w:rsidR="00B551EB" w:rsidRPr="00D43C71" w14:paraId="5FD5ED9A" w14:textId="30146360" w:rsidTr="0045342C">
        <w:trPr>
          <w:trHeight w:val="269"/>
        </w:trPr>
        <w:tc>
          <w:tcPr>
            <w:tcW w:w="1138" w:type="dxa"/>
          </w:tcPr>
          <w:p w14:paraId="61FAAF4E" w14:textId="77777777" w:rsidR="00B551EB" w:rsidRPr="00D43C71" w:rsidRDefault="00B551EB" w:rsidP="003D37D3">
            <w:pPr>
              <w:rPr>
                <w:sz w:val="18"/>
                <w:szCs w:val="18"/>
              </w:rPr>
            </w:pPr>
          </w:p>
        </w:tc>
        <w:tc>
          <w:tcPr>
            <w:tcW w:w="2007" w:type="dxa"/>
          </w:tcPr>
          <w:p w14:paraId="05C202E9" w14:textId="2321C7CC" w:rsidR="00B551EB" w:rsidRPr="00D43C71" w:rsidRDefault="00B551EB" w:rsidP="003D37D3">
            <w:pPr>
              <w:rPr>
                <w:sz w:val="18"/>
                <w:szCs w:val="18"/>
              </w:rPr>
            </w:pPr>
          </w:p>
        </w:tc>
        <w:tc>
          <w:tcPr>
            <w:tcW w:w="4779" w:type="dxa"/>
            <w:gridSpan w:val="3"/>
            <w:noWrap/>
          </w:tcPr>
          <w:p w14:paraId="1C180073" w14:textId="0A18DAC9" w:rsidR="00B551EB" w:rsidRDefault="00B551EB" w:rsidP="003D37D3">
            <w:pPr>
              <w:rPr>
                <w:sz w:val="18"/>
                <w:szCs w:val="18"/>
              </w:rPr>
            </w:pPr>
            <w:r>
              <w:rPr>
                <w:sz w:val="18"/>
                <w:szCs w:val="18"/>
              </w:rPr>
              <w:t>Pre</w:t>
            </w:r>
            <w:r w:rsidR="00B71C56">
              <w:rPr>
                <w:sz w:val="18"/>
                <w:szCs w:val="18"/>
              </w:rPr>
              <w:t>-</w:t>
            </w:r>
            <w:r>
              <w:rPr>
                <w:sz w:val="18"/>
                <w:szCs w:val="18"/>
              </w:rPr>
              <w:t>hospitalization care setting</w:t>
            </w:r>
            <w:r w:rsidR="00A25F40">
              <w:rPr>
                <w:sz w:val="18"/>
                <w:szCs w:val="18"/>
              </w:rPr>
              <w:t xml:space="preserve"> </w:t>
            </w:r>
          </w:p>
        </w:tc>
        <w:tc>
          <w:tcPr>
            <w:tcW w:w="1622" w:type="dxa"/>
          </w:tcPr>
          <w:p w14:paraId="19352182" w14:textId="77777777" w:rsidR="00B551EB" w:rsidRDefault="00B551EB" w:rsidP="003D37D3">
            <w:pPr>
              <w:rPr>
                <w:sz w:val="18"/>
                <w:szCs w:val="18"/>
              </w:rPr>
            </w:pPr>
          </w:p>
        </w:tc>
      </w:tr>
      <w:tr w:rsidR="001B1BA1" w:rsidRPr="00D43C71" w14:paraId="4C6641F5" w14:textId="770314E6" w:rsidTr="0045342C">
        <w:trPr>
          <w:trHeight w:val="269"/>
        </w:trPr>
        <w:tc>
          <w:tcPr>
            <w:tcW w:w="1138" w:type="dxa"/>
          </w:tcPr>
          <w:p w14:paraId="7969A072" w14:textId="77777777" w:rsidR="001B1BA1" w:rsidRPr="00D43C71" w:rsidRDefault="001B1BA1" w:rsidP="001B1BA1">
            <w:pPr>
              <w:rPr>
                <w:sz w:val="18"/>
                <w:szCs w:val="18"/>
              </w:rPr>
            </w:pPr>
          </w:p>
        </w:tc>
        <w:tc>
          <w:tcPr>
            <w:tcW w:w="2007" w:type="dxa"/>
          </w:tcPr>
          <w:p w14:paraId="69CBF0FB" w14:textId="464E1D7E" w:rsidR="001B1BA1" w:rsidRPr="00D43C71" w:rsidRDefault="001B1BA1" w:rsidP="001B1BA1">
            <w:pPr>
              <w:rPr>
                <w:sz w:val="18"/>
                <w:szCs w:val="18"/>
              </w:rPr>
            </w:pPr>
          </w:p>
        </w:tc>
        <w:tc>
          <w:tcPr>
            <w:tcW w:w="1620" w:type="dxa"/>
            <w:noWrap/>
          </w:tcPr>
          <w:p w14:paraId="2D422CFF" w14:textId="0B1ABD3E" w:rsidR="001B1BA1" w:rsidRPr="00D43C71" w:rsidRDefault="001B1BA1" w:rsidP="001B1BA1">
            <w:pPr>
              <w:rPr>
                <w:sz w:val="18"/>
                <w:szCs w:val="18"/>
              </w:rPr>
            </w:pPr>
            <w:r w:rsidRPr="00D43C71">
              <w:rPr>
                <w:sz w:val="18"/>
                <w:szCs w:val="18"/>
              </w:rPr>
              <w:t xml:space="preserve">Home </w:t>
            </w:r>
            <w:r>
              <w:rPr>
                <w:sz w:val="18"/>
                <w:szCs w:val="18"/>
              </w:rPr>
              <w:t>(self-care)</w:t>
            </w:r>
          </w:p>
        </w:tc>
        <w:tc>
          <w:tcPr>
            <w:tcW w:w="1537" w:type="dxa"/>
            <w:noWrap/>
          </w:tcPr>
          <w:p w14:paraId="5EC5061B" w14:textId="452B09D8" w:rsidR="001B1BA1" w:rsidRPr="00D43C71" w:rsidRDefault="001B1BA1" w:rsidP="001B1BA1">
            <w:pPr>
              <w:rPr>
                <w:sz w:val="18"/>
                <w:szCs w:val="18"/>
              </w:rPr>
            </w:pPr>
            <w:r>
              <w:rPr>
                <w:sz w:val="18"/>
                <w:szCs w:val="18"/>
              </w:rPr>
              <w:t>Home (under-care)</w:t>
            </w:r>
          </w:p>
        </w:tc>
        <w:tc>
          <w:tcPr>
            <w:tcW w:w="1622" w:type="dxa"/>
            <w:noWrap/>
          </w:tcPr>
          <w:p w14:paraId="478820FC" w14:textId="527E74F5" w:rsidR="001B1BA1" w:rsidRPr="00D43C71" w:rsidRDefault="001B1BA1" w:rsidP="001B1BA1">
            <w:pPr>
              <w:rPr>
                <w:sz w:val="18"/>
                <w:szCs w:val="18"/>
              </w:rPr>
            </w:pPr>
            <w:r>
              <w:rPr>
                <w:sz w:val="18"/>
                <w:szCs w:val="18"/>
              </w:rPr>
              <w:t>Any healthcare facility</w:t>
            </w:r>
          </w:p>
        </w:tc>
        <w:tc>
          <w:tcPr>
            <w:tcW w:w="1622" w:type="dxa"/>
          </w:tcPr>
          <w:p w14:paraId="4C45B96F" w14:textId="66B53E31" w:rsidR="001B1BA1" w:rsidRDefault="009E69C8" w:rsidP="001B1BA1">
            <w:pPr>
              <w:rPr>
                <w:sz w:val="18"/>
                <w:szCs w:val="18"/>
              </w:rPr>
            </w:pPr>
            <w:r w:rsidRPr="00701D8D">
              <w:rPr>
                <w:b/>
                <w:bCs/>
                <w:sz w:val="18"/>
                <w:szCs w:val="18"/>
              </w:rPr>
              <w:t>Total</w:t>
            </w:r>
          </w:p>
        </w:tc>
      </w:tr>
      <w:tr w:rsidR="001B1BA1" w:rsidRPr="00D43C71" w14:paraId="43823761" w14:textId="77777777" w:rsidTr="0045342C">
        <w:trPr>
          <w:trHeight w:val="269"/>
        </w:trPr>
        <w:tc>
          <w:tcPr>
            <w:tcW w:w="1138" w:type="dxa"/>
          </w:tcPr>
          <w:p w14:paraId="5EE3E9E9" w14:textId="77777777" w:rsidR="001B1BA1" w:rsidRPr="00D43C71" w:rsidRDefault="001B1BA1" w:rsidP="001B1BA1">
            <w:pPr>
              <w:rPr>
                <w:sz w:val="18"/>
                <w:szCs w:val="18"/>
              </w:rPr>
            </w:pPr>
          </w:p>
        </w:tc>
        <w:tc>
          <w:tcPr>
            <w:tcW w:w="2007" w:type="dxa"/>
          </w:tcPr>
          <w:p w14:paraId="04560F3D" w14:textId="77777777" w:rsidR="001B1BA1" w:rsidRDefault="3C029F2D" w:rsidP="7E656384">
            <w:pPr>
              <w:rPr>
                <w:sz w:val="18"/>
                <w:szCs w:val="18"/>
              </w:rPr>
            </w:pPr>
            <w:r w:rsidRPr="7E656384">
              <w:rPr>
                <w:sz w:val="18"/>
                <w:szCs w:val="18"/>
              </w:rPr>
              <w:t xml:space="preserve">Patient Count </w:t>
            </w:r>
          </w:p>
          <w:p w14:paraId="68918774" w14:textId="734C2AF2" w:rsidR="001B1BA1" w:rsidRDefault="3C029F2D" w:rsidP="001B1BA1">
            <w:pPr>
              <w:rPr>
                <w:sz w:val="18"/>
                <w:szCs w:val="18"/>
              </w:rPr>
            </w:pPr>
            <w:r w:rsidRPr="7E656384">
              <w:rPr>
                <w:sz w:val="18"/>
                <w:szCs w:val="18"/>
              </w:rPr>
              <w:t>N (%)</w:t>
            </w:r>
          </w:p>
        </w:tc>
        <w:tc>
          <w:tcPr>
            <w:tcW w:w="1620" w:type="dxa"/>
            <w:noWrap/>
          </w:tcPr>
          <w:p w14:paraId="320657FD" w14:textId="1125D9FB" w:rsidR="001B1BA1" w:rsidRPr="00701D8D" w:rsidRDefault="137866A8" w:rsidP="001B1BA1">
            <w:pPr>
              <w:rPr>
                <w:b/>
                <w:bCs/>
                <w:sz w:val="18"/>
                <w:szCs w:val="18"/>
              </w:rPr>
            </w:pPr>
            <w:r w:rsidRPr="7E656384">
              <w:rPr>
                <w:b/>
                <w:bCs/>
                <w:sz w:val="18"/>
                <w:szCs w:val="18"/>
              </w:rPr>
              <w:t>N=48266</w:t>
            </w:r>
            <w:r w:rsidR="6F862E1C" w:rsidRPr="7E656384">
              <w:rPr>
                <w:b/>
                <w:bCs/>
                <w:sz w:val="18"/>
                <w:szCs w:val="18"/>
              </w:rPr>
              <w:t xml:space="preserve"> </w:t>
            </w:r>
            <w:r w:rsidRPr="7E656384">
              <w:rPr>
                <w:b/>
                <w:bCs/>
                <w:sz w:val="18"/>
                <w:szCs w:val="18"/>
              </w:rPr>
              <w:t>(71.7%)</w:t>
            </w:r>
          </w:p>
        </w:tc>
        <w:tc>
          <w:tcPr>
            <w:tcW w:w="1537" w:type="dxa"/>
            <w:noWrap/>
          </w:tcPr>
          <w:p w14:paraId="386A5F80" w14:textId="1DB4A115" w:rsidR="001B1BA1" w:rsidRPr="00701D8D" w:rsidRDefault="001B1BA1" w:rsidP="001B1BA1">
            <w:pPr>
              <w:rPr>
                <w:b/>
                <w:bCs/>
                <w:sz w:val="18"/>
                <w:szCs w:val="18"/>
              </w:rPr>
            </w:pPr>
            <w:r w:rsidRPr="00701D8D">
              <w:rPr>
                <w:b/>
                <w:bCs/>
                <w:sz w:val="18"/>
                <w:szCs w:val="18"/>
              </w:rPr>
              <w:t xml:space="preserve"> N=9125 (13.5%)</w:t>
            </w:r>
          </w:p>
        </w:tc>
        <w:tc>
          <w:tcPr>
            <w:tcW w:w="1622" w:type="dxa"/>
            <w:noWrap/>
          </w:tcPr>
          <w:p w14:paraId="63DE7C20" w14:textId="7FEF6F66" w:rsidR="001B1BA1" w:rsidRPr="00701D8D" w:rsidRDefault="001B1BA1" w:rsidP="001B1BA1">
            <w:pPr>
              <w:rPr>
                <w:b/>
                <w:bCs/>
                <w:sz w:val="18"/>
                <w:szCs w:val="18"/>
              </w:rPr>
            </w:pPr>
            <w:r w:rsidRPr="00701D8D">
              <w:rPr>
                <w:b/>
                <w:bCs/>
                <w:sz w:val="18"/>
                <w:szCs w:val="18"/>
              </w:rPr>
              <w:t>N=9967 (14.8%)</w:t>
            </w:r>
          </w:p>
        </w:tc>
        <w:tc>
          <w:tcPr>
            <w:tcW w:w="1622" w:type="dxa"/>
          </w:tcPr>
          <w:p w14:paraId="694CD487" w14:textId="69E08E05" w:rsidR="001B1BA1" w:rsidRPr="00701D8D" w:rsidRDefault="00701D8D" w:rsidP="001B1BA1">
            <w:pPr>
              <w:rPr>
                <w:b/>
                <w:bCs/>
                <w:sz w:val="18"/>
                <w:szCs w:val="18"/>
              </w:rPr>
            </w:pPr>
            <w:r w:rsidRPr="00701D8D">
              <w:rPr>
                <w:b/>
                <w:bCs/>
                <w:sz w:val="18"/>
                <w:szCs w:val="18"/>
              </w:rPr>
              <w:t>(N=67358; 100%)</w:t>
            </w:r>
          </w:p>
        </w:tc>
      </w:tr>
      <w:tr w:rsidR="001B1BA1" w:rsidRPr="00D43C71" w14:paraId="15B48DD1" w14:textId="40E1C01B" w:rsidTr="0045342C">
        <w:trPr>
          <w:trHeight w:val="269"/>
        </w:trPr>
        <w:tc>
          <w:tcPr>
            <w:tcW w:w="1138" w:type="dxa"/>
            <w:vMerge w:val="restart"/>
          </w:tcPr>
          <w:p w14:paraId="5A957E21" w14:textId="3B022F1D" w:rsidR="001B1BA1" w:rsidRPr="00D43C71" w:rsidRDefault="001B1BA1" w:rsidP="001B1BA1">
            <w:pPr>
              <w:rPr>
                <w:color w:val="000000"/>
                <w:sz w:val="18"/>
                <w:szCs w:val="18"/>
              </w:rPr>
            </w:pPr>
            <w:r>
              <w:rPr>
                <w:color w:val="000000"/>
                <w:sz w:val="18"/>
                <w:szCs w:val="18"/>
              </w:rPr>
              <w:t>Post-hospitalization care setting</w:t>
            </w:r>
          </w:p>
        </w:tc>
        <w:tc>
          <w:tcPr>
            <w:tcW w:w="2007" w:type="dxa"/>
          </w:tcPr>
          <w:p w14:paraId="1E7785A1" w14:textId="63053A2B" w:rsidR="001B1BA1" w:rsidRPr="00D43C71" w:rsidRDefault="001B1BA1" w:rsidP="001B1BA1">
            <w:pPr>
              <w:rPr>
                <w:sz w:val="18"/>
                <w:szCs w:val="18"/>
              </w:rPr>
            </w:pPr>
            <w:r w:rsidRPr="00D43C71">
              <w:rPr>
                <w:color w:val="000000"/>
                <w:sz w:val="18"/>
                <w:szCs w:val="18"/>
              </w:rPr>
              <w:t>Home (self</w:t>
            </w:r>
            <w:r>
              <w:rPr>
                <w:color w:val="000000"/>
                <w:sz w:val="18"/>
                <w:szCs w:val="18"/>
              </w:rPr>
              <w:t>-</w:t>
            </w:r>
            <w:r w:rsidRPr="00D43C71">
              <w:rPr>
                <w:color w:val="000000"/>
                <w:sz w:val="18"/>
                <w:szCs w:val="18"/>
              </w:rPr>
              <w:t>care)</w:t>
            </w:r>
          </w:p>
        </w:tc>
        <w:tc>
          <w:tcPr>
            <w:tcW w:w="1620" w:type="dxa"/>
            <w:noWrap/>
          </w:tcPr>
          <w:p w14:paraId="57E6501C" w14:textId="0E8A1C4A" w:rsidR="001B1BA1" w:rsidRPr="009F0BBC" w:rsidRDefault="001B1BA1" w:rsidP="001B1BA1">
            <w:pPr>
              <w:rPr>
                <w:b/>
                <w:bCs/>
                <w:sz w:val="18"/>
                <w:szCs w:val="18"/>
              </w:rPr>
            </w:pPr>
            <w:r w:rsidRPr="00D43C71">
              <w:rPr>
                <w:sz w:val="18"/>
                <w:szCs w:val="18"/>
              </w:rPr>
              <w:t>23077 (47.8%)</w:t>
            </w:r>
          </w:p>
        </w:tc>
        <w:tc>
          <w:tcPr>
            <w:tcW w:w="1537" w:type="dxa"/>
            <w:noWrap/>
          </w:tcPr>
          <w:p w14:paraId="399C2B5F" w14:textId="636C09D7" w:rsidR="001B1BA1" w:rsidRPr="009F0BBC" w:rsidRDefault="001B1BA1" w:rsidP="001B1BA1">
            <w:pPr>
              <w:rPr>
                <w:b/>
                <w:bCs/>
                <w:sz w:val="18"/>
                <w:szCs w:val="18"/>
              </w:rPr>
            </w:pPr>
            <w:r w:rsidRPr="00D43C71">
              <w:rPr>
                <w:sz w:val="18"/>
                <w:szCs w:val="18"/>
              </w:rPr>
              <w:t>1264 (13.9%)</w:t>
            </w:r>
          </w:p>
        </w:tc>
        <w:tc>
          <w:tcPr>
            <w:tcW w:w="1622" w:type="dxa"/>
            <w:noWrap/>
          </w:tcPr>
          <w:p w14:paraId="3738B640" w14:textId="42C25778" w:rsidR="001B1BA1" w:rsidRPr="009F0BBC" w:rsidRDefault="001B1BA1" w:rsidP="001B1BA1">
            <w:pPr>
              <w:rPr>
                <w:b/>
                <w:bCs/>
                <w:sz w:val="18"/>
                <w:szCs w:val="18"/>
              </w:rPr>
            </w:pPr>
            <w:r w:rsidRPr="00D43C71">
              <w:rPr>
                <w:sz w:val="18"/>
                <w:szCs w:val="18"/>
              </w:rPr>
              <w:t>1621 (16.3%)</w:t>
            </w:r>
          </w:p>
        </w:tc>
        <w:tc>
          <w:tcPr>
            <w:tcW w:w="1622" w:type="dxa"/>
          </w:tcPr>
          <w:p w14:paraId="2F9391A5" w14:textId="1350DAE2" w:rsidR="001B1BA1" w:rsidRPr="00D43C71" w:rsidRDefault="001B1BA1" w:rsidP="001B1BA1">
            <w:pPr>
              <w:rPr>
                <w:sz w:val="18"/>
                <w:szCs w:val="18"/>
              </w:rPr>
            </w:pPr>
            <w:r w:rsidRPr="009F0BBC">
              <w:rPr>
                <w:b/>
                <w:bCs/>
                <w:sz w:val="18"/>
                <w:szCs w:val="18"/>
              </w:rPr>
              <w:t>25962 (38.5%)</w:t>
            </w:r>
          </w:p>
        </w:tc>
      </w:tr>
      <w:tr w:rsidR="001B1BA1" w:rsidRPr="00D43C71" w14:paraId="37906F14" w14:textId="7CB381B3" w:rsidTr="0045342C">
        <w:trPr>
          <w:trHeight w:val="269"/>
        </w:trPr>
        <w:tc>
          <w:tcPr>
            <w:tcW w:w="1138" w:type="dxa"/>
            <w:vMerge/>
          </w:tcPr>
          <w:p w14:paraId="708EE2EA" w14:textId="77777777" w:rsidR="001B1BA1" w:rsidRPr="00D43C71" w:rsidRDefault="001B1BA1" w:rsidP="001B1BA1">
            <w:pPr>
              <w:rPr>
                <w:color w:val="000000"/>
                <w:sz w:val="18"/>
                <w:szCs w:val="18"/>
              </w:rPr>
            </w:pPr>
          </w:p>
        </w:tc>
        <w:tc>
          <w:tcPr>
            <w:tcW w:w="2007" w:type="dxa"/>
            <w:vAlign w:val="bottom"/>
          </w:tcPr>
          <w:p w14:paraId="7BF7820E" w14:textId="4157A01B" w:rsidR="001B1BA1" w:rsidRPr="00D43C71" w:rsidRDefault="001B1BA1" w:rsidP="001B1BA1">
            <w:pPr>
              <w:rPr>
                <w:sz w:val="18"/>
                <w:szCs w:val="18"/>
              </w:rPr>
            </w:pPr>
            <w:r w:rsidRPr="00D43C71">
              <w:rPr>
                <w:color w:val="000000"/>
                <w:sz w:val="18"/>
                <w:szCs w:val="18"/>
              </w:rPr>
              <w:t>Home (under</w:t>
            </w:r>
            <w:r>
              <w:rPr>
                <w:color w:val="000000"/>
                <w:sz w:val="18"/>
                <w:szCs w:val="18"/>
              </w:rPr>
              <w:t>-</w:t>
            </w:r>
            <w:r w:rsidRPr="00D43C71">
              <w:rPr>
                <w:color w:val="000000"/>
                <w:sz w:val="18"/>
                <w:szCs w:val="18"/>
              </w:rPr>
              <w:t>care)</w:t>
            </w:r>
          </w:p>
        </w:tc>
        <w:tc>
          <w:tcPr>
            <w:tcW w:w="1620" w:type="dxa"/>
            <w:noWrap/>
          </w:tcPr>
          <w:p w14:paraId="3D9B2784" w14:textId="14B5BEB1" w:rsidR="001B1BA1" w:rsidRPr="00D47679" w:rsidRDefault="137866A8" w:rsidP="7E656384">
            <w:pPr>
              <w:rPr>
                <w:sz w:val="18"/>
                <w:szCs w:val="18"/>
              </w:rPr>
            </w:pPr>
            <w:r w:rsidRPr="7E656384">
              <w:rPr>
                <w:sz w:val="18"/>
                <w:szCs w:val="18"/>
              </w:rPr>
              <w:t>11790 (24.4%)</w:t>
            </w:r>
          </w:p>
        </w:tc>
        <w:tc>
          <w:tcPr>
            <w:tcW w:w="1537" w:type="dxa"/>
            <w:noWrap/>
          </w:tcPr>
          <w:p w14:paraId="0447D7E3" w14:textId="1B614FD0" w:rsidR="001B1BA1" w:rsidRPr="000347B5" w:rsidRDefault="137866A8" w:rsidP="001B1BA1">
            <w:pPr>
              <w:rPr>
                <w:sz w:val="18"/>
                <w:szCs w:val="18"/>
              </w:rPr>
            </w:pPr>
            <w:r w:rsidRPr="7E656384">
              <w:rPr>
                <w:sz w:val="18"/>
                <w:szCs w:val="18"/>
              </w:rPr>
              <w:t>4092 (44.8%)</w:t>
            </w:r>
          </w:p>
        </w:tc>
        <w:tc>
          <w:tcPr>
            <w:tcW w:w="1622" w:type="dxa"/>
            <w:noWrap/>
          </w:tcPr>
          <w:p w14:paraId="5331C647" w14:textId="7F3FAB49" w:rsidR="001B1BA1" w:rsidRPr="00D43C71" w:rsidRDefault="001B1BA1" w:rsidP="001B1BA1">
            <w:pPr>
              <w:rPr>
                <w:sz w:val="18"/>
                <w:szCs w:val="18"/>
              </w:rPr>
            </w:pPr>
            <w:r w:rsidRPr="00D43C71">
              <w:rPr>
                <w:sz w:val="18"/>
                <w:szCs w:val="18"/>
              </w:rPr>
              <w:t>1366 (13.7%)</w:t>
            </w:r>
          </w:p>
        </w:tc>
        <w:tc>
          <w:tcPr>
            <w:tcW w:w="1622" w:type="dxa"/>
          </w:tcPr>
          <w:p w14:paraId="0D83B5B4" w14:textId="1FE9BFD5" w:rsidR="001B1BA1" w:rsidRPr="00D43C71" w:rsidRDefault="001B1BA1" w:rsidP="001B1BA1">
            <w:pPr>
              <w:rPr>
                <w:sz w:val="18"/>
                <w:szCs w:val="18"/>
              </w:rPr>
            </w:pPr>
            <w:r w:rsidRPr="009F0BBC">
              <w:rPr>
                <w:b/>
                <w:bCs/>
                <w:sz w:val="18"/>
                <w:szCs w:val="18"/>
              </w:rPr>
              <w:t>17248 (25.6%)</w:t>
            </w:r>
          </w:p>
        </w:tc>
      </w:tr>
      <w:tr w:rsidR="001B1BA1" w:rsidRPr="00D43C71" w14:paraId="299697AE" w14:textId="70D1A38D" w:rsidTr="0045342C">
        <w:trPr>
          <w:trHeight w:val="269"/>
        </w:trPr>
        <w:tc>
          <w:tcPr>
            <w:tcW w:w="1138" w:type="dxa"/>
            <w:vMerge/>
          </w:tcPr>
          <w:p w14:paraId="24A63595" w14:textId="77777777" w:rsidR="001B1BA1" w:rsidRPr="00D43C71" w:rsidRDefault="001B1BA1" w:rsidP="001B1BA1">
            <w:pPr>
              <w:rPr>
                <w:color w:val="000000"/>
                <w:sz w:val="18"/>
                <w:szCs w:val="18"/>
              </w:rPr>
            </w:pPr>
          </w:p>
        </w:tc>
        <w:tc>
          <w:tcPr>
            <w:tcW w:w="2007" w:type="dxa"/>
            <w:vAlign w:val="bottom"/>
          </w:tcPr>
          <w:p w14:paraId="2A8FA14B" w14:textId="46040E52" w:rsidR="001B1BA1" w:rsidRPr="00D43C71" w:rsidRDefault="001B1BA1" w:rsidP="001B1BA1">
            <w:pPr>
              <w:rPr>
                <w:sz w:val="18"/>
                <w:szCs w:val="18"/>
              </w:rPr>
            </w:pPr>
            <w:r w:rsidRPr="00D43C71">
              <w:rPr>
                <w:color w:val="000000"/>
                <w:sz w:val="18"/>
                <w:szCs w:val="18"/>
              </w:rPr>
              <w:t>Any healthcare facility</w:t>
            </w:r>
          </w:p>
        </w:tc>
        <w:tc>
          <w:tcPr>
            <w:tcW w:w="1620" w:type="dxa"/>
            <w:noWrap/>
          </w:tcPr>
          <w:p w14:paraId="5E34B00A" w14:textId="512E8021" w:rsidR="001B1BA1" w:rsidRPr="00D47679" w:rsidRDefault="137866A8" w:rsidP="7E656384">
            <w:pPr>
              <w:rPr>
                <w:sz w:val="18"/>
                <w:szCs w:val="18"/>
              </w:rPr>
            </w:pPr>
            <w:r w:rsidRPr="7E656384">
              <w:rPr>
                <w:sz w:val="18"/>
                <w:szCs w:val="18"/>
              </w:rPr>
              <w:t>13399 (27.8%)</w:t>
            </w:r>
          </w:p>
        </w:tc>
        <w:tc>
          <w:tcPr>
            <w:tcW w:w="1537" w:type="dxa"/>
            <w:noWrap/>
          </w:tcPr>
          <w:p w14:paraId="26524F18" w14:textId="7FF64588" w:rsidR="001B1BA1" w:rsidRPr="00D47679" w:rsidRDefault="137866A8" w:rsidP="7E656384">
            <w:pPr>
              <w:rPr>
                <w:sz w:val="18"/>
                <w:szCs w:val="18"/>
              </w:rPr>
            </w:pPr>
            <w:r w:rsidRPr="7E656384">
              <w:rPr>
                <w:sz w:val="18"/>
                <w:szCs w:val="18"/>
              </w:rPr>
              <w:t>3769 (41.3%)</w:t>
            </w:r>
          </w:p>
        </w:tc>
        <w:tc>
          <w:tcPr>
            <w:tcW w:w="1622" w:type="dxa"/>
            <w:noWrap/>
          </w:tcPr>
          <w:p w14:paraId="3EB10EEE" w14:textId="25D6608E" w:rsidR="001B1BA1" w:rsidRPr="00D43C71" w:rsidRDefault="001B1BA1" w:rsidP="001B1BA1">
            <w:pPr>
              <w:rPr>
                <w:sz w:val="18"/>
                <w:szCs w:val="18"/>
              </w:rPr>
            </w:pPr>
            <w:r w:rsidRPr="00D43C71">
              <w:rPr>
                <w:sz w:val="18"/>
                <w:szCs w:val="18"/>
              </w:rPr>
              <w:t>6980 (70.0%)</w:t>
            </w:r>
          </w:p>
        </w:tc>
        <w:tc>
          <w:tcPr>
            <w:tcW w:w="1622" w:type="dxa"/>
          </w:tcPr>
          <w:p w14:paraId="357C55CE" w14:textId="65711CE7" w:rsidR="001B1BA1" w:rsidRPr="00D43C71" w:rsidRDefault="001B1BA1" w:rsidP="001B1BA1">
            <w:pPr>
              <w:rPr>
                <w:sz w:val="18"/>
                <w:szCs w:val="18"/>
              </w:rPr>
            </w:pPr>
            <w:r w:rsidRPr="009F0BBC">
              <w:rPr>
                <w:b/>
                <w:bCs/>
                <w:sz w:val="18"/>
                <w:szCs w:val="18"/>
              </w:rPr>
              <w:t>24148 (35.9%)</w:t>
            </w:r>
          </w:p>
        </w:tc>
      </w:tr>
    </w:tbl>
    <w:p w14:paraId="63136FB0" w14:textId="44AC1AA6" w:rsidR="008E1502" w:rsidRDefault="008E1502">
      <w:pPr>
        <w:rPr>
          <w:b/>
          <w:bCs/>
          <w:sz w:val="20"/>
          <w:szCs w:val="20"/>
        </w:rPr>
      </w:pPr>
    </w:p>
    <w:p w14:paraId="4DF287A2" w14:textId="77777777" w:rsidR="00B4100F" w:rsidRDefault="00B4100F">
      <w:pPr>
        <w:rPr>
          <w:b/>
          <w:bCs/>
          <w:sz w:val="20"/>
          <w:szCs w:val="20"/>
        </w:rPr>
      </w:pPr>
      <w:r>
        <w:rPr>
          <w:b/>
          <w:bCs/>
          <w:sz w:val="20"/>
          <w:szCs w:val="20"/>
        </w:rPr>
        <w:br w:type="page"/>
      </w:r>
    </w:p>
    <w:p w14:paraId="075DE09F" w14:textId="4F3C864C" w:rsidR="00825B10" w:rsidRPr="00855B06" w:rsidRDefault="00825B10" w:rsidP="00825B10">
      <w:pPr>
        <w:rPr>
          <w:sz w:val="22"/>
          <w:szCs w:val="22"/>
        </w:rPr>
      </w:pPr>
      <w:r w:rsidRPr="00855B06">
        <w:rPr>
          <w:b/>
          <w:bCs/>
          <w:sz w:val="22"/>
          <w:szCs w:val="22"/>
        </w:rPr>
        <w:t>Supplemental Table S</w:t>
      </w:r>
      <w:r w:rsidR="00B03A3B">
        <w:rPr>
          <w:b/>
          <w:bCs/>
          <w:sz w:val="22"/>
          <w:szCs w:val="22"/>
        </w:rPr>
        <w:t>4</w:t>
      </w:r>
      <w:r w:rsidRPr="00855B06">
        <w:rPr>
          <w:b/>
          <w:bCs/>
          <w:sz w:val="22"/>
          <w:szCs w:val="22"/>
        </w:rPr>
        <w:t>:</w:t>
      </w:r>
      <w:r w:rsidRPr="00855B06">
        <w:rPr>
          <w:b/>
          <w:sz w:val="22"/>
          <w:szCs w:val="22"/>
        </w:rPr>
        <w:t xml:space="preserve"> </w:t>
      </w:r>
      <w:r w:rsidR="00FE2410" w:rsidRPr="00855B06">
        <w:rPr>
          <w:bCs/>
          <w:sz w:val="22"/>
          <w:szCs w:val="22"/>
        </w:rPr>
        <w:t>All-cause hospital readmissions</w:t>
      </w:r>
      <w:r w:rsidR="1D469032" w:rsidRPr="00855B06">
        <w:rPr>
          <w:bCs/>
          <w:sz w:val="22"/>
          <w:szCs w:val="22"/>
        </w:rPr>
        <w:t xml:space="preserve"> by </w:t>
      </w:r>
      <w:r w:rsidR="00241323" w:rsidRPr="00855B06">
        <w:rPr>
          <w:bCs/>
          <w:sz w:val="22"/>
          <w:szCs w:val="22"/>
        </w:rPr>
        <w:t xml:space="preserve">post-discharge care </w:t>
      </w:r>
      <w:r w:rsidR="00E40D13" w:rsidRPr="00855B06">
        <w:rPr>
          <w:bCs/>
          <w:sz w:val="22"/>
          <w:szCs w:val="22"/>
        </w:rPr>
        <w:t>setting</w:t>
      </w:r>
      <w:r w:rsidR="00241323" w:rsidRPr="00855B06">
        <w:rPr>
          <w:bCs/>
          <w:sz w:val="22"/>
          <w:szCs w:val="22"/>
        </w:rPr>
        <w:t xml:space="preserve"> </w:t>
      </w:r>
    </w:p>
    <w:tbl>
      <w:tblPr>
        <w:tblStyle w:val="TableGrid"/>
        <w:tblW w:w="9403" w:type="dxa"/>
        <w:tblInd w:w="-5" w:type="dxa"/>
        <w:tblLook w:val="04A0" w:firstRow="1" w:lastRow="0" w:firstColumn="1" w:lastColumn="0" w:noHBand="0" w:noVBand="1"/>
      </w:tblPr>
      <w:tblGrid>
        <w:gridCol w:w="2119"/>
        <w:gridCol w:w="1821"/>
        <w:gridCol w:w="1821"/>
        <w:gridCol w:w="1821"/>
        <w:gridCol w:w="1821"/>
      </w:tblGrid>
      <w:tr w:rsidR="00522C8E" w:rsidRPr="00C934B7" w14:paraId="57A0C2AB" w14:textId="77777777" w:rsidTr="00522C8E">
        <w:trPr>
          <w:trHeight w:val="213"/>
        </w:trPr>
        <w:tc>
          <w:tcPr>
            <w:tcW w:w="2119" w:type="dxa"/>
            <w:vMerge w:val="restart"/>
            <w:hideMark/>
          </w:tcPr>
          <w:p w14:paraId="14F0903E" w14:textId="77777777" w:rsidR="00522C8E" w:rsidRPr="00C934B7" w:rsidRDefault="00522C8E">
            <w:pPr>
              <w:rPr>
                <w:b/>
                <w:bCs/>
                <w:sz w:val="18"/>
                <w:szCs w:val="18"/>
              </w:rPr>
            </w:pPr>
            <w:r w:rsidRPr="00C934B7">
              <w:rPr>
                <w:b/>
                <w:bCs/>
                <w:sz w:val="18"/>
                <w:szCs w:val="18"/>
              </w:rPr>
              <w:t> </w:t>
            </w:r>
          </w:p>
        </w:tc>
        <w:tc>
          <w:tcPr>
            <w:tcW w:w="1821" w:type="dxa"/>
            <w:tcBorders>
              <w:right w:val="double" w:sz="4" w:space="0" w:color="auto"/>
            </w:tcBorders>
            <w:hideMark/>
          </w:tcPr>
          <w:p w14:paraId="6BDA4887" w14:textId="77777777" w:rsidR="00522C8E" w:rsidRPr="00C934B7" w:rsidRDefault="00522C8E">
            <w:pPr>
              <w:rPr>
                <w:b/>
                <w:bCs/>
                <w:sz w:val="18"/>
                <w:szCs w:val="18"/>
              </w:rPr>
            </w:pPr>
          </w:p>
        </w:tc>
        <w:tc>
          <w:tcPr>
            <w:tcW w:w="5463" w:type="dxa"/>
            <w:gridSpan w:val="3"/>
            <w:tcBorders>
              <w:left w:val="double" w:sz="4" w:space="0" w:color="auto"/>
              <w:right w:val="single" w:sz="4" w:space="0" w:color="auto"/>
            </w:tcBorders>
          </w:tcPr>
          <w:p w14:paraId="301D511D" w14:textId="61F11083" w:rsidR="00522C8E" w:rsidRPr="00C934B7" w:rsidRDefault="00522C8E">
            <w:pPr>
              <w:jc w:val="center"/>
              <w:rPr>
                <w:b/>
                <w:bCs/>
                <w:sz w:val="18"/>
                <w:szCs w:val="18"/>
              </w:rPr>
            </w:pPr>
            <w:r w:rsidRPr="00C934B7">
              <w:rPr>
                <w:b/>
                <w:bCs/>
                <w:sz w:val="18"/>
                <w:szCs w:val="18"/>
              </w:rPr>
              <w:t xml:space="preserve">First Post-Discharge Care </w:t>
            </w:r>
            <w:r>
              <w:rPr>
                <w:b/>
                <w:bCs/>
                <w:sz w:val="18"/>
                <w:szCs w:val="18"/>
              </w:rPr>
              <w:t>Setting</w:t>
            </w:r>
          </w:p>
        </w:tc>
      </w:tr>
      <w:tr w:rsidR="00522C8E" w:rsidRPr="00C934B7" w14:paraId="77E5DF8E" w14:textId="77777777" w:rsidTr="00F87F9B">
        <w:trPr>
          <w:trHeight w:val="677"/>
        </w:trPr>
        <w:tc>
          <w:tcPr>
            <w:tcW w:w="2119" w:type="dxa"/>
            <w:vMerge/>
            <w:hideMark/>
          </w:tcPr>
          <w:p w14:paraId="4D58FCA7" w14:textId="77777777" w:rsidR="00522C8E" w:rsidRPr="00C934B7" w:rsidRDefault="00522C8E">
            <w:pPr>
              <w:rPr>
                <w:b/>
                <w:bCs/>
                <w:sz w:val="18"/>
                <w:szCs w:val="18"/>
              </w:rPr>
            </w:pPr>
          </w:p>
        </w:tc>
        <w:tc>
          <w:tcPr>
            <w:tcW w:w="1821" w:type="dxa"/>
            <w:tcBorders>
              <w:right w:val="double" w:sz="4" w:space="0" w:color="auto"/>
            </w:tcBorders>
            <w:hideMark/>
          </w:tcPr>
          <w:p w14:paraId="69E16709" w14:textId="77777777" w:rsidR="00522C8E" w:rsidRPr="00C934B7" w:rsidRDefault="00522C8E">
            <w:pPr>
              <w:rPr>
                <w:b/>
                <w:bCs/>
                <w:sz w:val="18"/>
                <w:szCs w:val="18"/>
              </w:rPr>
            </w:pPr>
            <w:r w:rsidRPr="00C934B7">
              <w:rPr>
                <w:b/>
                <w:bCs/>
                <w:sz w:val="18"/>
                <w:szCs w:val="18"/>
              </w:rPr>
              <w:t>Overall</w:t>
            </w:r>
          </w:p>
        </w:tc>
        <w:tc>
          <w:tcPr>
            <w:tcW w:w="1821" w:type="dxa"/>
            <w:tcBorders>
              <w:left w:val="double" w:sz="4" w:space="0" w:color="auto"/>
            </w:tcBorders>
            <w:hideMark/>
          </w:tcPr>
          <w:p w14:paraId="073AB258" w14:textId="77777777" w:rsidR="00522C8E" w:rsidRPr="00C934B7" w:rsidRDefault="00522C8E">
            <w:pPr>
              <w:rPr>
                <w:b/>
                <w:bCs/>
                <w:sz w:val="18"/>
                <w:szCs w:val="18"/>
              </w:rPr>
            </w:pPr>
            <w:r w:rsidRPr="00C934B7">
              <w:rPr>
                <w:b/>
                <w:bCs/>
                <w:sz w:val="18"/>
                <w:szCs w:val="18"/>
              </w:rPr>
              <w:t xml:space="preserve">Home </w:t>
            </w:r>
            <w:r w:rsidRPr="00C934B7">
              <w:rPr>
                <w:b/>
                <w:bCs/>
                <w:sz w:val="18"/>
                <w:szCs w:val="18"/>
              </w:rPr>
              <w:br/>
              <w:t>(self-care)</w:t>
            </w:r>
          </w:p>
        </w:tc>
        <w:tc>
          <w:tcPr>
            <w:tcW w:w="1821" w:type="dxa"/>
            <w:hideMark/>
          </w:tcPr>
          <w:p w14:paraId="71D886EC" w14:textId="7E5EAD2B" w:rsidR="00522C8E" w:rsidRPr="00C934B7" w:rsidRDefault="00522C8E">
            <w:pPr>
              <w:rPr>
                <w:b/>
                <w:bCs/>
                <w:sz w:val="18"/>
                <w:szCs w:val="18"/>
              </w:rPr>
            </w:pPr>
            <w:r w:rsidRPr="00C934B7">
              <w:rPr>
                <w:b/>
                <w:bCs/>
                <w:sz w:val="18"/>
                <w:szCs w:val="18"/>
              </w:rPr>
              <w:t xml:space="preserve">Home </w:t>
            </w:r>
            <w:r w:rsidRPr="00C934B7">
              <w:rPr>
                <w:b/>
                <w:bCs/>
                <w:sz w:val="18"/>
                <w:szCs w:val="18"/>
              </w:rPr>
              <w:br/>
              <w:t>(under</w:t>
            </w:r>
            <w:r w:rsidR="00842266">
              <w:rPr>
                <w:b/>
                <w:bCs/>
                <w:sz w:val="18"/>
                <w:szCs w:val="18"/>
              </w:rPr>
              <w:t xml:space="preserve"> </w:t>
            </w:r>
            <w:r w:rsidRPr="00C934B7">
              <w:rPr>
                <w:b/>
                <w:bCs/>
                <w:sz w:val="18"/>
                <w:szCs w:val="18"/>
              </w:rPr>
              <w:t>care)</w:t>
            </w:r>
          </w:p>
        </w:tc>
        <w:tc>
          <w:tcPr>
            <w:tcW w:w="1821" w:type="dxa"/>
            <w:tcBorders>
              <w:right w:val="single" w:sz="4" w:space="0" w:color="auto"/>
            </w:tcBorders>
            <w:hideMark/>
          </w:tcPr>
          <w:p w14:paraId="1ABD0B57" w14:textId="5A355F22" w:rsidR="00522C8E" w:rsidRPr="002318E1" w:rsidRDefault="00522C8E">
            <w:pPr>
              <w:rPr>
                <w:b/>
                <w:bCs/>
                <w:sz w:val="18"/>
                <w:szCs w:val="18"/>
                <w:vertAlign w:val="superscript"/>
              </w:rPr>
            </w:pPr>
            <w:r w:rsidRPr="00C934B7">
              <w:rPr>
                <w:b/>
                <w:bCs/>
                <w:sz w:val="18"/>
                <w:szCs w:val="18"/>
              </w:rPr>
              <w:t>Any healthcare facility</w:t>
            </w:r>
            <w:r>
              <w:rPr>
                <w:b/>
                <w:bCs/>
                <w:sz w:val="18"/>
                <w:szCs w:val="18"/>
                <w:vertAlign w:val="superscript"/>
              </w:rPr>
              <w:t>1</w:t>
            </w:r>
          </w:p>
        </w:tc>
      </w:tr>
      <w:tr w:rsidR="00522C8E" w:rsidRPr="00C934B7" w14:paraId="411B0B61" w14:textId="77777777" w:rsidTr="00F87F9B">
        <w:trPr>
          <w:trHeight w:val="428"/>
        </w:trPr>
        <w:tc>
          <w:tcPr>
            <w:tcW w:w="2119" w:type="dxa"/>
            <w:hideMark/>
          </w:tcPr>
          <w:p w14:paraId="4F22607D" w14:textId="6B0574D2" w:rsidR="00522C8E" w:rsidRPr="00C52E40" w:rsidRDefault="00522C8E" w:rsidP="3E84F8E8">
            <w:pPr>
              <w:rPr>
                <w:sz w:val="18"/>
                <w:szCs w:val="18"/>
              </w:rPr>
            </w:pPr>
            <w:r w:rsidRPr="00C52E40">
              <w:rPr>
                <w:sz w:val="18"/>
                <w:szCs w:val="18"/>
              </w:rPr>
              <w:t>Patient Count</w:t>
            </w:r>
          </w:p>
          <w:p w14:paraId="48BE32E3" w14:textId="59E79DD3" w:rsidR="00522C8E" w:rsidRPr="00C934B7" w:rsidRDefault="00522C8E" w:rsidP="3E84F8E8">
            <w:pPr>
              <w:rPr>
                <w:sz w:val="18"/>
                <w:szCs w:val="18"/>
              </w:rPr>
            </w:pPr>
            <w:r w:rsidRPr="3E84F8E8">
              <w:rPr>
                <w:sz w:val="18"/>
                <w:szCs w:val="18"/>
              </w:rPr>
              <w:t>N</w:t>
            </w:r>
            <w:r w:rsidRPr="1680A125">
              <w:rPr>
                <w:sz w:val="18"/>
                <w:szCs w:val="18"/>
              </w:rPr>
              <w:t xml:space="preserve"> </w:t>
            </w:r>
            <w:r w:rsidRPr="3E84F8E8">
              <w:rPr>
                <w:sz w:val="18"/>
                <w:szCs w:val="18"/>
              </w:rPr>
              <w:t>(%)</w:t>
            </w:r>
          </w:p>
        </w:tc>
        <w:tc>
          <w:tcPr>
            <w:tcW w:w="1821" w:type="dxa"/>
            <w:tcBorders>
              <w:right w:val="double" w:sz="4" w:space="0" w:color="auto"/>
            </w:tcBorders>
            <w:hideMark/>
          </w:tcPr>
          <w:p w14:paraId="43B3024F" w14:textId="77777777" w:rsidR="00522C8E" w:rsidRPr="00C52E40" w:rsidRDefault="00522C8E">
            <w:pPr>
              <w:rPr>
                <w:b/>
                <w:bCs/>
                <w:sz w:val="18"/>
                <w:szCs w:val="18"/>
              </w:rPr>
            </w:pPr>
            <w:r w:rsidRPr="00C52E40">
              <w:rPr>
                <w:b/>
                <w:bCs/>
                <w:sz w:val="18"/>
                <w:szCs w:val="18"/>
              </w:rPr>
              <w:t>67358 (100.0%)</w:t>
            </w:r>
          </w:p>
        </w:tc>
        <w:tc>
          <w:tcPr>
            <w:tcW w:w="1821" w:type="dxa"/>
            <w:tcBorders>
              <w:left w:val="double" w:sz="4" w:space="0" w:color="auto"/>
            </w:tcBorders>
            <w:hideMark/>
          </w:tcPr>
          <w:p w14:paraId="456C745B" w14:textId="77777777" w:rsidR="00522C8E" w:rsidRPr="00C52E40" w:rsidRDefault="00522C8E">
            <w:pPr>
              <w:rPr>
                <w:b/>
                <w:bCs/>
                <w:sz w:val="18"/>
                <w:szCs w:val="18"/>
              </w:rPr>
            </w:pPr>
            <w:r w:rsidRPr="00C52E40">
              <w:rPr>
                <w:b/>
                <w:bCs/>
                <w:sz w:val="18"/>
                <w:szCs w:val="18"/>
              </w:rPr>
              <w:t>25962 (38.5%)</w:t>
            </w:r>
          </w:p>
        </w:tc>
        <w:tc>
          <w:tcPr>
            <w:tcW w:w="1821" w:type="dxa"/>
            <w:hideMark/>
          </w:tcPr>
          <w:p w14:paraId="6CB890DC" w14:textId="77777777" w:rsidR="00522C8E" w:rsidRPr="00C52E40" w:rsidRDefault="00522C8E">
            <w:pPr>
              <w:rPr>
                <w:b/>
                <w:bCs/>
                <w:sz w:val="18"/>
                <w:szCs w:val="18"/>
              </w:rPr>
            </w:pPr>
            <w:r w:rsidRPr="00C52E40">
              <w:rPr>
                <w:b/>
                <w:bCs/>
                <w:sz w:val="18"/>
                <w:szCs w:val="18"/>
              </w:rPr>
              <w:t>17248 (25.6%)</w:t>
            </w:r>
          </w:p>
        </w:tc>
        <w:tc>
          <w:tcPr>
            <w:tcW w:w="1821" w:type="dxa"/>
            <w:tcBorders>
              <w:right w:val="single" w:sz="4" w:space="0" w:color="auto"/>
            </w:tcBorders>
            <w:hideMark/>
          </w:tcPr>
          <w:p w14:paraId="7F9A44E6" w14:textId="77777777" w:rsidR="00522C8E" w:rsidRPr="00C52E40" w:rsidRDefault="00522C8E">
            <w:pPr>
              <w:rPr>
                <w:b/>
                <w:bCs/>
                <w:sz w:val="18"/>
                <w:szCs w:val="18"/>
              </w:rPr>
            </w:pPr>
            <w:r w:rsidRPr="00C52E40">
              <w:rPr>
                <w:b/>
                <w:bCs/>
                <w:sz w:val="18"/>
                <w:szCs w:val="18"/>
              </w:rPr>
              <w:t>24148 (35.9%)</w:t>
            </w:r>
          </w:p>
        </w:tc>
      </w:tr>
      <w:tr w:rsidR="00522C8E" w:rsidRPr="00C934B7" w14:paraId="4C074DDB" w14:textId="77777777" w:rsidTr="00522C8E">
        <w:trPr>
          <w:trHeight w:val="183"/>
        </w:trPr>
        <w:tc>
          <w:tcPr>
            <w:tcW w:w="9403" w:type="dxa"/>
            <w:gridSpan w:val="5"/>
            <w:hideMark/>
          </w:tcPr>
          <w:p w14:paraId="46790A02" w14:textId="77777777" w:rsidR="00522C8E" w:rsidRPr="00C934B7" w:rsidRDefault="00522C8E">
            <w:pPr>
              <w:rPr>
                <w:b/>
                <w:bCs/>
                <w:sz w:val="18"/>
                <w:szCs w:val="18"/>
              </w:rPr>
            </w:pPr>
            <w:r w:rsidRPr="00C934B7">
              <w:rPr>
                <w:b/>
                <w:bCs/>
                <w:sz w:val="18"/>
                <w:szCs w:val="18"/>
              </w:rPr>
              <w:t>Patients readmitted within 30 days or had at least 30 days follow-up</w:t>
            </w:r>
          </w:p>
        </w:tc>
      </w:tr>
      <w:tr w:rsidR="00522C8E" w:rsidRPr="00C934B7" w14:paraId="47E47015" w14:textId="77777777" w:rsidTr="00F87F9B">
        <w:trPr>
          <w:trHeight w:val="428"/>
        </w:trPr>
        <w:tc>
          <w:tcPr>
            <w:tcW w:w="2119" w:type="dxa"/>
            <w:hideMark/>
          </w:tcPr>
          <w:p w14:paraId="4F42A419" w14:textId="77777777" w:rsidR="00522C8E" w:rsidRPr="00C934B7" w:rsidRDefault="00522C8E" w:rsidP="00C934B7">
            <w:pPr>
              <w:rPr>
                <w:sz w:val="18"/>
                <w:szCs w:val="18"/>
              </w:rPr>
            </w:pPr>
            <w:r w:rsidRPr="00C934B7">
              <w:rPr>
                <w:sz w:val="18"/>
                <w:szCs w:val="18"/>
              </w:rPr>
              <w:t>Was not readmitted within 30 days follow-up</w:t>
            </w:r>
          </w:p>
        </w:tc>
        <w:tc>
          <w:tcPr>
            <w:tcW w:w="1821" w:type="dxa"/>
            <w:tcBorders>
              <w:right w:val="double" w:sz="4" w:space="0" w:color="auto"/>
            </w:tcBorders>
            <w:hideMark/>
          </w:tcPr>
          <w:p w14:paraId="4A9E2F3E" w14:textId="4F9182C0" w:rsidR="00522C8E" w:rsidRPr="00C934B7" w:rsidRDefault="00522C8E" w:rsidP="002E1E03">
            <w:pPr>
              <w:rPr>
                <w:sz w:val="18"/>
                <w:szCs w:val="18"/>
              </w:rPr>
            </w:pPr>
            <w:r w:rsidRPr="00C934B7">
              <w:rPr>
                <w:color w:val="000000"/>
                <w:sz w:val="18"/>
                <w:szCs w:val="18"/>
              </w:rPr>
              <w:t>53195 (82.4%)</w:t>
            </w:r>
          </w:p>
        </w:tc>
        <w:tc>
          <w:tcPr>
            <w:tcW w:w="1821" w:type="dxa"/>
            <w:tcBorders>
              <w:left w:val="double" w:sz="4" w:space="0" w:color="auto"/>
            </w:tcBorders>
            <w:hideMark/>
          </w:tcPr>
          <w:p w14:paraId="31874766" w14:textId="09B0D791" w:rsidR="00522C8E" w:rsidRPr="00C934B7" w:rsidRDefault="00522C8E" w:rsidP="002E1E03">
            <w:pPr>
              <w:rPr>
                <w:sz w:val="18"/>
                <w:szCs w:val="18"/>
              </w:rPr>
            </w:pPr>
            <w:r w:rsidRPr="00C934B7">
              <w:rPr>
                <w:color w:val="000000"/>
                <w:sz w:val="18"/>
                <w:szCs w:val="18"/>
              </w:rPr>
              <w:t>22339 (86.5%)</w:t>
            </w:r>
          </w:p>
        </w:tc>
        <w:tc>
          <w:tcPr>
            <w:tcW w:w="1821" w:type="dxa"/>
            <w:hideMark/>
          </w:tcPr>
          <w:p w14:paraId="2DCAE0C8" w14:textId="28429A68" w:rsidR="00522C8E" w:rsidRPr="00C934B7" w:rsidRDefault="00522C8E" w:rsidP="002E1E03">
            <w:pPr>
              <w:rPr>
                <w:sz w:val="18"/>
                <w:szCs w:val="18"/>
              </w:rPr>
            </w:pPr>
            <w:r w:rsidRPr="00C934B7">
              <w:rPr>
                <w:color w:val="000000"/>
                <w:sz w:val="18"/>
                <w:szCs w:val="18"/>
              </w:rPr>
              <w:t>13946 (81.8%)</w:t>
            </w:r>
          </w:p>
        </w:tc>
        <w:tc>
          <w:tcPr>
            <w:tcW w:w="1821" w:type="dxa"/>
            <w:tcBorders>
              <w:right w:val="single" w:sz="4" w:space="0" w:color="auto"/>
            </w:tcBorders>
            <w:hideMark/>
          </w:tcPr>
          <w:p w14:paraId="5B1E327E" w14:textId="5B06E166" w:rsidR="00522C8E" w:rsidRPr="00C934B7" w:rsidRDefault="00522C8E" w:rsidP="002E1E03">
            <w:pPr>
              <w:rPr>
                <w:sz w:val="18"/>
                <w:szCs w:val="18"/>
              </w:rPr>
            </w:pPr>
            <w:r w:rsidRPr="00C934B7">
              <w:rPr>
                <w:color w:val="000000"/>
                <w:sz w:val="18"/>
                <w:szCs w:val="18"/>
              </w:rPr>
              <w:t>16910 (78.0%)</w:t>
            </w:r>
          </w:p>
        </w:tc>
      </w:tr>
      <w:tr w:rsidR="00522C8E" w:rsidRPr="00C934B7" w14:paraId="425E7413" w14:textId="77777777" w:rsidTr="00F87F9B">
        <w:trPr>
          <w:trHeight w:val="428"/>
        </w:trPr>
        <w:tc>
          <w:tcPr>
            <w:tcW w:w="2119" w:type="dxa"/>
            <w:hideMark/>
          </w:tcPr>
          <w:p w14:paraId="21ACA162" w14:textId="77777777" w:rsidR="00522C8E" w:rsidRPr="00C934B7" w:rsidRDefault="00522C8E" w:rsidP="00C934B7">
            <w:pPr>
              <w:rPr>
                <w:sz w:val="18"/>
                <w:szCs w:val="18"/>
              </w:rPr>
            </w:pPr>
            <w:r w:rsidRPr="00C934B7">
              <w:rPr>
                <w:sz w:val="18"/>
                <w:szCs w:val="18"/>
              </w:rPr>
              <w:t>Readmitted between discharge and 30 days follow-up</w:t>
            </w:r>
          </w:p>
        </w:tc>
        <w:tc>
          <w:tcPr>
            <w:tcW w:w="1821" w:type="dxa"/>
            <w:tcBorders>
              <w:right w:val="double" w:sz="4" w:space="0" w:color="auto"/>
            </w:tcBorders>
            <w:hideMark/>
          </w:tcPr>
          <w:p w14:paraId="76B7F893" w14:textId="0DB4DD55" w:rsidR="00522C8E" w:rsidRPr="00C934B7" w:rsidRDefault="00522C8E" w:rsidP="002E1E03">
            <w:pPr>
              <w:rPr>
                <w:sz w:val="18"/>
                <w:szCs w:val="18"/>
              </w:rPr>
            </w:pPr>
            <w:r w:rsidRPr="00C934B7">
              <w:rPr>
                <w:color w:val="000000"/>
                <w:sz w:val="18"/>
                <w:szCs w:val="18"/>
              </w:rPr>
              <w:t>11336 (17.6%)</w:t>
            </w:r>
          </w:p>
        </w:tc>
        <w:tc>
          <w:tcPr>
            <w:tcW w:w="1821" w:type="dxa"/>
            <w:tcBorders>
              <w:left w:val="double" w:sz="4" w:space="0" w:color="auto"/>
            </w:tcBorders>
            <w:hideMark/>
          </w:tcPr>
          <w:p w14:paraId="0AC826A7" w14:textId="668D3074" w:rsidR="00522C8E" w:rsidRPr="00C934B7" w:rsidRDefault="00522C8E" w:rsidP="002E1E03">
            <w:pPr>
              <w:rPr>
                <w:sz w:val="18"/>
                <w:szCs w:val="18"/>
              </w:rPr>
            </w:pPr>
            <w:r w:rsidRPr="00C934B7">
              <w:rPr>
                <w:color w:val="000000"/>
                <w:sz w:val="18"/>
                <w:szCs w:val="18"/>
              </w:rPr>
              <w:t>3482 (13.5%)</w:t>
            </w:r>
          </w:p>
        </w:tc>
        <w:tc>
          <w:tcPr>
            <w:tcW w:w="1821" w:type="dxa"/>
            <w:hideMark/>
          </w:tcPr>
          <w:p w14:paraId="3B7F82E6" w14:textId="068D6794" w:rsidR="00522C8E" w:rsidRPr="00C934B7" w:rsidRDefault="00522C8E" w:rsidP="002E1E03">
            <w:pPr>
              <w:rPr>
                <w:sz w:val="18"/>
                <w:szCs w:val="18"/>
              </w:rPr>
            </w:pPr>
            <w:r w:rsidRPr="00C934B7">
              <w:rPr>
                <w:color w:val="000000"/>
                <w:sz w:val="18"/>
                <w:szCs w:val="18"/>
              </w:rPr>
              <w:t>3097 (18.2%)</w:t>
            </w:r>
          </w:p>
        </w:tc>
        <w:tc>
          <w:tcPr>
            <w:tcW w:w="1821" w:type="dxa"/>
            <w:tcBorders>
              <w:right w:val="single" w:sz="4" w:space="0" w:color="auto"/>
            </w:tcBorders>
            <w:hideMark/>
          </w:tcPr>
          <w:p w14:paraId="25CD8E2B" w14:textId="08526B86" w:rsidR="00522C8E" w:rsidRPr="00C934B7" w:rsidRDefault="00522C8E" w:rsidP="002E1E03">
            <w:pPr>
              <w:rPr>
                <w:sz w:val="18"/>
                <w:szCs w:val="18"/>
              </w:rPr>
            </w:pPr>
            <w:r w:rsidRPr="00C934B7">
              <w:rPr>
                <w:color w:val="000000"/>
                <w:sz w:val="18"/>
                <w:szCs w:val="18"/>
              </w:rPr>
              <w:t>4757 (22.0%)</w:t>
            </w:r>
          </w:p>
        </w:tc>
      </w:tr>
      <w:tr w:rsidR="00522C8E" w:rsidRPr="00C934B7" w14:paraId="2971D90C" w14:textId="77777777" w:rsidTr="00522C8E">
        <w:trPr>
          <w:trHeight w:val="206"/>
        </w:trPr>
        <w:tc>
          <w:tcPr>
            <w:tcW w:w="9403" w:type="dxa"/>
            <w:gridSpan w:val="5"/>
            <w:hideMark/>
          </w:tcPr>
          <w:p w14:paraId="44C1CA61" w14:textId="77777777" w:rsidR="00522C8E" w:rsidRPr="00C934B7" w:rsidRDefault="00522C8E" w:rsidP="002E1E03">
            <w:pPr>
              <w:rPr>
                <w:b/>
                <w:bCs/>
                <w:sz w:val="18"/>
                <w:szCs w:val="18"/>
              </w:rPr>
            </w:pPr>
            <w:r w:rsidRPr="00C934B7">
              <w:rPr>
                <w:b/>
                <w:bCs/>
                <w:sz w:val="18"/>
                <w:szCs w:val="18"/>
              </w:rPr>
              <w:t>Patients readmitted within 60 days or had at least 60 days follow-up</w:t>
            </w:r>
          </w:p>
        </w:tc>
      </w:tr>
      <w:tr w:rsidR="00522C8E" w:rsidRPr="00C934B7" w14:paraId="7550A4F9" w14:textId="77777777" w:rsidTr="00F87F9B">
        <w:trPr>
          <w:trHeight w:val="428"/>
        </w:trPr>
        <w:tc>
          <w:tcPr>
            <w:tcW w:w="2119" w:type="dxa"/>
            <w:hideMark/>
          </w:tcPr>
          <w:p w14:paraId="0FA07AD4" w14:textId="77777777" w:rsidR="00522C8E" w:rsidRPr="00C934B7" w:rsidRDefault="00522C8E" w:rsidP="00C934B7">
            <w:pPr>
              <w:rPr>
                <w:sz w:val="18"/>
                <w:szCs w:val="18"/>
              </w:rPr>
            </w:pPr>
            <w:r w:rsidRPr="00C934B7">
              <w:rPr>
                <w:sz w:val="18"/>
                <w:szCs w:val="18"/>
              </w:rPr>
              <w:t>Was not readmitted within 60 days follow-up</w:t>
            </w:r>
          </w:p>
        </w:tc>
        <w:tc>
          <w:tcPr>
            <w:tcW w:w="1821" w:type="dxa"/>
            <w:tcBorders>
              <w:right w:val="double" w:sz="4" w:space="0" w:color="auto"/>
            </w:tcBorders>
            <w:hideMark/>
          </w:tcPr>
          <w:p w14:paraId="1A94C5D9" w14:textId="0C3053B9" w:rsidR="00522C8E" w:rsidRPr="00C934B7" w:rsidRDefault="00522C8E" w:rsidP="002E1E03">
            <w:pPr>
              <w:rPr>
                <w:sz w:val="18"/>
                <w:szCs w:val="18"/>
              </w:rPr>
            </w:pPr>
            <w:r w:rsidRPr="00C934B7">
              <w:rPr>
                <w:color w:val="000000"/>
                <w:sz w:val="18"/>
                <w:szCs w:val="18"/>
              </w:rPr>
              <w:t>47555 (74.6%)</w:t>
            </w:r>
          </w:p>
        </w:tc>
        <w:tc>
          <w:tcPr>
            <w:tcW w:w="1821" w:type="dxa"/>
            <w:tcBorders>
              <w:left w:val="double" w:sz="4" w:space="0" w:color="auto"/>
            </w:tcBorders>
            <w:hideMark/>
          </w:tcPr>
          <w:p w14:paraId="5876DD76" w14:textId="270A9BBF" w:rsidR="00522C8E" w:rsidRPr="00C934B7" w:rsidRDefault="00522C8E" w:rsidP="002E1E03">
            <w:pPr>
              <w:rPr>
                <w:sz w:val="18"/>
                <w:szCs w:val="18"/>
              </w:rPr>
            </w:pPr>
            <w:r w:rsidRPr="00C934B7">
              <w:rPr>
                <w:color w:val="000000"/>
                <w:sz w:val="18"/>
                <w:szCs w:val="18"/>
              </w:rPr>
              <w:t>20736 (80.6%)</w:t>
            </w:r>
          </w:p>
        </w:tc>
        <w:tc>
          <w:tcPr>
            <w:tcW w:w="1821" w:type="dxa"/>
            <w:hideMark/>
          </w:tcPr>
          <w:p w14:paraId="631AEA95" w14:textId="3DD4594D" w:rsidR="00522C8E" w:rsidRPr="00C934B7" w:rsidRDefault="00522C8E" w:rsidP="002E1E03">
            <w:pPr>
              <w:rPr>
                <w:sz w:val="18"/>
                <w:szCs w:val="18"/>
              </w:rPr>
            </w:pPr>
            <w:r w:rsidRPr="00C934B7">
              <w:rPr>
                <w:color w:val="000000"/>
                <w:sz w:val="18"/>
                <w:szCs w:val="18"/>
              </w:rPr>
              <w:t>12491 (73.9%)</w:t>
            </w:r>
          </w:p>
        </w:tc>
        <w:tc>
          <w:tcPr>
            <w:tcW w:w="1821" w:type="dxa"/>
            <w:tcBorders>
              <w:right w:val="single" w:sz="4" w:space="0" w:color="auto"/>
            </w:tcBorders>
            <w:hideMark/>
          </w:tcPr>
          <w:p w14:paraId="1AA6337E" w14:textId="4834ABBD" w:rsidR="00522C8E" w:rsidRPr="00C934B7" w:rsidRDefault="00522C8E" w:rsidP="002E1E03">
            <w:pPr>
              <w:rPr>
                <w:sz w:val="18"/>
                <w:szCs w:val="18"/>
              </w:rPr>
            </w:pPr>
            <w:r w:rsidRPr="00C934B7">
              <w:rPr>
                <w:color w:val="000000"/>
                <w:sz w:val="18"/>
                <w:szCs w:val="18"/>
              </w:rPr>
              <w:t>14328 (67.9%)</w:t>
            </w:r>
          </w:p>
        </w:tc>
      </w:tr>
      <w:tr w:rsidR="00522C8E" w:rsidRPr="00C934B7" w14:paraId="09E4D75C" w14:textId="77777777" w:rsidTr="00F87F9B">
        <w:trPr>
          <w:trHeight w:val="428"/>
        </w:trPr>
        <w:tc>
          <w:tcPr>
            <w:tcW w:w="2119" w:type="dxa"/>
            <w:hideMark/>
          </w:tcPr>
          <w:p w14:paraId="31D5CA83" w14:textId="77777777" w:rsidR="00522C8E" w:rsidRPr="00C934B7" w:rsidRDefault="00522C8E" w:rsidP="00C934B7">
            <w:pPr>
              <w:rPr>
                <w:sz w:val="18"/>
                <w:szCs w:val="18"/>
              </w:rPr>
            </w:pPr>
            <w:r w:rsidRPr="00C934B7">
              <w:rPr>
                <w:sz w:val="18"/>
                <w:szCs w:val="18"/>
              </w:rPr>
              <w:t>Readmitted between discharge and 60 days follow-up</w:t>
            </w:r>
          </w:p>
        </w:tc>
        <w:tc>
          <w:tcPr>
            <w:tcW w:w="1821" w:type="dxa"/>
            <w:tcBorders>
              <w:right w:val="double" w:sz="4" w:space="0" w:color="auto"/>
            </w:tcBorders>
            <w:hideMark/>
          </w:tcPr>
          <w:p w14:paraId="71C6C659" w14:textId="3C5ED462" w:rsidR="00522C8E" w:rsidRPr="00C934B7" w:rsidRDefault="00522C8E" w:rsidP="002E1E03">
            <w:pPr>
              <w:rPr>
                <w:sz w:val="18"/>
                <w:szCs w:val="18"/>
              </w:rPr>
            </w:pPr>
            <w:r w:rsidRPr="00C934B7">
              <w:rPr>
                <w:color w:val="000000"/>
                <w:sz w:val="18"/>
                <w:szCs w:val="18"/>
              </w:rPr>
              <w:t>16184 (25.4%)</w:t>
            </w:r>
          </w:p>
        </w:tc>
        <w:tc>
          <w:tcPr>
            <w:tcW w:w="1821" w:type="dxa"/>
            <w:tcBorders>
              <w:left w:val="double" w:sz="4" w:space="0" w:color="auto"/>
            </w:tcBorders>
            <w:hideMark/>
          </w:tcPr>
          <w:p w14:paraId="71B43E76" w14:textId="1D2853D9" w:rsidR="00522C8E" w:rsidRPr="00C934B7" w:rsidRDefault="00522C8E" w:rsidP="002E1E03">
            <w:pPr>
              <w:rPr>
                <w:sz w:val="18"/>
                <w:szCs w:val="18"/>
              </w:rPr>
            </w:pPr>
            <w:r w:rsidRPr="00C934B7">
              <w:rPr>
                <w:color w:val="000000"/>
                <w:sz w:val="18"/>
                <w:szCs w:val="18"/>
              </w:rPr>
              <w:t>4990 (19.4%)</w:t>
            </w:r>
          </w:p>
        </w:tc>
        <w:tc>
          <w:tcPr>
            <w:tcW w:w="1821" w:type="dxa"/>
            <w:hideMark/>
          </w:tcPr>
          <w:p w14:paraId="2ACD3811" w14:textId="4BB9FDD9" w:rsidR="00522C8E" w:rsidRPr="00C934B7" w:rsidRDefault="00522C8E" w:rsidP="002E1E03">
            <w:pPr>
              <w:rPr>
                <w:sz w:val="18"/>
                <w:szCs w:val="18"/>
              </w:rPr>
            </w:pPr>
            <w:r w:rsidRPr="00C934B7">
              <w:rPr>
                <w:color w:val="000000"/>
                <w:sz w:val="18"/>
                <w:szCs w:val="18"/>
              </w:rPr>
              <w:t>4420 (26.1%)</w:t>
            </w:r>
          </w:p>
        </w:tc>
        <w:tc>
          <w:tcPr>
            <w:tcW w:w="1821" w:type="dxa"/>
            <w:tcBorders>
              <w:right w:val="single" w:sz="4" w:space="0" w:color="auto"/>
            </w:tcBorders>
            <w:hideMark/>
          </w:tcPr>
          <w:p w14:paraId="1DECC01D" w14:textId="3F691784" w:rsidR="00522C8E" w:rsidRPr="00C934B7" w:rsidRDefault="00522C8E" w:rsidP="002E1E03">
            <w:pPr>
              <w:rPr>
                <w:sz w:val="18"/>
                <w:szCs w:val="18"/>
              </w:rPr>
            </w:pPr>
            <w:r w:rsidRPr="00C934B7">
              <w:rPr>
                <w:color w:val="000000"/>
                <w:sz w:val="18"/>
                <w:szCs w:val="18"/>
              </w:rPr>
              <w:t>6774 (32.1%)</w:t>
            </w:r>
          </w:p>
        </w:tc>
      </w:tr>
      <w:tr w:rsidR="00522C8E" w:rsidRPr="00C934B7" w14:paraId="02FA2018" w14:textId="77777777" w:rsidTr="00522C8E">
        <w:trPr>
          <w:trHeight w:val="198"/>
        </w:trPr>
        <w:tc>
          <w:tcPr>
            <w:tcW w:w="9403" w:type="dxa"/>
            <w:gridSpan w:val="5"/>
            <w:hideMark/>
          </w:tcPr>
          <w:p w14:paraId="634E250E" w14:textId="77777777" w:rsidR="00522C8E" w:rsidRPr="00C934B7" w:rsidRDefault="00522C8E" w:rsidP="002E1E03">
            <w:pPr>
              <w:rPr>
                <w:b/>
                <w:bCs/>
                <w:sz w:val="18"/>
                <w:szCs w:val="18"/>
              </w:rPr>
            </w:pPr>
            <w:r w:rsidRPr="00C934B7">
              <w:rPr>
                <w:b/>
                <w:bCs/>
                <w:sz w:val="18"/>
                <w:szCs w:val="18"/>
              </w:rPr>
              <w:t>Patients readmitted within 90 days or had at least 90 days follow-up</w:t>
            </w:r>
          </w:p>
        </w:tc>
      </w:tr>
      <w:tr w:rsidR="00522C8E" w:rsidRPr="00C934B7" w14:paraId="21A4DB9F" w14:textId="77777777" w:rsidTr="00F87F9B">
        <w:trPr>
          <w:trHeight w:val="428"/>
        </w:trPr>
        <w:tc>
          <w:tcPr>
            <w:tcW w:w="2119" w:type="dxa"/>
            <w:hideMark/>
          </w:tcPr>
          <w:p w14:paraId="50ADDAF6" w14:textId="77777777" w:rsidR="00522C8E" w:rsidRPr="00C934B7" w:rsidRDefault="00522C8E" w:rsidP="00C934B7">
            <w:pPr>
              <w:rPr>
                <w:sz w:val="18"/>
                <w:szCs w:val="18"/>
              </w:rPr>
            </w:pPr>
            <w:r w:rsidRPr="00C934B7">
              <w:rPr>
                <w:sz w:val="18"/>
                <w:szCs w:val="18"/>
              </w:rPr>
              <w:t>Was not readmitted within 90 days follow-up</w:t>
            </w:r>
          </w:p>
        </w:tc>
        <w:tc>
          <w:tcPr>
            <w:tcW w:w="1821" w:type="dxa"/>
            <w:tcBorders>
              <w:right w:val="double" w:sz="4" w:space="0" w:color="auto"/>
            </w:tcBorders>
            <w:hideMark/>
          </w:tcPr>
          <w:p w14:paraId="38B5E995" w14:textId="58413435" w:rsidR="00522C8E" w:rsidRPr="00C934B7" w:rsidRDefault="00522C8E" w:rsidP="002E1E03">
            <w:pPr>
              <w:rPr>
                <w:sz w:val="18"/>
                <w:szCs w:val="18"/>
              </w:rPr>
            </w:pPr>
            <w:r w:rsidRPr="00C934B7">
              <w:rPr>
                <w:color w:val="000000"/>
                <w:sz w:val="18"/>
                <w:szCs w:val="18"/>
              </w:rPr>
              <w:t>43571 (68.9%)</w:t>
            </w:r>
          </w:p>
        </w:tc>
        <w:tc>
          <w:tcPr>
            <w:tcW w:w="1821" w:type="dxa"/>
            <w:tcBorders>
              <w:left w:val="double" w:sz="4" w:space="0" w:color="auto"/>
            </w:tcBorders>
            <w:hideMark/>
          </w:tcPr>
          <w:p w14:paraId="35CEDE48" w14:textId="447824D2" w:rsidR="00522C8E" w:rsidRPr="00C934B7" w:rsidRDefault="00522C8E" w:rsidP="002E1E03">
            <w:pPr>
              <w:rPr>
                <w:sz w:val="18"/>
                <w:szCs w:val="18"/>
              </w:rPr>
            </w:pPr>
            <w:r w:rsidRPr="00C934B7">
              <w:rPr>
                <w:color w:val="000000"/>
                <w:sz w:val="18"/>
                <w:szCs w:val="18"/>
              </w:rPr>
              <w:t>19509 (76.0%)</w:t>
            </w:r>
          </w:p>
        </w:tc>
        <w:tc>
          <w:tcPr>
            <w:tcW w:w="1821" w:type="dxa"/>
            <w:hideMark/>
          </w:tcPr>
          <w:p w14:paraId="5C32523C" w14:textId="5CD2ED98" w:rsidR="00522C8E" w:rsidRPr="00C934B7" w:rsidRDefault="00522C8E" w:rsidP="002E1E03">
            <w:pPr>
              <w:rPr>
                <w:sz w:val="18"/>
                <w:szCs w:val="18"/>
              </w:rPr>
            </w:pPr>
            <w:r w:rsidRPr="00C934B7">
              <w:rPr>
                <w:color w:val="000000"/>
                <w:sz w:val="18"/>
                <w:szCs w:val="18"/>
              </w:rPr>
              <w:t>11424 (67.9%)</w:t>
            </w:r>
          </w:p>
        </w:tc>
        <w:tc>
          <w:tcPr>
            <w:tcW w:w="1821" w:type="dxa"/>
            <w:tcBorders>
              <w:right w:val="single" w:sz="4" w:space="0" w:color="auto"/>
            </w:tcBorders>
            <w:hideMark/>
          </w:tcPr>
          <w:p w14:paraId="1189BF16" w14:textId="2F955673" w:rsidR="00522C8E" w:rsidRPr="00C934B7" w:rsidRDefault="00522C8E" w:rsidP="002E1E03">
            <w:pPr>
              <w:rPr>
                <w:sz w:val="18"/>
                <w:szCs w:val="18"/>
              </w:rPr>
            </w:pPr>
            <w:r w:rsidRPr="00C934B7">
              <w:rPr>
                <w:color w:val="000000"/>
                <w:sz w:val="18"/>
                <w:szCs w:val="18"/>
              </w:rPr>
              <w:t>12638 (61.0%)</w:t>
            </w:r>
          </w:p>
        </w:tc>
      </w:tr>
      <w:tr w:rsidR="00522C8E" w:rsidRPr="00C934B7" w14:paraId="1807ADEC" w14:textId="77777777" w:rsidTr="00F87F9B">
        <w:trPr>
          <w:trHeight w:val="428"/>
        </w:trPr>
        <w:tc>
          <w:tcPr>
            <w:tcW w:w="2119" w:type="dxa"/>
            <w:hideMark/>
          </w:tcPr>
          <w:p w14:paraId="4C8A3987" w14:textId="77777777" w:rsidR="00522C8E" w:rsidRPr="00C934B7" w:rsidRDefault="00522C8E" w:rsidP="00C934B7">
            <w:pPr>
              <w:rPr>
                <w:sz w:val="18"/>
                <w:szCs w:val="18"/>
              </w:rPr>
            </w:pPr>
            <w:r w:rsidRPr="00C934B7">
              <w:rPr>
                <w:sz w:val="18"/>
                <w:szCs w:val="18"/>
              </w:rPr>
              <w:t>Readmitted between discharge and 90 days follow-up</w:t>
            </w:r>
          </w:p>
        </w:tc>
        <w:tc>
          <w:tcPr>
            <w:tcW w:w="1821" w:type="dxa"/>
            <w:tcBorders>
              <w:right w:val="double" w:sz="4" w:space="0" w:color="auto"/>
            </w:tcBorders>
            <w:hideMark/>
          </w:tcPr>
          <w:p w14:paraId="6DCDD6EB" w14:textId="2FD549C4" w:rsidR="00522C8E" w:rsidRPr="00C934B7" w:rsidRDefault="00522C8E" w:rsidP="002E1E03">
            <w:pPr>
              <w:rPr>
                <w:sz w:val="18"/>
                <w:szCs w:val="18"/>
              </w:rPr>
            </w:pPr>
            <w:r w:rsidRPr="00C934B7">
              <w:rPr>
                <w:color w:val="000000"/>
                <w:sz w:val="18"/>
                <w:szCs w:val="18"/>
              </w:rPr>
              <w:t>19655 (31.1%)</w:t>
            </w:r>
          </w:p>
        </w:tc>
        <w:tc>
          <w:tcPr>
            <w:tcW w:w="1821" w:type="dxa"/>
            <w:tcBorders>
              <w:left w:val="double" w:sz="4" w:space="0" w:color="auto"/>
            </w:tcBorders>
            <w:hideMark/>
          </w:tcPr>
          <w:p w14:paraId="0CBADE46" w14:textId="381FD5B9" w:rsidR="00522C8E" w:rsidRPr="00C934B7" w:rsidRDefault="00522C8E" w:rsidP="002E1E03">
            <w:pPr>
              <w:rPr>
                <w:sz w:val="18"/>
                <w:szCs w:val="18"/>
              </w:rPr>
            </w:pPr>
            <w:r w:rsidRPr="00C934B7">
              <w:rPr>
                <w:color w:val="000000"/>
                <w:sz w:val="18"/>
                <w:szCs w:val="18"/>
              </w:rPr>
              <w:t>6152 (24.0%)</w:t>
            </w:r>
          </w:p>
        </w:tc>
        <w:tc>
          <w:tcPr>
            <w:tcW w:w="1821" w:type="dxa"/>
            <w:hideMark/>
          </w:tcPr>
          <w:p w14:paraId="77EDE24B" w14:textId="7AAF4419" w:rsidR="00522C8E" w:rsidRPr="00C934B7" w:rsidRDefault="00522C8E" w:rsidP="002E1E03">
            <w:pPr>
              <w:rPr>
                <w:sz w:val="18"/>
                <w:szCs w:val="18"/>
              </w:rPr>
            </w:pPr>
            <w:r w:rsidRPr="00C934B7">
              <w:rPr>
                <w:color w:val="000000"/>
                <w:sz w:val="18"/>
                <w:szCs w:val="18"/>
              </w:rPr>
              <w:t>5409 (32.1%)</w:t>
            </w:r>
          </w:p>
        </w:tc>
        <w:tc>
          <w:tcPr>
            <w:tcW w:w="1821" w:type="dxa"/>
            <w:tcBorders>
              <w:right w:val="single" w:sz="4" w:space="0" w:color="auto"/>
            </w:tcBorders>
            <w:hideMark/>
          </w:tcPr>
          <w:p w14:paraId="7C0F404B" w14:textId="5FA85CAA" w:rsidR="00522C8E" w:rsidRPr="00C934B7" w:rsidRDefault="00522C8E" w:rsidP="002E1E03">
            <w:pPr>
              <w:rPr>
                <w:sz w:val="18"/>
                <w:szCs w:val="18"/>
              </w:rPr>
            </w:pPr>
            <w:r w:rsidRPr="00C934B7">
              <w:rPr>
                <w:color w:val="000000"/>
                <w:sz w:val="18"/>
                <w:szCs w:val="18"/>
              </w:rPr>
              <w:t>8094 (39.0%)</w:t>
            </w:r>
          </w:p>
        </w:tc>
      </w:tr>
      <w:tr w:rsidR="00522C8E" w:rsidRPr="00C934B7" w14:paraId="3A5AE515" w14:textId="77777777" w:rsidTr="00522C8E">
        <w:trPr>
          <w:trHeight w:val="302"/>
        </w:trPr>
        <w:tc>
          <w:tcPr>
            <w:tcW w:w="9403" w:type="dxa"/>
            <w:gridSpan w:val="5"/>
            <w:hideMark/>
          </w:tcPr>
          <w:p w14:paraId="2868066A" w14:textId="77777777" w:rsidR="00522C8E" w:rsidRPr="00C934B7" w:rsidRDefault="00522C8E" w:rsidP="002E1E03">
            <w:pPr>
              <w:rPr>
                <w:b/>
                <w:bCs/>
                <w:sz w:val="18"/>
                <w:szCs w:val="18"/>
              </w:rPr>
            </w:pPr>
            <w:r w:rsidRPr="00C934B7">
              <w:rPr>
                <w:b/>
                <w:bCs/>
                <w:sz w:val="18"/>
                <w:szCs w:val="18"/>
              </w:rPr>
              <w:t>Patients readmitted within 180 days or had at least 180 days follow-up</w:t>
            </w:r>
          </w:p>
        </w:tc>
      </w:tr>
      <w:tr w:rsidR="00522C8E" w:rsidRPr="00C934B7" w14:paraId="565371B5" w14:textId="77777777" w:rsidTr="00F87F9B">
        <w:trPr>
          <w:trHeight w:val="428"/>
        </w:trPr>
        <w:tc>
          <w:tcPr>
            <w:tcW w:w="2119" w:type="dxa"/>
            <w:hideMark/>
          </w:tcPr>
          <w:p w14:paraId="4C132A2C" w14:textId="77777777" w:rsidR="00522C8E" w:rsidRPr="00C934B7" w:rsidRDefault="00522C8E" w:rsidP="00C934B7">
            <w:pPr>
              <w:rPr>
                <w:sz w:val="18"/>
                <w:szCs w:val="18"/>
              </w:rPr>
            </w:pPr>
            <w:r w:rsidRPr="00C934B7">
              <w:rPr>
                <w:sz w:val="18"/>
                <w:szCs w:val="18"/>
              </w:rPr>
              <w:t>Was not readmitted within 180 days follow-up</w:t>
            </w:r>
          </w:p>
        </w:tc>
        <w:tc>
          <w:tcPr>
            <w:tcW w:w="1821" w:type="dxa"/>
            <w:tcBorders>
              <w:right w:val="double" w:sz="4" w:space="0" w:color="auto"/>
            </w:tcBorders>
            <w:hideMark/>
          </w:tcPr>
          <w:p w14:paraId="1645C822" w14:textId="351EEF81" w:rsidR="00522C8E" w:rsidRPr="00C934B7" w:rsidRDefault="00522C8E" w:rsidP="002E1E03">
            <w:pPr>
              <w:rPr>
                <w:sz w:val="18"/>
                <w:szCs w:val="18"/>
              </w:rPr>
            </w:pPr>
            <w:r w:rsidRPr="00C934B7">
              <w:rPr>
                <w:color w:val="000000"/>
                <w:sz w:val="18"/>
                <w:szCs w:val="18"/>
              </w:rPr>
              <w:t>35732 (57.5%)</w:t>
            </w:r>
          </w:p>
        </w:tc>
        <w:tc>
          <w:tcPr>
            <w:tcW w:w="1821" w:type="dxa"/>
            <w:tcBorders>
              <w:left w:val="double" w:sz="4" w:space="0" w:color="auto"/>
            </w:tcBorders>
            <w:hideMark/>
          </w:tcPr>
          <w:p w14:paraId="0E1B7448" w14:textId="1607EEFE" w:rsidR="00522C8E" w:rsidRPr="00C934B7" w:rsidRDefault="00522C8E" w:rsidP="002E1E03">
            <w:pPr>
              <w:rPr>
                <w:sz w:val="18"/>
                <w:szCs w:val="18"/>
              </w:rPr>
            </w:pPr>
            <w:r w:rsidRPr="00C934B7">
              <w:rPr>
                <w:color w:val="000000"/>
                <w:sz w:val="18"/>
                <w:szCs w:val="18"/>
              </w:rPr>
              <w:t>16846 (66.1%)</w:t>
            </w:r>
          </w:p>
        </w:tc>
        <w:tc>
          <w:tcPr>
            <w:tcW w:w="1821" w:type="dxa"/>
            <w:hideMark/>
          </w:tcPr>
          <w:p w14:paraId="4E489CE9" w14:textId="405976F4" w:rsidR="00522C8E" w:rsidRPr="00C934B7" w:rsidRDefault="00522C8E" w:rsidP="002E1E03">
            <w:pPr>
              <w:rPr>
                <w:sz w:val="18"/>
                <w:szCs w:val="18"/>
              </w:rPr>
            </w:pPr>
            <w:r w:rsidRPr="00C934B7">
              <w:rPr>
                <w:color w:val="000000"/>
                <w:sz w:val="18"/>
                <w:szCs w:val="18"/>
              </w:rPr>
              <w:t>9241 (55.6%)</w:t>
            </w:r>
          </w:p>
        </w:tc>
        <w:tc>
          <w:tcPr>
            <w:tcW w:w="1821" w:type="dxa"/>
            <w:tcBorders>
              <w:right w:val="single" w:sz="4" w:space="0" w:color="auto"/>
            </w:tcBorders>
            <w:hideMark/>
          </w:tcPr>
          <w:p w14:paraId="52B87DAC" w14:textId="6F105E02" w:rsidR="00522C8E" w:rsidRPr="00C934B7" w:rsidRDefault="00522C8E" w:rsidP="002E1E03">
            <w:pPr>
              <w:rPr>
                <w:sz w:val="18"/>
                <w:szCs w:val="18"/>
              </w:rPr>
            </w:pPr>
            <w:r w:rsidRPr="00C934B7">
              <w:rPr>
                <w:color w:val="000000"/>
                <w:sz w:val="18"/>
                <w:szCs w:val="18"/>
              </w:rPr>
              <w:t>9645 (48.1%)</w:t>
            </w:r>
          </w:p>
        </w:tc>
      </w:tr>
      <w:tr w:rsidR="00522C8E" w:rsidRPr="00C934B7" w14:paraId="140630DB" w14:textId="77777777" w:rsidTr="00F87F9B">
        <w:trPr>
          <w:trHeight w:val="428"/>
        </w:trPr>
        <w:tc>
          <w:tcPr>
            <w:tcW w:w="2119" w:type="dxa"/>
            <w:hideMark/>
          </w:tcPr>
          <w:p w14:paraId="5A3E18E0" w14:textId="77777777" w:rsidR="00522C8E" w:rsidRPr="00C934B7" w:rsidRDefault="00522C8E" w:rsidP="00C934B7">
            <w:pPr>
              <w:rPr>
                <w:sz w:val="18"/>
                <w:szCs w:val="18"/>
              </w:rPr>
            </w:pPr>
            <w:r w:rsidRPr="00C934B7">
              <w:rPr>
                <w:sz w:val="18"/>
                <w:szCs w:val="18"/>
              </w:rPr>
              <w:t>Readmitted between discharge and 180 days follow-up</w:t>
            </w:r>
          </w:p>
        </w:tc>
        <w:tc>
          <w:tcPr>
            <w:tcW w:w="1821" w:type="dxa"/>
            <w:tcBorders>
              <w:right w:val="double" w:sz="4" w:space="0" w:color="auto"/>
            </w:tcBorders>
            <w:hideMark/>
          </w:tcPr>
          <w:p w14:paraId="1B4D2756" w14:textId="5011CE4C" w:rsidR="00522C8E" w:rsidRPr="00C934B7" w:rsidRDefault="00522C8E" w:rsidP="002E1E03">
            <w:pPr>
              <w:rPr>
                <w:sz w:val="18"/>
                <w:szCs w:val="18"/>
              </w:rPr>
            </w:pPr>
            <w:r w:rsidRPr="00C934B7">
              <w:rPr>
                <w:color w:val="000000"/>
                <w:sz w:val="18"/>
                <w:szCs w:val="18"/>
              </w:rPr>
              <w:t>26401 (42.5%)</w:t>
            </w:r>
          </w:p>
        </w:tc>
        <w:tc>
          <w:tcPr>
            <w:tcW w:w="1821" w:type="dxa"/>
            <w:tcBorders>
              <w:left w:val="double" w:sz="4" w:space="0" w:color="auto"/>
            </w:tcBorders>
            <w:hideMark/>
          </w:tcPr>
          <w:p w14:paraId="79EADF89" w14:textId="43BFB548" w:rsidR="00522C8E" w:rsidRPr="00C934B7" w:rsidRDefault="00522C8E" w:rsidP="002E1E03">
            <w:pPr>
              <w:rPr>
                <w:sz w:val="18"/>
                <w:szCs w:val="18"/>
              </w:rPr>
            </w:pPr>
            <w:r w:rsidRPr="00C934B7">
              <w:rPr>
                <w:color w:val="000000"/>
                <w:sz w:val="18"/>
                <w:szCs w:val="18"/>
              </w:rPr>
              <w:t>8624 (33.9%)</w:t>
            </w:r>
          </w:p>
        </w:tc>
        <w:tc>
          <w:tcPr>
            <w:tcW w:w="1821" w:type="dxa"/>
            <w:hideMark/>
          </w:tcPr>
          <w:p w14:paraId="428E8E0B" w14:textId="3AB3F5B7" w:rsidR="00522C8E" w:rsidRPr="00C934B7" w:rsidRDefault="00522C8E" w:rsidP="002E1E03">
            <w:pPr>
              <w:rPr>
                <w:sz w:val="18"/>
                <w:szCs w:val="18"/>
              </w:rPr>
            </w:pPr>
            <w:r w:rsidRPr="00C934B7">
              <w:rPr>
                <w:color w:val="000000"/>
                <w:sz w:val="18"/>
                <w:szCs w:val="18"/>
              </w:rPr>
              <w:t>7379 (44.4%)</w:t>
            </w:r>
          </w:p>
        </w:tc>
        <w:tc>
          <w:tcPr>
            <w:tcW w:w="1821" w:type="dxa"/>
            <w:tcBorders>
              <w:right w:val="single" w:sz="4" w:space="0" w:color="auto"/>
            </w:tcBorders>
            <w:hideMark/>
          </w:tcPr>
          <w:p w14:paraId="71EC1ED3" w14:textId="2E7966EC" w:rsidR="00522C8E" w:rsidRPr="00C934B7" w:rsidRDefault="00522C8E" w:rsidP="002E1E03">
            <w:pPr>
              <w:rPr>
                <w:sz w:val="18"/>
                <w:szCs w:val="18"/>
              </w:rPr>
            </w:pPr>
            <w:r w:rsidRPr="00C934B7">
              <w:rPr>
                <w:color w:val="000000"/>
                <w:sz w:val="18"/>
                <w:szCs w:val="18"/>
              </w:rPr>
              <w:t>10398 (51.9%)</w:t>
            </w:r>
          </w:p>
        </w:tc>
      </w:tr>
    </w:tbl>
    <w:p w14:paraId="5E498671" w14:textId="100BD062" w:rsidR="002A2237" w:rsidRDefault="00B75E97" w:rsidP="00B75E97">
      <w:pPr>
        <w:rPr>
          <w:sz w:val="16"/>
          <w:szCs w:val="16"/>
        </w:rPr>
      </w:pPr>
      <w:r>
        <w:rPr>
          <w:sz w:val="16"/>
          <w:szCs w:val="16"/>
        </w:rPr>
        <w:t xml:space="preserve">Note: </w:t>
      </w:r>
      <w:r w:rsidR="00FD164D" w:rsidRPr="00B75E97">
        <w:rPr>
          <w:sz w:val="16"/>
          <w:szCs w:val="16"/>
        </w:rPr>
        <w:t>Readmissions are reported as a percentage of those who had the full amount of follow up time at each period of interest (30, 60, 90, and 180 days) and those were readmitted within said period of interest</w:t>
      </w:r>
      <w:r w:rsidR="00926F12">
        <w:rPr>
          <w:sz w:val="16"/>
          <w:szCs w:val="16"/>
        </w:rPr>
        <w:t xml:space="preserve">. Rates at each </w:t>
      </w:r>
      <w:proofErr w:type="gramStart"/>
      <w:r w:rsidR="00926F12">
        <w:rPr>
          <w:sz w:val="16"/>
          <w:szCs w:val="16"/>
        </w:rPr>
        <w:t>time period</w:t>
      </w:r>
      <w:proofErr w:type="gramEnd"/>
      <w:r w:rsidR="00926F12">
        <w:rPr>
          <w:sz w:val="16"/>
          <w:szCs w:val="16"/>
        </w:rPr>
        <w:t xml:space="preserve"> are cumulative.</w:t>
      </w:r>
    </w:p>
    <w:p w14:paraId="45B78294" w14:textId="77777777" w:rsidR="002A2237" w:rsidRPr="009E5DA2" w:rsidRDefault="002A2237" w:rsidP="002A2237">
      <w:pPr>
        <w:pStyle w:val="ListParagraph"/>
        <w:numPr>
          <w:ilvl w:val="0"/>
          <w:numId w:val="8"/>
        </w:numPr>
        <w:rPr>
          <w:sz w:val="16"/>
          <w:szCs w:val="16"/>
        </w:rPr>
      </w:pPr>
      <w:r w:rsidRPr="009E5DA2">
        <w:rPr>
          <w:sz w:val="16"/>
          <w:szCs w:val="16"/>
        </w:rPr>
        <w:t>Any healthcare facility included: </w:t>
      </w:r>
      <w:r>
        <w:rPr>
          <w:sz w:val="16"/>
          <w:szCs w:val="16"/>
        </w:rPr>
        <w:t xml:space="preserve">skilled nursing facilities, inpatient rehabilitation facilities, hospice, intermediate care facilities, long-term care hospitals, psychiatric inpatient unit, </w:t>
      </w:r>
      <w:r w:rsidRPr="009E5DA2">
        <w:rPr>
          <w:sz w:val="16"/>
          <w:szCs w:val="16"/>
        </w:rPr>
        <w:t>and other types of health care institutions</w:t>
      </w:r>
      <w:r>
        <w:rPr>
          <w:sz w:val="16"/>
          <w:szCs w:val="16"/>
        </w:rPr>
        <w:t>.</w:t>
      </w:r>
    </w:p>
    <w:p w14:paraId="24D82244" w14:textId="7B82A6E5" w:rsidR="00C7558C" w:rsidRPr="00B75E97" w:rsidRDefault="00C7558C" w:rsidP="00B75E97">
      <w:pPr>
        <w:rPr>
          <w:sz w:val="16"/>
          <w:szCs w:val="16"/>
        </w:rPr>
      </w:pPr>
      <w:r>
        <w:br w:type="page"/>
      </w:r>
    </w:p>
    <w:p w14:paraId="2EF74FC1" w14:textId="6AC6B3F3" w:rsidR="00241323" w:rsidRPr="00855B06" w:rsidRDefault="00825B10" w:rsidP="00825B10">
      <w:pPr>
        <w:rPr>
          <w:sz w:val="22"/>
          <w:szCs w:val="22"/>
        </w:rPr>
      </w:pPr>
      <w:r w:rsidRPr="00855B06">
        <w:rPr>
          <w:b/>
          <w:bCs/>
          <w:sz w:val="22"/>
          <w:szCs w:val="22"/>
        </w:rPr>
        <w:t>Supplemental Table S</w:t>
      </w:r>
      <w:r w:rsidR="00B03A3B">
        <w:rPr>
          <w:b/>
          <w:bCs/>
          <w:sz w:val="22"/>
          <w:szCs w:val="22"/>
        </w:rPr>
        <w:t>5</w:t>
      </w:r>
      <w:r w:rsidRPr="00855B06">
        <w:rPr>
          <w:b/>
          <w:bCs/>
          <w:sz w:val="22"/>
          <w:szCs w:val="22"/>
        </w:rPr>
        <w:t>:</w:t>
      </w:r>
      <w:r w:rsidRPr="00855B06">
        <w:rPr>
          <w:b/>
          <w:sz w:val="22"/>
          <w:szCs w:val="22"/>
        </w:rPr>
        <w:t xml:space="preserve"> </w:t>
      </w:r>
      <w:r w:rsidR="00241323" w:rsidRPr="00855B06">
        <w:rPr>
          <w:bCs/>
          <w:sz w:val="22"/>
          <w:szCs w:val="22"/>
        </w:rPr>
        <w:t xml:space="preserve">All-cause hospital readmissions by </w:t>
      </w:r>
      <w:r w:rsidR="00EF0829" w:rsidRPr="00855B06">
        <w:rPr>
          <w:bCs/>
          <w:sz w:val="22"/>
          <w:szCs w:val="22"/>
        </w:rPr>
        <w:t xml:space="preserve">COVID-19 </w:t>
      </w:r>
      <w:r w:rsidR="00C909DD" w:rsidRPr="00855B06">
        <w:rPr>
          <w:bCs/>
          <w:sz w:val="22"/>
          <w:szCs w:val="22"/>
        </w:rPr>
        <w:t xml:space="preserve">hospitalization </w:t>
      </w:r>
      <w:r w:rsidR="00EF0829" w:rsidRPr="00855B06">
        <w:rPr>
          <w:bCs/>
          <w:sz w:val="22"/>
          <w:szCs w:val="22"/>
        </w:rPr>
        <w:t xml:space="preserve">severity </w:t>
      </w:r>
      <w:r w:rsidR="007C1A0E" w:rsidRPr="00855B06">
        <w:rPr>
          <w:bCs/>
          <w:sz w:val="22"/>
          <w:szCs w:val="22"/>
        </w:rPr>
        <w:t>and age group</w:t>
      </w:r>
    </w:p>
    <w:tbl>
      <w:tblPr>
        <w:tblStyle w:val="TableGrid"/>
        <w:tblW w:w="5000" w:type="pct"/>
        <w:tblLayout w:type="fixed"/>
        <w:tblLook w:val="04A0" w:firstRow="1" w:lastRow="0" w:firstColumn="1" w:lastColumn="0" w:noHBand="0" w:noVBand="1"/>
      </w:tblPr>
      <w:tblGrid>
        <w:gridCol w:w="2022"/>
        <w:gridCol w:w="1163"/>
        <w:gridCol w:w="58"/>
        <w:gridCol w:w="1221"/>
        <w:gridCol w:w="1221"/>
        <w:gridCol w:w="1221"/>
        <w:gridCol w:w="1221"/>
        <w:gridCol w:w="1223"/>
      </w:tblGrid>
      <w:tr w:rsidR="00522C8E" w:rsidRPr="003D0DDB" w14:paraId="04D43EA6" w14:textId="23CEED0A" w:rsidTr="00522C8E">
        <w:trPr>
          <w:trHeight w:val="250"/>
        </w:trPr>
        <w:tc>
          <w:tcPr>
            <w:tcW w:w="1081" w:type="pct"/>
            <w:vMerge w:val="restart"/>
            <w:hideMark/>
          </w:tcPr>
          <w:p w14:paraId="3CBC0E21" w14:textId="77777777" w:rsidR="00522C8E" w:rsidRPr="003D0DDB" w:rsidRDefault="00522C8E">
            <w:pPr>
              <w:rPr>
                <w:b/>
                <w:bCs/>
                <w:sz w:val="18"/>
                <w:szCs w:val="18"/>
              </w:rPr>
            </w:pPr>
            <w:r w:rsidRPr="003D0DDB">
              <w:rPr>
                <w:b/>
                <w:bCs/>
                <w:sz w:val="18"/>
                <w:szCs w:val="18"/>
              </w:rPr>
              <w:t> </w:t>
            </w:r>
          </w:p>
        </w:tc>
        <w:tc>
          <w:tcPr>
            <w:tcW w:w="622" w:type="pct"/>
            <w:tcBorders>
              <w:right w:val="double" w:sz="4" w:space="0" w:color="auto"/>
            </w:tcBorders>
            <w:hideMark/>
          </w:tcPr>
          <w:p w14:paraId="1576CE6C" w14:textId="77777777" w:rsidR="00522C8E" w:rsidRPr="003D0DDB" w:rsidRDefault="00522C8E">
            <w:pPr>
              <w:rPr>
                <w:b/>
                <w:bCs/>
                <w:sz w:val="18"/>
                <w:szCs w:val="18"/>
              </w:rPr>
            </w:pPr>
            <w:r w:rsidRPr="003D0DDB">
              <w:rPr>
                <w:b/>
                <w:bCs/>
                <w:sz w:val="18"/>
                <w:szCs w:val="18"/>
              </w:rPr>
              <w:t> </w:t>
            </w:r>
          </w:p>
        </w:tc>
        <w:tc>
          <w:tcPr>
            <w:tcW w:w="1990" w:type="pct"/>
            <w:gridSpan w:val="4"/>
            <w:tcBorders>
              <w:left w:val="double" w:sz="4" w:space="0" w:color="auto"/>
            </w:tcBorders>
            <w:noWrap/>
            <w:hideMark/>
          </w:tcPr>
          <w:p w14:paraId="09D9D530" w14:textId="09370604" w:rsidR="00522C8E" w:rsidRPr="003D0DDB" w:rsidRDefault="00522C8E">
            <w:pPr>
              <w:jc w:val="center"/>
              <w:rPr>
                <w:b/>
                <w:bCs/>
                <w:sz w:val="18"/>
                <w:szCs w:val="18"/>
                <w:vertAlign w:val="superscript"/>
              </w:rPr>
            </w:pPr>
            <w:r w:rsidRPr="003D0DDB">
              <w:rPr>
                <w:b/>
                <w:bCs/>
                <w:sz w:val="18"/>
                <w:szCs w:val="18"/>
              </w:rPr>
              <w:t>COVID</w:t>
            </w:r>
            <w:r>
              <w:rPr>
                <w:b/>
                <w:bCs/>
                <w:sz w:val="18"/>
                <w:szCs w:val="18"/>
              </w:rPr>
              <w:t>-19</w:t>
            </w:r>
            <w:r w:rsidRPr="003D0DDB">
              <w:rPr>
                <w:b/>
                <w:bCs/>
                <w:sz w:val="18"/>
                <w:szCs w:val="18"/>
              </w:rPr>
              <w:t xml:space="preserve"> </w:t>
            </w:r>
            <w:r>
              <w:rPr>
                <w:b/>
                <w:bCs/>
                <w:sz w:val="18"/>
                <w:szCs w:val="18"/>
              </w:rPr>
              <w:t xml:space="preserve">Hospitalization </w:t>
            </w:r>
            <w:r w:rsidRPr="003D0DDB">
              <w:rPr>
                <w:b/>
                <w:bCs/>
                <w:sz w:val="18"/>
                <w:szCs w:val="18"/>
              </w:rPr>
              <w:t>Severity</w:t>
            </w:r>
          </w:p>
        </w:tc>
        <w:tc>
          <w:tcPr>
            <w:tcW w:w="1307" w:type="pct"/>
            <w:gridSpan w:val="2"/>
            <w:tcBorders>
              <w:left w:val="double" w:sz="4" w:space="0" w:color="auto"/>
            </w:tcBorders>
          </w:tcPr>
          <w:p w14:paraId="546867FB" w14:textId="17D4FD1C" w:rsidR="00522C8E" w:rsidRPr="003D0DDB" w:rsidRDefault="00522C8E">
            <w:pPr>
              <w:jc w:val="center"/>
              <w:rPr>
                <w:b/>
                <w:bCs/>
                <w:sz w:val="18"/>
                <w:szCs w:val="18"/>
              </w:rPr>
            </w:pPr>
            <w:r>
              <w:rPr>
                <w:b/>
                <w:bCs/>
                <w:sz w:val="18"/>
                <w:szCs w:val="18"/>
              </w:rPr>
              <w:t>Age Group</w:t>
            </w:r>
          </w:p>
        </w:tc>
      </w:tr>
      <w:tr w:rsidR="00522C8E" w:rsidRPr="003D0DDB" w14:paraId="45112D1D" w14:textId="4DA52393" w:rsidTr="00F87F9B">
        <w:trPr>
          <w:trHeight w:val="790"/>
        </w:trPr>
        <w:tc>
          <w:tcPr>
            <w:tcW w:w="1081" w:type="pct"/>
            <w:vMerge/>
            <w:hideMark/>
          </w:tcPr>
          <w:p w14:paraId="5D742039" w14:textId="77777777" w:rsidR="00522C8E" w:rsidRPr="003D0DDB" w:rsidRDefault="00522C8E" w:rsidP="00522C8E">
            <w:pPr>
              <w:rPr>
                <w:b/>
                <w:bCs/>
                <w:sz w:val="18"/>
                <w:szCs w:val="18"/>
              </w:rPr>
            </w:pPr>
          </w:p>
        </w:tc>
        <w:tc>
          <w:tcPr>
            <w:tcW w:w="653" w:type="pct"/>
            <w:gridSpan w:val="2"/>
            <w:tcBorders>
              <w:right w:val="double" w:sz="4" w:space="0" w:color="auto"/>
            </w:tcBorders>
            <w:hideMark/>
          </w:tcPr>
          <w:p w14:paraId="4B051435" w14:textId="77777777" w:rsidR="00522C8E" w:rsidRPr="003D0DDB" w:rsidRDefault="00522C8E" w:rsidP="00522C8E">
            <w:pPr>
              <w:rPr>
                <w:b/>
                <w:bCs/>
                <w:sz w:val="18"/>
                <w:szCs w:val="18"/>
              </w:rPr>
            </w:pPr>
            <w:r w:rsidRPr="003D0DDB">
              <w:rPr>
                <w:b/>
                <w:bCs/>
                <w:sz w:val="18"/>
                <w:szCs w:val="18"/>
              </w:rPr>
              <w:t>Overall</w:t>
            </w:r>
          </w:p>
        </w:tc>
        <w:tc>
          <w:tcPr>
            <w:tcW w:w="653" w:type="pct"/>
            <w:tcBorders>
              <w:left w:val="double" w:sz="4" w:space="0" w:color="auto"/>
            </w:tcBorders>
            <w:noWrap/>
            <w:hideMark/>
          </w:tcPr>
          <w:p w14:paraId="1CE50581" w14:textId="77777777" w:rsidR="00522C8E" w:rsidRPr="003D0DDB" w:rsidRDefault="00522C8E" w:rsidP="00522C8E">
            <w:pPr>
              <w:rPr>
                <w:b/>
                <w:bCs/>
                <w:sz w:val="18"/>
                <w:szCs w:val="18"/>
              </w:rPr>
            </w:pPr>
            <w:r w:rsidRPr="003D0DDB">
              <w:rPr>
                <w:b/>
                <w:bCs/>
                <w:sz w:val="18"/>
                <w:szCs w:val="18"/>
              </w:rPr>
              <w:t>General Ward</w:t>
            </w:r>
          </w:p>
        </w:tc>
        <w:tc>
          <w:tcPr>
            <w:tcW w:w="653" w:type="pct"/>
            <w:noWrap/>
            <w:hideMark/>
          </w:tcPr>
          <w:p w14:paraId="1910EDF2" w14:textId="77777777" w:rsidR="00522C8E" w:rsidRPr="003D0DDB" w:rsidRDefault="00522C8E" w:rsidP="00522C8E">
            <w:pPr>
              <w:rPr>
                <w:b/>
                <w:bCs/>
                <w:sz w:val="18"/>
                <w:szCs w:val="18"/>
              </w:rPr>
            </w:pPr>
            <w:r w:rsidRPr="003D0DDB">
              <w:rPr>
                <w:b/>
                <w:bCs/>
                <w:sz w:val="18"/>
                <w:szCs w:val="18"/>
              </w:rPr>
              <w:t>ICU without IMV</w:t>
            </w:r>
          </w:p>
        </w:tc>
        <w:tc>
          <w:tcPr>
            <w:tcW w:w="653" w:type="pct"/>
            <w:tcBorders>
              <w:right w:val="double" w:sz="4" w:space="0" w:color="auto"/>
            </w:tcBorders>
            <w:noWrap/>
            <w:hideMark/>
          </w:tcPr>
          <w:p w14:paraId="39852CB7" w14:textId="77777777" w:rsidR="00522C8E" w:rsidRPr="003D0DDB" w:rsidRDefault="00522C8E" w:rsidP="00522C8E">
            <w:pPr>
              <w:rPr>
                <w:b/>
                <w:bCs/>
                <w:sz w:val="18"/>
                <w:szCs w:val="18"/>
              </w:rPr>
            </w:pPr>
            <w:r w:rsidRPr="003D0DDB">
              <w:rPr>
                <w:b/>
                <w:bCs/>
                <w:sz w:val="18"/>
                <w:szCs w:val="18"/>
              </w:rPr>
              <w:t>IMV with or without ICU</w:t>
            </w:r>
          </w:p>
        </w:tc>
        <w:tc>
          <w:tcPr>
            <w:tcW w:w="653" w:type="pct"/>
            <w:tcBorders>
              <w:left w:val="double" w:sz="4" w:space="0" w:color="auto"/>
            </w:tcBorders>
          </w:tcPr>
          <w:p w14:paraId="66F60160" w14:textId="6EE728CB" w:rsidR="00522C8E" w:rsidRPr="003D0DDB" w:rsidRDefault="00522C8E" w:rsidP="00522C8E">
            <w:pPr>
              <w:rPr>
                <w:b/>
                <w:bCs/>
                <w:sz w:val="18"/>
                <w:szCs w:val="18"/>
              </w:rPr>
            </w:pPr>
            <w:r w:rsidRPr="00C934B7">
              <w:rPr>
                <w:b/>
                <w:bCs/>
                <w:sz w:val="18"/>
                <w:szCs w:val="18"/>
              </w:rPr>
              <w:t>Age 65-74</w:t>
            </w:r>
          </w:p>
        </w:tc>
        <w:tc>
          <w:tcPr>
            <w:tcW w:w="653" w:type="pct"/>
          </w:tcPr>
          <w:p w14:paraId="5352AAD3" w14:textId="3514F659" w:rsidR="00522C8E" w:rsidRPr="003D0DDB" w:rsidRDefault="00522C8E" w:rsidP="00522C8E">
            <w:pPr>
              <w:rPr>
                <w:b/>
                <w:bCs/>
                <w:sz w:val="18"/>
                <w:szCs w:val="18"/>
              </w:rPr>
            </w:pPr>
            <w:r w:rsidRPr="00C934B7">
              <w:rPr>
                <w:b/>
                <w:bCs/>
                <w:sz w:val="18"/>
                <w:szCs w:val="18"/>
              </w:rPr>
              <w:t>Age 75+</w:t>
            </w:r>
          </w:p>
        </w:tc>
      </w:tr>
      <w:tr w:rsidR="00522C8E" w:rsidRPr="003D0DDB" w14:paraId="1B55206F" w14:textId="12C2571A" w:rsidTr="00F87F9B">
        <w:trPr>
          <w:trHeight w:val="500"/>
        </w:trPr>
        <w:tc>
          <w:tcPr>
            <w:tcW w:w="1081" w:type="pct"/>
            <w:hideMark/>
          </w:tcPr>
          <w:p w14:paraId="3B547446" w14:textId="7AF8FF94" w:rsidR="00522C8E" w:rsidRPr="003D0DDB" w:rsidRDefault="00522C8E" w:rsidP="00522C8E">
            <w:pPr>
              <w:rPr>
                <w:b/>
                <w:bCs/>
                <w:sz w:val="18"/>
                <w:szCs w:val="18"/>
              </w:rPr>
            </w:pPr>
            <w:r w:rsidRPr="3E84F8E8">
              <w:rPr>
                <w:b/>
                <w:bCs/>
                <w:sz w:val="18"/>
                <w:szCs w:val="18"/>
              </w:rPr>
              <w:t>Patient Count</w:t>
            </w:r>
          </w:p>
          <w:p w14:paraId="3EFC9A0F" w14:textId="7C5944B1" w:rsidR="00522C8E" w:rsidRPr="003D0DDB" w:rsidRDefault="00522C8E" w:rsidP="00522C8E">
            <w:pPr>
              <w:rPr>
                <w:sz w:val="18"/>
                <w:szCs w:val="18"/>
              </w:rPr>
            </w:pPr>
            <w:r w:rsidRPr="3E84F8E8">
              <w:rPr>
                <w:sz w:val="18"/>
                <w:szCs w:val="18"/>
              </w:rPr>
              <w:t>N</w:t>
            </w:r>
            <w:r w:rsidRPr="1680A125">
              <w:rPr>
                <w:sz w:val="18"/>
                <w:szCs w:val="18"/>
              </w:rPr>
              <w:t xml:space="preserve"> </w:t>
            </w:r>
            <w:r w:rsidRPr="3E84F8E8">
              <w:rPr>
                <w:sz w:val="18"/>
                <w:szCs w:val="18"/>
              </w:rPr>
              <w:t>(%)</w:t>
            </w:r>
          </w:p>
        </w:tc>
        <w:tc>
          <w:tcPr>
            <w:tcW w:w="653" w:type="pct"/>
            <w:gridSpan w:val="2"/>
            <w:tcBorders>
              <w:right w:val="double" w:sz="4" w:space="0" w:color="auto"/>
            </w:tcBorders>
            <w:hideMark/>
          </w:tcPr>
          <w:p w14:paraId="7BAF1A32" w14:textId="77777777" w:rsidR="00522C8E" w:rsidRPr="00522C8E" w:rsidRDefault="00522C8E" w:rsidP="00522C8E">
            <w:pPr>
              <w:rPr>
                <w:b/>
                <w:bCs/>
                <w:sz w:val="18"/>
                <w:szCs w:val="18"/>
              </w:rPr>
            </w:pPr>
            <w:r w:rsidRPr="00522C8E">
              <w:rPr>
                <w:b/>
                <w:bCs/>
                <w:sz w:val="18"/>
                <w:szCs w:val="18"/>
              </w:rPr>
              <w:t>67358 (100.0%)</w:t>
            </w:r>
          </w:p>
        </w:tc>
        <w:tc>
          <w:tcPr>
            <w:tcW w:w="653" w:type="pct"/>
            <w:tcBorders>
              <w:left w:val="double" w:sz="4" w:space="0" w:color="auto"/>
            </w:tcBorders>
            <w:noWrap/>
            <w:hideMark/>
          </w:tcPr>
          <w:p w14:paraId="078CEDD3" w14:textId="77777777" w:rsidR="00522C8E" w:rsidRPr="00522C8E" w:rsidRDefault="00522C8E" w:rsidP="00522C8E">
            <w:pPr>
              <w:rPr>
                <w:b/>
                <w:bCs/>
                <w:sz w:val="18"/>
                <w:szCs w:val="18"/>
              </w:rPr>
            </w:pPr>
            <w:r w:rsidRPr="00522C8E">
              <w:rPr>
                <w:b/>
                <w:bCs/>
                <w:sz w:val="18"/>
                <w:szCs w:val="18"/>
              </w:rPr>
              <w:t>60972 (90.5%)</w:t>
            </w:r>
          </w:p>
        </w:tc>
        <w:tc>
          <w:tcPr>
            <w:tcW w:w="653" w:type="pct"/>
            <w:noWrap/>
            <w:hideMark/>
          </w:tcPr>
          <w:p w14:paraId="448C5C4B" w14:textId="77777777" w:rsidR="00522C8E" w:rsidRPr="00522C8E" w:rsidRDefault="00522C8E" w:rsidP="00522C8E">
            <w:pPr>
              <w:rPr>
                <w:b/>
                <w:bCs/>
                <w:sz w:val="18"/>
                <w:szCs w:val="18"/>
              </w:rPr>
            </w:pPr>
            <w:r w:rsidRPr="00522C8E">
              <w:rPr>
                <w:b/>
                <w:bCs/>
                <w:sz w:val="18"/>
                <w:szCs w:val="18"/>
              </w:rPr>
              <w:t>2965 (4.4%)</w:t>
            </w:r>
          </w:p>
        </w:tc>
        <w:tc>
          <w:tcPr>
            <w:tcW w:w="653" w:type="pct"/>
            <w:tcBorders>
              <w:right w:val="double" w:sz="4" w:space="0" w:color="auto"/>
            </w:tcBorders>
            <w:noWrap/>
            <w:hideMark/>
          </w:tcPr>
          <w:p w14:paraId="57BD7C44" w14:textId="77777777" w:rsidR="00522C8E" w:rsidRPr="00522C8E" w:rsidRDefault="00522C8E" w:rsidP="00522C8E">
            <w:pPr>
              <w:rPr>
                <w:b/>
                <w:bCs/>
                <w:sz w:val="18"/>
                <w:szCs w:val="18"/>
              </w:rPr>
            </w:pPr>
            <w:r w:rsidRPr="00522C8E">
              <w:rPr>
                <w:b/>
                <w:bCs/>
                <w:sz w:val="18"/>
                <w:szCs w:val="18"/>
              </w:rPr>
              <w:t>3421 (5.1%)</w:t>
            </w:r>
          </w:p>
        </w:tc>
        <w:tc>
          <w:tcPr>
            <w:tcW w:w="653" w:type="pct"/>
            <w:tcBorders>
              <w:left w:val="double" w:sz="4" w:space="0" w:color="auto"/>
            </w:tcBorders>
          </w:tcPr>
          <w:p w14:paraId="3042AF62" w14:textId="003B7EE4" w:rsidR="00522C8E" w:rsidRPr="003D0DDB" w:rsidRDefault="00522C8E" w:rsidP="00522C8E">
            <w:pPr>
              <w:rPr>
                <w:sz w:val="18"/>
                <w:szCs w:val="18"/>
              </w:rPr>
            </w:pPr>
            <w:r w:rsidRPr="00C52E40">
              <w:rPr>
                <w:b/>
                <w:bCs/>
                <w:sz w:val="18"/>
                <w:szCs w:val="18"/>
              </w:rPr>
              <w:t>16666 (24.7%)</w:t>
            </w:r>
          </w:p>
        </w:tc>
        <w:tc>
          <w:tcPr>
            <w:tcW w:w="653" w:type="pct"/>
          </w:tcPr>
          <w:p w14:paraId="44942ED3" w14:textId="057F9A0B" w:rsidR="00522C8E" w:rsidRPr="003D0DDB" w:rsidRDefault="00522C8E" w:rsidP="00522C8E">
            <w:pPr>
              <w:rPr>
                <w:sz w:val="18"/>
                <w:szCs w:val="18"/>
              </w:rPr>
            </w:pPr>
            <w:r w:rsidRPr="00C52E40">
              <w:rPr>
                <w:b/>
                <w:bCs/>
                <w:sz w:val="18"/>
                <w:szCs w:val="18"/>
              </w:rPr>
              <w:t>50692 (75.3%)</w:t>
            </w:r>
          </w:p>
        </w:tc>
      </w:tr>
      <w:tr w:rsidR="00522C8E" w:rsidRPr="003D0DDB" w14:paraId="024B7895" w14:textId="70E1516B" w:rsidTr="00522C8E">
        <w:trPr>
          <w:trHeight w:val="233"/>
        </w:trPr>
        <w:tc>
          <w:tcPr>
            <w:tcW w:w="5000" w:type="pct"/>
            <w:gridSpan w:val="8"/>
            <w:hideMark/>
          </w:tcPr>
          <w:p w14:paraId="0EFD7148" w14:textId="18A687C5" w:rsidR="00522C8E" w:rsidRPr="003D0DDB" w:rsidRDefault="00522C8E">
            <w:pPr>
              <w:rPr>
                <w:b/>
                <w:bCs/>
                <w:sz w:val="18"/>
                <w:szCs w:val="18"/>
              </w:rPr>
            </w:pPr>
            <w:r w:rsidRPr="003D0DDB">
              <w:rPr>
                <w:b/>
                <w:bCs/>
                <w:sz w:val="18"/>
                <w:szCs w:val="18"/>
              </w:rPr>
              <w:t>Patients readmitted within 30 days or had at least 30 days follow-u</w:t>
            </w:r>
            <w:r>
              <w:rPr>
                <w:b/>
                <w:bCs/>
                <w:sz w:val="18"/>
                <w:szCs w:val="18"/>
              </w:rPr>
              <w:t>p</w:t>
            </w:r>
          </w:p>
        </w:tc>
      </w:tr>
      <w:tr w:rsidR="00522C8E" w:rsidRPr="002B2478" w14:paraId="1950E57C" w14:textId="763ABEE2" w:rsidTr="00F87F9B">
        <w:trPr>
          <w:trHeight w:val="500"/>
        </w:trPr>
        <w:tc>
          <w:tcPr>
            <w:tcW w:w="1081" w:type="pct"/>
            <w:hideMark/>
          </w:tcPr>
          <w:p w14:paraId="245D9F15" w14:textId="77777777" w:rsidR="00522C8E" w:rsidRPr="002B2478" w:rsidRDefault="00522C8E" w:rsidP="00522C8E">
            <w:pPr>
              <w:rPr>
                <w:sz w:val="18"/>
                <w:szCs w:val="18"/>
              </w:rPr>
            </w:pPr>
            <w:r w:rsidRPr="002B2478">
              <w:rPr>
                <w:sz w:val="18"/>
                <w:szCs w:val="18"/>
              </w:rPr>
              <w:t>Was not readmitted within 30 days follow-up</w:t>
            </w:r>
          </w:p>
        </w:tc>
        <w:tc>
          <w:tcPr>
            <w:tcW w:w="653" w:type="pct"/>
            <w:gridSpan w:val="2"/>
            <w:tcBorders>
              <w:right w:val="double" w:sz="4" w:space="0" w:color="auto"/>
            </w:tcBorders>
            <w:hideMark/>
          </w:tcPr>
          <w:p w14:paraId="36ACAFE4" w14:textId="1BEB7E54" w:rsidR="00522C8E" w:rsidRPr="002B2478" w:rsidRDefault="00522C8E" w:rsidP="00522C8E">
            <w:pPr>
              <w:rPr>
                <w:sz w:val="18"/>
                <w:szCs w:val="18"/>
              </w:rPr>
            </w:pPr>
            <w:r w:rsidRPr="002B2478">
              <w:rPr>
                <w:sz w:val="18"/>
                <w:szCs w:val="18"/>
              </w:rPr>
              <w:t>53195(82.4%)</w:t>
            </w:r>
          </w:p>
        </w:tc>
        <w:tc>
          <w:tcPr>
            <w:tcW w:w="653" w:type="pct"/>
            <w:tcBorders>
              <w:left w:val="double" w:sz="4" w:space="0" w:color="auto"/>
            </w:tcBorders>
            <w:noWrap/>
            <w:hideMark/>
          </w:tcPr>
          <w:p w14:paraId="19E47E58" w14:textId="4437F5D3" w:rsidR="00522C8E" w:rsidRPr="002B2478" w:rsidRDefault="00522C8E" w:rsidP="00522C8E">
            <w:pPr>
              <w:rPr>
                <w:sz w:val="18"/>
                <w:szCs w:val="18"/>
              </w:rPr>
            </w:pPr>
            <w:r w:rsidRPr="002B2478">
              <w:rPr>
                <w:sz w:val="18"/>
                <w:szCs w:val="18"/>
              </w:rPr>
              <w:t>48838 (83.2%)</w:t>
            </w:r>
          </w:p>
        </w:tc>
        <w:tc>
          <w:tcPr>
            <w:tcW w:w="653" w:type="pct"/>
            <w:noWrap/>
            <w:hideMark/>
          </w:tcPr>
          <w:p w14:paraId="374F5BBF" w14:textId="402A1E29" w:rsidR="00522C8E" w:rsidRPr="002B2478" w:rsidRDefault="00522C8E" w:rsidP="00522C8E">
            <w:pPr>
              <w:rPr>
                <w:sz w:val="18"/>
                <w:szCs w:val="18"/>
              </w:rPr>
            </w:pPr>
            <w:r w:rsidRPr="002B2478">
              <w:rPr>
                <w:color w:val="000000" w:themeColor="text1"/>
                <w:sz w:val="18"/>
                <w:szCs w:val="18"/>
              </w:rPr>
              <w:t>2108 (77.3%)</w:t>
            </w:r>
          </w:p>
        </w:tc>
        <w:tc>
          <w:tcPr>
            <w:tcW w:w="653" w:type="pct"/>
            <w:tcBorders>
              <w:right w:val="double" w:sz="4" w:space="0" w:color="auto"/>
            </w:tcBorders>
            <w:noWrap/>
            <w:hideMark/>
          </w:tcPr>
          <w:p w14:paraId="2FCD580F" w14:textId="7ADE7BF8" w:rsidR="00522C8E" w:rsidRPr="002B2478" w:rsidRDefault="00522C8E" w:rsidP="00522C8E">
            <w:pPr>
              <w:rPr>
                <w:sz w:val="18"/>
                <w:szCs w:val="18"/>
              </w:rPr>
            </w:pPr>
            <w:r w:rsidRPr="002B2478">
              <w:rPr>
                <w:color w:val="000000" w:themeColor="text1"/>
                <w:sz w:val="18"/>
                <w:szCs w:val="18"/>
              </w:rPr>
              <w:t>2249 (73.2%)</w:t>
            </w:r>
          </w:p>
        </w:tc>
        <w:tc>
          <w:tcPr>
            <w:tcW w:w="653" w:type="pct"/>
            <w:tcBorders>
              <w:left w:val="double" w:sz="4" w:space="0" w:color="auto"/>
            </w:tcBorders>
          </w:tcPr>
          <w:p w14:paraId="79975A54" w14:textId="6D41421A" w:rsidR="00522C8E" w:rsidRPr="002B2478" w:rsidRDefault="00522C8E" w:rsidP="00522C8E">
            <w:pPr>
              <w:rPr>
                <w:color w:val="000000" w:themeColor="text1"/>
                <w:sz w:val="18"/>
                <w:szCs w:val="18"/>
              </w:rPr>
            </w:pPr>
            <w:r w:rsidRPr="00C934B7">
              <w:rPr>
                <w:color w:val="000000"/>
                <w:sz w:val="18"/>
                <w:szCs w:val="18"/>
              </w:rPr>
              <w:t>13339 (81.8%)</w:t>
            </w:r>
          </w:p>
        </w:tc>
        <w:tc>
          <w:tcPr>
            <w:tcW w:w="653" w:type="pct"/>
          </w:tcPr>
          <w:p w14:paraId="46B9D1CC" w14:textId="7B91C9FD" w:rsidR="00522C8E" w:rsidRPr="002B2478" w:rsidRDefault="00522C8E" w:rsidP="00522C8E">
            <w:pPr>
              <w:rPr>
                <w:color w:val="000000" w:themeColor="text1"/>
                <w:sz w:val="18"/>
                <w:szCs w:val="18"/>
              </w:rPr>
            </w:pPr>
            <w:r w:rsidRPr="00C934B7">
              <w:rPr>
                <w:color w:val="000000"/>
                <w:sz w:val="18"/>
                <w:szCs w:val="18"/>
              </w:rPr>
              <w:t>39856 (82.6%)</w:t>
            </w:r>
          </w:p>
        </w:tc>
      </w:tr>
      <w:tr w:rsidR="00522C8E" w:rsidRPr="002B2478" w14:paraId="0743C107" w14:textId="17D43F0B" w:rsidTr="00F87F9B">
        <w:trPr>
          <w:trHeight w:val="500"/>
        </w:trPr>
        <w:tc>
          <w:tcPr>
            <w:tcW w:w="1081" w:type="pct"/>
            <w:hideMark/>
          </w:tcPr>
          <w:p w14:paraId="4F807374" w14:textId="77777777" w:rsidR="00522C8E" w:rsidRPr="002B2478" w:rsidRDefault="00522C8E" w:rsidP="00522C8E">
            <w:pPr>
              <w:rPr>
                <w:sz w:val="18"/>
                <w:szCs w:val="18"/>
              </w:rPr>
            </w:pPr>
            <w:r w:rsidRPr="002B2478">
              <w:rPr>
                <w:sz w:val="18"/>
                <w:szCs w:val="18"/>
              </w:rPr>
              <w:t>Readmitted between discharge and 30 days follow-up</w:t>
            </w:r>
          </w:p>
        </w:tc>
        <w:tc>
          <w:tcPr>
            <w:tcW w:w="653" w:type="pct"/>
            <w:gridSpan w:val="2"/>
            <w:tcBorders>
              <w:right w:val="double" w:sz="4" w:space="0" w:color="auto"/>
            </w:tcBorders>
            <w:hideMark/>
          </w:tcPr>
          <w:p w14:paraId="0DDA05D5" w14:textId="032DBB3B" w:rsidR="00522C8E" w:rsidRPr="002B2478" w:rsidRDefault="00522C8E" w:rsidP="00522C8E">
            <w:pPr>
              <w:rPr>
                <w:sz w:val="18"/>
                <w:szCs w:val="18"/>
              </w:rPr>
            </w:pPr>
            <w:r w:rsidRPr="002B2478">
              <w:rPr>
                <w:sz w:val="18"/>
                <w:szCs w:val="18"/>
              </w:rPr>
              <w:t>11336 (17.6%)</w:t>
            </w:r>
          </w:p>
        </w:tc>
        <w:tc>
          <w:tcPr>
            <w:tcW w:w="653" w:type="pct"/>
            <w:tcBorders>
              <w:left w:val="double" w:sz="4" w:space="0" w:color="auto"/>
            </w:tcBorders>
            <w:noWrap/>
            <w:hideMark/>
          </w:tcPr>
          <w:p w14:paraId="001E63F2" w14:textId="505D389F" w:rsidR="00522C8E" w:rsidRPr="002B2478" w:rsidRDefault="00522C8E" w:rsidP="00522C8E">
            <w:pPr>
              <w:rPr>
                <w:sz w:val="18"/>
                <w:szCs w:val="18"/>
              </w:rPr>
            </w:pPr>
            <w:r w:rsidRPr="002B2478">
              <w:rPr>
                <w:sz w:val="18"/>
                <w:szCs w:val="18"/>
              </w:rPr>
              <w:t>9894 (16.8%)</w:t>
            </w:r>
          </w:p>
        </w:tc>
        <w:tc>
          <w:tcPr>
            <w:tcW w:w="653" w:type="pct"/>
            <w:noWrap/>
            <w:hideMark/>
          </w:tcPr>
          <w:p w14:paraId="36AA3B1E" w14:textId="1BA4ECDF" w:rsidR="00522C8E" w:rsidRPr="002B2478" w:rsidRDefault="00522C8E" w:rsidP="00522C8E">
            <w:pPr>
              <w:rPr>
                <w:sz w:val="18"/>
                <w:szCs w:val="18"/>
              </w:rPr>
            </w:pPr>
            <w:r w:rsidRPr="002B2478">
              <w:rPr>
                <w:color w:val="000000" w:themeColor="text1"/>
                <w:sz w:val="18"/>
                <w:szCs w:val="18"/>
              </w:rPr>
              <w:t>618 (22.7%)</w:t>
            </w:r>
          </w:p>
        </w:tc>
        <w:tc>
          <w:tcPr>
            <w:tcW w:w="653" w:type="pct"/>
            <w:tcBorders>
              <w:right w:val="double" w:sz="4" w:space="0" w:color="auto"/>
            </w:tcBorders>
            <w:noWrap/>
            <w:hideMark/>
          </w:tcPr>
          <w:p w14:paraId="574D549D" w14:textId="697BD36D" w:rsidR="00522C8E" w:rsidRPr="002B2478" w:rsidRDefault="00522C8E" w:rsidP="00522C8E">
            <w:pPr>
              <w:rPr>
                <w:sz w:val="18"/>
                <w:szCs w:val="18"/>
              </w:rPr>
            </w:pPr>
            <w:r w:rsidRPr="002B2478">
              <w:rPr>
                <w:color w:val="000000" w:themeColor="text1"/>
                <w:sz w:val="18"/>
                <w:szCs w:val="18"/>
              </w:rPr>
              <w:t>824 (26.8%)</w:t>
            </w:r>
          </w:p>
        </w:tc>
        <w:tc>
          <w:tcPr>
            <w:tcW w:w="653" w:type="pct"/>
            <w:tcBorders>
              <w:left w:val="double" w:sz="4" w:space="0" w:color="auto"/>
            </w:tcBorders>
          </w:tcPr>
          <w:p w14:paraId="20BC0EEB" w14:textId="22FEFA81" w:rsidR="00522C8E" w:rsidRPr="002B2478" w:rsidRDefault="00522C8E" w:rsidP="00522C8E">
            <w:pPr>
              <w:rPr>
                <w:color w:val="000000" w:themeColor="text1"/>
                <w:sz w:val="18"/>
                <w:szCs w:val="18"/>
              </w:rPr>
            </w:pPr>
            <w:r w:rsidRPr="00C934B7">
              <w:rPr>
                <w:color w:val="000000"/>
                <w:sz w:val="18"/>
                <w:szCs w:val="18"/>
              </w:rPr>
              <w:t>2963 (18.2%)</w:t>
            </w:r>
          </w:p>
        </w:tc>
        <w:tc>
          <w:tcPr>
            <w:tcW w:w="653" w:type="pct"/>
          </w:tcPr>
          <w:p w14:paraId="4483483C" w14:textId="2ADCE9A0" w:rsidR="00522C8E" w:rsidRPr="002B2478" w:rsidRDefault="00522C8E" w:rsidP="00522C8E">
            <w:pPr>
              <w:rPr>
                <w:color w:val="000000" w:themeColor="text1"/>
                <w:sz w:val="18"/>
                <w:szCs w:val="18"/>
              </w:rPr>
            </w:pPr>
            <w:r w:rsidRPr="00C934B7">
              <w:rPr>
                <w:color w:val="000000"/>
                <w:sz w:val="18"/>
                <w:szCs w:val="18"/>
              </w:rPr>
              <w:t>8373 (17.4%)</w:t>
            </w:r>
          </w:p>
        </w:tc>
      </w:tr>
      <w:tr w:rsidR="00522C8E" w:rsidRPr="002B2478" w14:paraId="32D433A3" w14:textId="3D8421F3" w:rsidTr="00522C8E">
        <w:trPr>
          <w:trHeight w:val="233"/>
        </w:trPr>
        <w:tc>
          <w:tcPr>
            <w:tcW w:w="5000" w:type="pct"/>
            <w:gridSpan w:val="8"/>
            <w:hideMark/>
          </w:tcPr>
          <w:p w14:paraId="11173129" w14:textId="0ED5489F" w:rsidR="00522C8E" w:rsidRPr="002B2478" w:rsidRDefault="00522C8E">
            <w:pPr>
              <w:rPr>
                <w:b/>
                <w:bCs/>
                <w:sz w:val="18"/>
                <w:szCs w:val="18"/>
              </w:rPr>
            </w:pPr>
            <w:r w:rsidRPr="002B2478">
              <w:rPr>
                <w:b/>
                <w:bCs/>
                <w:sz w:val="18"/>
                <w:szCs w:val="18"/>
              </w:rPr>
              <w:t>Patients readmitted within 60 days or had at least 60 days follow-up</w:t>
            </w:r>
          </w:p>
        </w:tc>
      </w:tr>
      <w:tr w:rsidR="00522C8E" w:rsidRPr="002B2478" w14:paraId="7F85A6BD" w14:textId="2BBC3600" w:rsidTr="00F87F9B">
        <w:trPr>
          <w:trHeight w:val="500"/>
        </w:trPr>
        <w:tc>
          <w:tcPr>
            <w:tcW w:w="1081" w:type="pct"/>
            <w:hideMark/>
          </w:tcPr>
          <w:p w14:paraId="11CDB302" w14:textId="77777777" w:rsidR="00522C8E" w:rsidRPr="002B2478" w:rsidRDefault="00522C8E" w:rsidP="00522C8E">
            <w:pPr>
              <w:rPr>
                <w:sz w:val="18"/>
                <w:szCs w:val="18"/>
              </w:rPr>
            </w:pPr>
            <w:r w:rsidRPr="002B2478">
              <w:rPr>
                <w:sz w:val="18"/>
                <w:szCs w:val="18"/>
              </w:rPr>
              <w:t>Was not readmitted within 60 days follow-up</w:t>
            </w:r>
          </w:p>
        </w:tc>
        <w:tc>
          <w:tcPr>
            <w:tcW w:w="653" w:type="pct"/>
            <w:gridSpan w:val="2"/>
            <w:tcBorders>
              <w:right w:val="double" w:sz="4" w:space="0" w:color="auto"/>
            </w:tcBorders>
            <w:hideMark/>
          </w:tcPr>
          <w:p w14:paraId="1B590F72" w14:textId="3142E4C0" w:rsidR="00522C8E" w:rsidRPr="002B2478" w:rsidRDefault="00522C8E" w:rsidP="00522C8E">
            <w:pPr>
              <w:rPr>
                <w:color w:val="000000" w:themeColor="text1"/>
                <w:sz w:val="18"/>
                <w:szCs w:val="18"/>
              </w:rPr>
            </w:pPr>
            <w:r w:rsidRPr="002B2478">
              <w:rPr>
                <w:color w:val="000000" w:themeColor="text1"/>
                <w:sz w:val="18"/>
                <w:szCs w:val="18"/>
              </w:rPr>
              <w:t>47555 (74.6%)</w:t>
            </w:r>
          </w:p>
        </w:tc>
        <w:tc>
          <w:tcPr>
            <w:tcW w:w="653" w:type="pct"/>
            <w:tcBorders>
              <w:left w:val="double" w:sz="4" w:space="0" w:color="auto"/>
            </w:tcBorders>
            <w:noWrap/>
            <w:hideMark/>
          </w:tcPr>
          <w:p w14:paraId="42B25956" w14:textId="55EA2851" w:rsidR="00522C8E" w:rsidRPr="002B2478" w:rsidRDefault="00522C8E" w:rsidP="00522C8E">
            <w:pPr>
              <w:rPr>
                <w:sz w:val="18"/>
                <w:szCs w:val="18"/>
              </w:rPr>
            </w:pPr>
            <w:r w:rsidRPr="002B2478">
              <w:rPr>
                <w:color w:val="000000" w:themeColor="text1"/>
                <w:sz w:val="18"/>
                <w:szCs w:val="18"/>
              </w:rPr>
              <w:t>43859 (75.6%)</w:t>
            </w:r>
          </w:p>
        </w:tc>
        <w:tc>
          <w:tcPr>
            <w:tcW w:w="653" w:type="pct"/>
            <w:noWrap/>
            <w:hideMark/>
          </w:tcPr>
          <w:p w14:paraId="6C2E0F8B" w14:textId="5FF66918" w:rsidR="00522C8E" w:rsidRPr="002B2478" w:rsidRDefault="00522C8E" w:rsidP="00522C8E">
            <w:pPr>
              <w:rPr>
                <w:sz w:val="18"/>
                <w:szCs w:val="18"/>
              </w:rPr>
            </w:pPr>
            <w:r w:rsidRPr="002B2478">
              <w:rPr>
                <w:color w:val="000000" w:themeColor="text1"/>
                <w:sz w:val="18"/>
                <w:szCs w:val="18"/>
              </w:rPr>
              <w:t>1867 (69.7%)</w:t>
            </w:r>
          </w:p>
        </w:tc>
        <w:tc>
          <w:tcPr>
            <w:tcW w:w="653" w:type="pct"/>
            <w:tcBorders>
              <w:right w:val="double" w:sz="4" w:space="0" w:color="auto"/>
            </w:tcBorders>
            <w:noWrap/>
            <w:hideMark/>
          </w:tcPr>
          <w:p w14:paraId="764A1BCF" w14:textId="76045D96" w:rsidR="00522C8E" w:rsidRPr="002B2478" w:rsidRDefault="00522C8E" w:rsidP="00522C8E">
            <w:pPr>
              <w:rPr>
                <w:sz w:val="18"/>
                <w:szCs w:val="18"/>
              </w:rPr>
            </w:pPr>
            <w:r w:rsidRPr="002B2478">
              <w:rPr>
                <w:color w:val="000000" w:themeColor="text1"/>
                <w:sz w:val="18"/>
                <w:szCs w:val="18"/>
              </w:rPr>
              <w:t>1829 (60.6%)</w:t>
            </w:r>
          </w:p>
        </w:tc>
        <w:tc>
          <w:tcPr>
            <w:tcW w:w="653" w:type="pct"/>
            <w:tcBorders>
              <w:left w:val="double" w:sz="4" w:space="0" w:color="auto"/>
            </w:tcBorders>
          </w:tcPr>
          <w:p w14:paraId="2E343858" w14:textId="4699342C" w:rsidR="00522C8E" w:rsidRPr="002B2478" w:rsidRDefault="00522C8E" w:rsidP="00522C8E">
            <w:pPr>
              <w:rPr>
                <w:color w:val="000000" w:themeColor="text1"/>
                <w:sz w:val="18"/>
                <w:szCs w:val="18"/>
              </w:rPr>
            </w:pPr>
            <w:r w:rsidRPr="00C934B7">
              <w:rPr>
                <w:color w:val="000000"/>
                <w:sz w:val="18"/>
                <w:szCs w:val="18"/>
              </w:rPr>
              <w:t>12009 (74.1%)</w:t>
            </w:r>
          </w:p>
        </w:tc>
        <w:tc>
          <w:tcPr>
            <w:tcW w:w="653" w:type="pct"/>
          </w:tcPr>
          <w:p w14:paraId="6E705897" w14:textId="7E7344BC" w:rsidR="00522C8E" w:rsidRPr="002B2478" w:rsidRDefault="00522C8E" w:rsidP="00522C8E">
            <w:pPr>
              <w:rPr>
                <w:color w:val="000000" w:themeColor="text1"/>
                <w:sz w:val="18"/>
                <w:szCs w:val="18"/>
              </w:rPr>
            </w:pPr>
            <w:r w:rsidRPr="00C934B7">
              <w:rPr>
                <w:color w:val="000000"/>
                <w:sz w:val="18"/>
                <w:szCs w:val="18"/>
              </w:rPr>
              <w:t>35546 (74.8%)</w:t>
            </w:r>
          </w:p>
        </w:tc>
      </w:tr>
      <w:tr w:rsidR="00522C8E" w:rsidRPr="002B2478" w14:paraId="60EDD9D7" w14:textId="56E8C61E" w:rsidTr="00F87F9B">
        <w:trPr>
          <w:trHeight w:val="500"/>
        </w:trPr>
        <w:tc>
          <w:tcPr>
            <w:tcW w:w="1081" w:type="pct"/>
            <w:hideMark/>
          </w:tcPr>
          <w:p w14:paraId="455A8FDB" w14:textId="77777777" w:rsidR="00522C8E" w:rsidRPr="002B2478" w:rsidRDefault="00522C8E" w:rsidP="00522C8E">
            <w:pPr>
              <w:rPr>
                <w:sz w:val="18"/>
                <w:szCs w:val="18"/>
              </w:rPr>
            </w:pPr>
            <w:r w:rsidRPr="002B2478">
              <w:rPr>
                <w:sz w:val="18"/>
                <w:szCs w:val="18"/>
              </w:rPr>
              <w:t>Readmitted between discharge and 60 days follow-up</w:t>
            </w:r>
          </w:p>
        </w:tc>
        <w:tc>
          <w:tcPr>
            <w:tcW w:w="653" w:type="pct"/>
            <w:gridSpan w:val="2"/>
            <w:tcBorders>
              <w:right w:val="double" w:sz="4" w:space="0" w:color="auto"/>
            </w:tcBorders>
            <w:hideMark/>
          </w:tcPr>
          <w:p w14:paraId="3E4D8D50" w14:textId="6D4AFEA3" w:rsidR="00522C8E" w:rsidRPr="002B2478" w:rsidRDefault="00522C8E" w:rsidP="00522C8E">
            <w:pPr>
              <w:rPr>
                <w:sz w:val="18"/>
                <w:szCs w:val="18"/>
              </w:rPr>
            </w:pPr>
            <w:r w:rsidRPr="002B2478">
              <w:rPr>
                <w:color w:val="000000" w:themeColor="text1"/>
                <w:sz w:val="18"/>
                <w:szCs w:val="18"/>
              </w:rPr>
              <w:t>16184 (25.4%)</w:t>
            </w:r>
          </w:p>
        </w:tc>
        <w:tc>
          <w:tcPr>
            <w:tcW w:w="653" w:type="pct"/>
            <w:tcBorders>
              <w:left w:val="double" w:sz="4" w:space="0" w:color="auto"/>
            </w:tcBorders>
            <w:noWrap/>
            <w:hideMark/>
          </w:tcPr>
          <w:p w14:paraId="40331E37" w14:textId="664BB390" w:rsidR="00522C8E" w:rsidRPr="002B2478" w:rsidRDefault="00522C8E" w:rsidP="00522C8E">
            <w:pPr>
              <w:rPr>
                <w:sz w:val="18"/>
                <w:szCs w:val="18"/>
              </w:rPr>
            </w:pPr>
            <w:r w:rsidRPr="002B2478">
              <w:rPr>
                <w:color w:val="000000" w:themeColor="text1"/>
                <w:sz w:val="18"/>
                <w:szCs w:val="18"/>
              </w:rPr>
              <w:t>14187 (24.4%)</w:t>
            </w:r>
          </w:p>
        </w:tc>
        <w:tc>
          <w:tcPr>
            <w:tcW w:w="653" w:type="pct"/>
            <w:noWrap/>
            <w:hideMark/>
          </w:tcPr>
          <w:p w14:paraId="0B172281" w14:textId="00326A84" w:rsidR="00522C8E" w:rsidRPr="002B2478" w:rsidRDefault="00522C8E" w:rsidP="00522C8E">
            <w:pPr>
              <w:rPr>
                <w:sz w:val="18"/>
                <w:szCs w:val="18"/>
              </w:rPr>
            </w:pPr>
            <w:r w:rsidRPr="002B2478">
              <w:rPr>
                <w:color w:val="000000" w:themeColor="text1"/>
                <w:sz w:val="18"/>
                <w:szCs w:val="18"/>
              </w:rPr>
              <w:t>810 (30.3%)</w:t>
            </w:r>
          </w:p>
        </w:tc>
        <w:tc>
          <w:tcPr>
            <w:tcW w:w="653" w:type="pct"/>
            <w:tcBorders>
              <w:right w:val="double" w:sz="4" w:space="0" w:color="auto"/>
            </w:tcBorders>
            <w:noWrap/>
            <w:hideMark/>
          </w:tcPr>
          <w:p w14:paraId="045B052A" w14:textId="7ECFC5C2" w:rsidR="00522C8E" w:rsidRPr="002B2478" w:rsidRDefault="00522C8E" w:rsidP="00522C8E">
            <w:pPr>
              <w:rPr>
                <w:sz w:val="18"/>
                <w:szCs w:val="18"/>
              </w:rPr>
            </w:pPr>
            <w:r w:rsidRPr="002B2478">
              <w:rPr>
                <w:color w:val="000000" w:themeColor="text1"/>
                <w:sz w:val="18"/>
                <w:szCs w:val="18"/>
              </w:rPr>
              <w:t>1187 (39.4%)</w:t>
            </w:r>
          </w:p>
        </w:tc>
        <w:tc>
          <w:tcPr>
            <w:tcW w:w="653" w:type="pct"/>
            <w:tcBorders>
              <w:left w:val="double" w:sz="4" w:space="0" w:color="auto"/>
            </w:tcBorders>
          </w:tcPr>
          <w:p w14:paraId="27216C00" w14:textId="2720EED0" w:rsidR="00522C8E" w:rsidRPr="002B2478" w:rsidRDefault="00522C8E" w:rsidP="00522C8E">
            <w:pPr>
              <w:rPr>
                <w:color w:val="000000" w:themeColor="text1"/>
                <w:sz w:val="18"/>
                <w:szCs w:val="18"/>
              </w:rPr>
            </w:pPr>
            <w:r w:rsidRPr="00C934B7">
              <w:rPr>
                <w:color w:val="000000"/>
                <w:sz w:val="18"/>
                <w:szCs w:val="18"/>
              </w:rPr>
              <w:t>4191 (25.9%)</w:t>
            </w:r>
          </w:p>
        </w:tc>
        <w:tc>
          <w:tcPr>
            <w:tcW w:w="653" w:type="pct"/>
          </w:tcPr>
          <w:p w14:paraId="3B053F3F" w14:textId="3576679F" w:rsidR="00522C8E" w:rsidRPr="002B2478" w:rsidRDefault="00522C8E" w:rsidP="00522C8E">
            <w:pPr>
              <w:rPr>
                <w:color w:val="000000" w:themeColor="text1"/>
                <w:sz w:val="18"/>
                <w:szCs w:val="18"/>
              </w:rPr>
            </w:pPr>
            <w:r w:rsidRPr="00C934B7">
              <w:rPr>
                <w:color w:val="000000"/>
                <w:sz w:val="18"/>
                <w:szCs w:val="18"/>
              </w:rPr>
              <w:t>11993 (25.2%)</w:t>
            </w:r>
          </w:p>
        </w:tc>
      </w:tr>
      <w:tr w:rsidR="00522C8E" w:rsidRPr="002B2478" w14:paraId="469D3CFD" w14:textId="7C82F103" w:rsidTr="00522C8E">
        <w:trPr>
          <w:trHeight w:val="224"/>
        </w:trPr>
        <w:tc>
          <w:tcPr>
            <w:tcW w:w="5000" w:type="pct"/>
            <w:gridSpan w:val="8"/>
            <w:hideMark/>
          </w:tcPr>
          <w:p w14:paraId="4664F919" w14:textId="37A74D0F" w:rsidR="00522C8E" w:rsidRPr="002B2478" w:rsidRDefault="00522C8E" w:rsidP="002502F7">
            <w:pPr>
              <w:rPr>
                <w:b/>
                <w:bCs/>
                <w:sz w:val="18"/>
                <w:szCs w:val="18"/>
              </w:rPr>
            </w:pPr>
            <w:r w:rsidRPr="002B2478">
              <w:rPr>
                <w:b/>
                <w:bCs/>
                <w:sz w:val="18"/>
                <w:szCs w:val="18"/>
              </w:rPr>
              <w:t>Patients readmitted within 90 days or had at least 90 days follow-up</w:t>
            </w:r>
          </w:p>
        </w:tc>
      </w:tr>
      <w:tr w:rsidR="00522C8E" w:rsidRPr="002B2478" w14:paraId="41F94056" w14:textId="11DA2B7E" w:rsidTr="00F87F9B">
        <w:trPr>
          <w:trHeight w:val="500"/>
        </w:trPr>
        <w:tc>
          <w:tcPr>
            <w:tcW w:w="1081" w:type="pct"/>
            <w:hideMark/>
          </w:tcPr>
          <w:p w14:paraId="1939A34F" w14:textId="77777777" w:rsidR="00522C8E" w:rsidRPr="002B2478" w:rsidRDefault="00522C8E" w:rsidP="00522C8E">
            <w:pPr>
              <w:rPr>
                <w:sz w:val="18"/>
                <w:szCs w:val="18"/>
              </w:rPr>
            </w:pPr>
            <w:r w:rsidRPr="002B2478">
              <w:rPr>
                <w:sz w:val="18"/>
                <w:szCs w:val="18"/>
              </w:rPr>
              <w:t>Was not readmitted within 90 days follow-up</w:t>
            </w:r>
          </w:p>
        </w:tc>
        <w:tc>
          <w:tcPr>
            <w:tcW w:w="653" w:type="pct"/>
            <w:gridSpan w:val="2"/>
            <w:tcBorders>
              <w:right w:val="double" w:sz="4" w:space="0" w:color="auto"/>
            </w:tcBorders>
            <w:hideMark/>
          </w:tcPr>
          <w:p w14:paraId="533AC8AB" w14:textId="48D7FD9B" w:rsidR="00522C8E" w:rsidRPr="002B2478" w:rsidRDefault="00522C8E" w:rsidP="00522C8E">
            <w:pPr>
              <w:rPr>
                <w:color w:val="000000" w:themeColor="text1"/>
                <w:sz w:val="18"/>
                <w:szCs w:val="18"/>
              </w:rPr>
            </w:pPr>
            <w:r w:rsidRPr="002B2478">
              <w:rPr>
                <w:color w:val="000000" w:themeColor="text1"/>
                <w:sz w:val="18"/>
                <w:szCs w:val="18"/>
              </w:rPr>
              <w:t>43571 (68.9%)</w:t>
            </w:r>
          </w:p>
        </w:tc>
        <w:tc>
          <w:tcPr>
            <w:tcW w:w="653" w:type="pct"/>
            <w:tcBorders>
              <w:left w:val="double" w:sz="4" w:space="0" w:color="auto"/>
            </w:tcBorders>
            <w:noWrap/>
            <w:hideMark/>
          </w:tcPr>
          <w:p w14:paraId="723A2B97" w14:textId="6F324415" w:rsidR="00522C8E" w:rsidRPr="002B2478" w:rsidRDefault="00522C8E" w:rsidP="00522C8E">
            <w:pPr>
              <w:rPr>
                <w:sz w:val="18"/>
                <w:szCs w:val="18"/>
              </w:rPr>
            </w:pPr>
            <w:r w:rsidRPr="002B2478">
              <w:rPr>
                <w:color w:val="000000" w:themeColor="text1"/>
                <w:sz w:val="18"/>
                <w:szCs w:val="18"/>
              </w:rPr>
              <w:t>40253 (69.9%)</w:t>
            </w:r>
          </w:p>
        </w:tc>
        <w:tc>
          <w:tcPr>
            <w:tcW w:w="653" w:type="pct"/>
            <w:noWrap/>
            <w:hideMark/>
          </w:tcPr>
          <w:p w14:paraId="75044425" w14:textId="3E2B74D3" w:rsidR="00522C8E" w:rsidRPr="002B2478" w:rsidRDefault="00522C8E" w:rsidP="00522C8E">
            <w:pPr>
              <w:rPr>
                <w:sz w:val="18"/>
                <w:szCs w:val="18"/>
              </w:rPr>
            </w:pPr>
            <w:r w:rsidRPr="002B2478">
              <w:rPr>
                <w:color w:val="000000" w:themeColor="text1"/>
                <w:sz w:val="18"/>
                <w:szCs w:val="18"/>
              </w:rPr>
              <w:t>1702 (64.3%)</w:t>
            </w:r>
          </w:p>
        </w:tc>
        <w:tc>
          <w:tcPr>
            <w:tcW w:w="653" w:type="pct"/>
            <w:tcBorders>
              <w:right w:val="double" w:sz="4" w:space="0" w:color="auto"/>
            </w:tcBorders>
            <w:noWrap/>
            <w:hideMark/>
          </w:tcPr>
          <w:p w14:paraId="62F6392E" w14:textId="268ED47A" w:rsidR="00522C8E" w:rsidRPr="002B2478" w:rsidRDefault="00522C8E" w:rsidP="00522C8E">
            <w:pPr>
              <w:rPr>
                <w:sz w:val="18"/>
                <w:szCs w:val="18"/>
              </w:rPr>
            </w:pPr>
            <w:r w:rsidRPr="002B2478">
              <w:rPr>
                <w:color w:val="000000" w:themeColor="text1"/>
                <w:sz w:val="18"/>
                <w:szCs w:val="18"/>
              </w:rPr>
              <w:t>1616 (54.0%)</w:t>
            </w:r>
          </w:p>
        </w:tc>
        <w:tc>
          <w:tcPr>
            <w:tcW w:w="653" w:type="pct"/>
            <w:tcBorders>
              <w:left w:val="double" w:sz="4" w:space="0" w:color="auto"/>
            </w:tcBorders>
          </w:tcPr>
          <w:p w14:paraId="7D6DFF2F" w14:textId="4569637E" w:rsidR="00522C8E" w:rsidRPr="002B2478" w:rsidRDefault="00522C8E" w:rsidP="00522C8E">
            <w:pPr>
              <w:rPr>
                <w:color w:val="000000" w:themeColor="text1"/>
                <w:sz w:val="18"/>
                <w:szCs w:val="18"/>
              </w:rPr>
            </w:pPr>
            <w:r w:rsidRPr="00C934B7">
              <w:rPr>
                <w:color w:val="000000"/>
                <w:sz w:val="18"/>
                <w:szCs w:val="18"/>
              </w:rPr>
              <w:t>11040 (68.5%)</w:t>
            </w:r>
          </w:p>
        </w:tc>
        <w:tc>
          <w:tcPr>
            <w:tcW w:w="653" w:type="pct"/>
          </w:tcPr>
          <w:p w14:paraId="79C345B5" w14:textId="771A9FF4" w:rsidR="00522C8E" w:rsidRPr="002B2478" w:rsidRDefault="00522C8E" w:rsidP="00522C8E">
            <w:pPr>
              <w:rPr>
                <w:color w:val="000000" w:themeColor="text1"/>
                <w:sz w:val="18"/>
                <w:szCs w:val="18"/>
              </w:rPr>
            </w:pPr>
            <w:r w:rsidRPr="00C934B7">
              <w:rPr>
                <w:color w:val="000000"/>
                <w:sz w:val="18"/>
                <w:szCs w:val="18"/>
              </w:rPr>
              <w:t>32531 (69.1%)</w:t>
            </w:r>
          </w:p>
        </w:tc>
      </w:tr>
      <w:tr w:rsidR="00522C8E" w:rsidRPr="002B2478" w14:paraId="3B4744E4" w14:textId="68410E1E" w:rsidTr="00F87F9B">
        <w:trPr>
          <w:trHeight w:val="500"/>
        </w:trPr>
        <w:tc>
          <w:tcPr>
            <w:tcW w:w="1081" w:type="pct"/>
            <w:hideMark/>
          </w:tcPr>
          <w:p w14:paraId="1225FA63" w14:textId="77777777" w:rsidR="00522C8E" w:rsidRPr="002B2478" w:rsidRDefault="00522C8E" w:rsidP="00522C8E">
            <w:pPr>
              <w:rPr>
                <w:sz w:val="18"/>
                <w:szCs w:val="18"/>
              </w:rPr>
            </w:pPr>
            <w:r w:rsidRPr="002B2478">
              <w:rPr>
                <w:sz w:val="18"/>
                <w:szCs w:val="18"/>
              </w:rPr>
              <w:t>Readmitted between discharge and 90 days follow-up</w:t>
            </w:r>
          </w:p>
        </w:tc>
        <w:tc>
          <w:tcPr>
            <w:tcW w:w="653" w:type="pct"/>
            <w:gridSpan w:val="2"/>
            <w:tcBorders>
              <w:right w:val="double" w:sz="4" w:space="0" w:color="auto"/>
            </w:tcBorders>
            <w:hideMark/>
          </w:tcPr>
          <w:p w14:paraId="560364F5" w14:textId="7E6A4FEB" w:rsidR="00522C8E" w:rsidRPr="002B2478" w:rsidRDefault="00522C8E" w:rsidP="00522C8E">
            <w:pPr>
              <w:rPr>
                <w:color w:val="000000" w:themeColor="text1"/>
                <w:sz w:val="18"/>
                <w:szCs w:val="18"/>
              </w:rPr>
            </w:pPr>
            <w:r w:rsidRPr="002B2478">
              <w:rPr>
                <w:color w:val="000000" w:themeColor="text1"/>
                <w:sz w:val="18"/>
                <w:szCs w:val="18"/>
              </w:rPr>
              <w:t>19655 (31.1%)</w:t>
            </w:r>
          </w:p>
        </w:tc>
        <w:tc>
          <w:tcPr>
            <w:tcW w:w="653" w:type="pct"/>
            <w:tcBorders>
              <w:left w:val="double" w:sz="4" w:space="0" w:color="auto"/>
            </w:tcBorders>
            <w:noWrap/>
            <w:hideMark/>
          </w:tcPr>
          <w:p w14:paraId="5FD5BA22" w14:textId="78879C56" w:rsidR="00522C8E" w:rsidRPr="002B2478" w:rsidRDefault="00522C8E" w:rsidP="00522C8E">
            <w:pPr>
              <w:rPr>
                <w:sz w:val="18"/>
                <w:szCs w:val="18"/>
              </w:rPr>
            </w:pPr>
            <w:r w:rsidRPr="002B2478">
              <w:rPr>
                <w:color w:val="000000" w:themeColor="text1"/>
                <w:sz w:val="18"/>
                <w:szCs w:val="18"/>
              </w:rPr>
              <w:t>17333 (30.1%)</w:t>
            </w:r>
          </w:p>
        </w:tc>
        <w:tc>
          <w:tcPr>
            <w:tcW w:w="653" w:type="pct"/>
            <w:noWrap/>
            <w:hideMark/>
          </w:tcPr>
          <w:p w14:paraId="134BE524" w14:textId="040A68C3" w:rsidR="00522C8E" w:rsidRPr="002B2478" w:rsidRDefault="00522C8E" w:rsidP="00522C8E">
            <w:pPr>
              <w:rPr>
                <w:sz w:val="18"/>
                <w:szCs w:val="18"/>
              </w:rPr>
            </w:pPr>
            <w:r w:rsidRPr="002B2478">
              <w:rPr>
                <w:color w:val="000000" w:themeColor="text1"/>
                <w:sz w:val="18"/>
                <w:szCs w:val="18"/>
              </w:rPr>
              <w:t>944 (35.7%)</w:t>
            </w:r>
          </w:p>
        </w:tc>
        <w:tc>
          <w:tcPr>
            <w:tcW w:w="653" w:type="pct"/>
            <w:tcBorders>
              <w:right w:val="double" w:sz="4" w:space="0" w:color="auto"/>
            </w:tcBorders>
            <w:noWrap/>
            <w:hideMark/>
          </w:tcPr>
          <w:p w14:paraId="66AC3CBD" w14:textId="7719FB74" w:rsidR="00522C8E" w:rsidRPr="002B2478" w:rsidRDefault="00522C8E" w:rsidP="00522C8E">
            <w:pPr>
              <w:rPr>
                <w:sz w:val="18"/>
                <w:szCs w:val="18"/>
              </w:rPr>
            </w:pPr>
            <w:r w:rsidRPr="002B2478">
              <w:rPr>
                <w:color w:val="000000" w:themeColor="text1"/>
                <w:sz w:val="18"/>
                <w:szCs w:val="18"/>
              </w:rPr>
              <w:t>1378 (46.0%)</w:t>
            </w:r>
          </w:p>
        </w:tc>
        <w:tc>
          <w:tcPr>
            <w:tcW w:w="653" w:type="pct"/>
            <w:tcBorders>
              <w:left w:val="double" w:sz="4" w:space="0" w:color="auto"/>
            </w:tcBorders>
          </w:tcPr>
          <w:p w14:paraId="20865795" w14:textId="537742E9" w:rsidR="00522C8E" w:rsidRPr="002B2478" w:rsidRDefault="00522C8E" w:rsidP="00522C8E">
            <w:pPr>
              <w:rPr>
                <w:color w:val="000000" w:themeColor="text1"/>
                <w:sz w:val="18"/>
                <w:szCs w:val="18"/>
              </w:rPr>
            </w:pPr>
            <w:r w:rsidRPr="00C934B7">
              <w:rPr>
                <w:color w:val="000000"/>
                <w:sz w:val="18"/>
                <w:szCs w:val="18"/>
              </w:rPr>
              <w:t>5088 (31.5%)</w:t>
            </w:r>
          </w:p>
        </w:tc>
        <w:tc>
          <w:tcPr>
            <w:tcW w:w="653" w:type="pct"/>
          </w:tcPr>
          <w:p w14:paraId="22C771E3" w14:textId="214EB472" w:rsidR="00522C8E" w:rsidRPr="002B2478" w:rsidRDefault="00522C8E" w:rsidP="00522C8E">
            <w:pPr>
              <w:rPr>
                <w:color w:val="000000" w:themeColor="text1"/>
                <w:sz w:val="18"/>
                <w:szCs w:val="18"/>
              </w:rPr>
            </w:pPr>
            <w:r w:rsidRPr="00C934B7">
              <w:rPr>
                <w:color w:val="000000"/>
                <w:sz w:val="18"/>
                <w:szCs w:val="18"/>
              </w:rPr>
              <w:t>14567 (30.9%)</w:t>
            </w:r>
          </w:p>
        </w:tc>
      </w:tr>
      <w:tr w:rsidR="00522C8E" w:rsidRPr="002B2478" w14:paraId="57BC63A8" w14:textId="7EE235CE" w:rsidTr="00522C8E">
        <w:trPr>
          <w:trHeight w:val="233"/>
        </w:trPr>
        <w:tc>
          <w:tcPr>
            <w:tcW w:w="5000" w:type="pct"/>
            <w:gridSpan w:val="8"/>
            <w:hideMark/>
          </w:tcPr>
          <w:p w14:paraId="4737177F" w14:textId="36330712" w:rsidR="00522C8E" w:rsidRPr="002B2478" w:rsidRDefault="00522C8E" w:rsidP="002502F7">
            <w:pPr>
              <w:rPr>
                <w:b/>
                <w:bCs/>
                <w:sz w:val="18"/>
                <w:szCs w:val="18"/>
              </w:rPr>
            </w:pPr>
            <w:r w:rsidRPr="002B2478">
              <w:rPr>
                <w:b/>
                <w:bCs/>
                <w:sz w:val="18"/>
                <w:szCs w:val="18"/>
              </w:rPr>
              <w:t>Patients readmitted within 180 days or had at least 180 days follow-up</w:t>
            </w:r>
          </w:p>
        </w:tc>
      </w:tr>
      <w:tr w:rsidR="00522C8E" w:rsidRPr="002B2478" w14:paraId="26F84993" w14:textId="21D15E93" w:rsidTr="00F87F9B">
        <w:trPr>
          <w:trHeight w:val="500"/>
        </w:trPr>
        <w:tc>
          <w:tcPr>
            <w:tcW w:w="1081" w:type="pct"/>
            <w:hideMark/>
          </w:tcPr>
          <w:p w14:paraId="71481000" w14:textId="77777777" w:rsidR="00522C8E" w:rsidRPr="002B2478" w:rsidRDefault="00522C8E" w:rsidP="00522C8E">
            <w:pPr>
              <w:rPr>
                <w:sz w:val="18"/>
                <w:szCs w:val="18"/>
              </w:rPr>
            </w:pPr>
            <w:r w:rsidRPr="002B2478">
              <w:rPr>
                <w:sz w:val="18"/>
                <w:szCs w:val="18"/>
              </w:rPr>
              <w:t>Was not readmitted within 180 days follow-up</w:t>
            </w:r>
          </w:p>
        </w:tc>
        <w:tc>
          <w:tcPr>
            <w:tcW w:w="653" w:type="pct"/>
            <w:gridSpan w:val="2"/>
            <w:tcBorders>
              <w:right w:val="double" w:sz="4" w:space="0" w:color="auto"/>
            </w:tcBorders>
            <w:hideMark/>
          </w:tcPr>
          <w:p w14:paraId="749AC662" w14:textId="3B9B6AB4" w:rsidR="00522C8E" w:rsidRPr="002B2478" w:rsidRDefault="00522C8E" w:rsidP="00522C8E">
            <w:pPr>
              <w:rPr>
                <w:sz w:val="18"/>
                <w:szCs w:val="18"/>
              </w:rPr>
            </w:pPr>
            <w:r w:rsidRPr="002B2478">
              <w:rPr>
                <w:color w:val="000000" w:themeColor="text1"/>
                <w:sz w:val="18"/>
                <w:szCs w:val="18"/>
              </w:rPr>
              <w:t>35732 (57.5%)</w:t>
            </w:r>
          </w:p>
        </w:tc>
        <w:tc>
          <w:tcPr>
            <w:tcW w:w="653" w:type="pct"/>
            <w:tcBorders>
              <w:left w:val="double" w:sz="4" w:space="0" w:color="auto"/>
            </w:tcBorders>
            <w:noWrap/>
            <w:hideMark/>
          </w:tcPr>
          <w:p w14:paraId="70B99D80" w14:textId="46D05355" w:rsidR="00522C8E" w:rsidRPr="002B2478" w:rsidRDefault="00522C8E" w:rsidP="00522C8E">
            <w:pPr>
              <w:rPr>
                <w:sz w:val="18"/>
                <w:szCs w:val="18"/>
              </w:rPr>
            </w:pPr>
            <w:r w:rsidRPr="002B2478">
              <w:rPr>
                <w:color w:val="000000" w:themeColor="text1"/>
                <w:sz w:val="18"/>
                <w:szCs w:val="18"/>
              </w:rPr>
              <w:t>33099 (58.5%)</w:t>
            </w:r>
          </w:p>
        </w:tc>
        <w:tc>
          <w:tcPr>
            <w:tcW w:w="653" w:type="pct"/>
            <w:noWrap/>
            <w:hideMark/>
          </w:tcPr>
          <w:p w14:paraId="1BDC3A1A" w14:textId="63B75D21" w:rsidR="00522C8E" w:rsidRPr="002B2478" w:rsidRDefault="00522C8E" w:rsidP="00522C8E">
            <w:pPr>
              <w:rPr>
                <w:sz w:val="18"/>
                <w:szCs w:val="18"/>
              </w:rPr>
            </w:pPr>
            <w:r w:rsidRPr="002B2478">
              <w:rPr>
                <w:color w:val="000000" w:themeColor="text1"/>
                <w:sz w:val="18"/>
                <w:szCs w:val="18"/>
              </w:rPr>
              <w:t>1403 (54.1%)</w:t>
            </w:r>
          </w:p>
        </w:tc>
        <w:tc>
          <w:tcPr>
            <w:tcW w:w="653" w:type="pct"/>
            <w:tcBorders>
              <w:right w:val="double" w:sz="4" w:space="0" w:color="auto"/>
            </w:tcBorders>
            <w:noWrap/>
            <w:hideMark/>
          </w:tcPr>
          <w:p w14:paraId="6AADC1FF" w14:textId="6BDE4F86" w:rsidR="00522C8E" w:rsidRPr="002B2478" w:rsidRDefault="00522C8E" w:rsidP="00522C8E">
            <w:pPr>
              <w:rPr>
                <w:sz w:val="18"/>
                <w:szCs w:val="18"/>
              </w:rPr>
            </w:pPr>
            <w:r w:rsidRPr="002B2478">
              <w:rPr>
                <w:color w:val="000000" w:themeColor="text1"/>
                <w:sz w:val="18"/>
                <w:szCs w:val="18"/>
              </w:rPr>
              <w:t>1230 (42.0%)</w:t>
            </w:r>
          </w:p>
        </w:tc>
        <w:tc>
          <w:tcPr>
            <w:tcW w:w="653" w:type="pct"/>
            <w:tcBorders>
              <w:left w:val="double" w:sz="4" w:space="0" w:color="auto"/>
            </w:tcBorders>
          </w:tcPr>
          <w:p w14:paraId="2365134B" w14:textId="70F8F840" w:rsidR="00522C8E" w:rsidRPr="002B2478" w:rsidRDefault="00522C8E" w:rsidP="00522C8E">
            <w:pPr>
              <w:rPr>
                <w:color w:val="000000" w:themeColor="text1"/>
                <w:sz w:val="18"/>
                <w:szCs w:val="18"/>
              </w:rPr>
            </w:pPr>
            <w:r w:rsidRPr="00C934B7">
              <w:rPr>
                <w:color w:val="000000"/>
                <w:sz w:val="18"/>
                <w:szCs w:val="18"/>
              </w:rPr>
              <w:t>9193 (57.7%)</w:t>
            </w:r>
          </w:p>
        </w:tc>
        <w:tc>
          <w:tcPr>
            <w:tcW w:w="653" w:type="pct"/>
          </w:tcPr>
          <w:p w14:paraId="7825E512" w14:textId="1A58B42D" w:rsidR="00522C8E" w:rsidRPr="002B2478" w:rsidRDefault="00522C8E" w:rsidP="00522C8E">
            <w:pPr>
              <w:rPr>
                <w:color w:val="000000" w:themeColor="text1"/>
                <w:sz w:val="18"/>
                <w:szCs w:val="18"/>
              </w:rPr>
            </w:pPr>
            <w:r w:rsidRPr="00C934B7">
              <w:rPr>
                <w:color w:val="000000"/>
                <w:sz w:val="18"/>
                <w:szCs w:val="18"/>
              </w:rPr>
              <w:t>26539 (57.4%)</w:t>
            </w:r>
          </w:p>
        </w:tc>
      </w:tr>
      <w:tr w:rsidR="00522C8E" w:rsidRPr="002B2478" w14:paraId="44832143" w14:textId="64C4B317" w:rsidTr="00F87F9B">
        <w:trPr>
          <w:trHeight w:val="500"/>
        </w:trPr>
        <w:tc>
          <w:tcPr>
            <w:tcW w:w="1081" w:type="pct"/>
            <w:hideMark/>
          </w:tcPr>
          <w:p w14:paraId="1E2B627F" w14:textId="77777777" w:rsidR="00522C8E" w:rsidRPr="002B2478" w:rsidRDefault="00522C8E" w:rsidP="00522C8E">
            <w:pPr>
              <w:rPr>
                <w:sz w:val="18"/>
                <w:szCs w:val="18"/>
              </w:rPr>
            </w:pPr>
            <w:r w:rsidRPr="002B2478">
              <w:rPr>
                <w:sz w:val="18"/>
                <w:szCs w:val="18"/>
              </w:rPr>
              <w:t>Readmitted between discharge and 180 days follow-up</w:t>
            </w:r>
          </w:p>
        </w:tc>
        <w:tc>
          <w:tcPr>
            <w:tcW w:w="653" w:type="pct"/>
            <w:gridSpan w:val="2"/>
            <w:tcBorders>
              <w:right w:val="double" w:sz="4" w:space="0" w:color="auto"/>
            </w:tcBorders>
            <w:hideMark/>
          </w:tcPr>
          <w:p w14:paraId="016E70AA" w14:textId="1842616C" w:rsidR="00522C8E" w:rsidRPr="002B2478" w:rsidRDefault="00522C8E" w:rsidP="00522C8E">
            <w:pPr>
              <w:rPr>
                <w:sz w:val="18"/>
                <w:szCs w:val="18"/>
              </w:rPr>
            </w:pPr>
            <w:r w:rsidRPr="002B2478">
              <w:rPr>
                <w:color w:val="000000" w:themeColor="text1"/>
                <w:sz w:val="18"/>
                <w:szCs w:val="18"/>
              </w:rPr>
              <w:t>26401 (42.5%)</w:t>
            </w:r>
          </w:p>
        </w:tc>
        <w:tc>
          <w:tcPr>
            <w:tcW w:w="653" w:type="pct"/>
            <w:tcBorders>
              <w:left w:val="double" w:sz="4" w:space="0" w:color="auto"/>
            </w:tcBorders>
            <w:noWrap/>
            <w:hideMark/>
          </w:tcPr>
          <w:p w14:paraId="04E4EB06" w14:textId="52CD1BD7" w:rsidR="00522C8E" w:rsidRPr="002B2478" w:rsidRDefault="00522C8E" w:rsidP="00522C8E">
            <w:pPr>
              <w:rPr>
                <w:sz w:val="18"/>
                <w:szCs w:val="18"/>
              </w:rPr>
            </w:pPr>
            <w:r w:rsidRPr="002B2478">
              <w:rPr>
                <w:color w:val="000000" w:themeColor="text1"/>
                <w:sz w:val="18"/>
                <w:szCs w:val="18"/>
              </w:rPr>
              <w:t>23512 (41.5%)</w:t>
            </w:r>
          </w:p>
        </w:tc>
        <w:tc>
          <w:tcPr>
            <w:tcW w:w="653" w:type="pct"/>
            <w:noWrap/>
            <w:hideMark/>
          </w:tcPr>
          <w:p w14:paraId="5D1900AC" w14:textId="3A78636B" w:rsidR="00522C8E" w:rsidRPr="00986502" w:rsidRDefault="00522C8E" w:rsidP="00522C8E">
            <w:pPr>
              <w:rPr>
                <w:sz w:val="18"/>
                <w:szCs w:val="18"/>
              </w:rPr>
            </w:pPr>
            <w:r>
              <w:rPr>
                <w:color w:val="000000" w:themeColor="text1"/>
                <w:sz w:val="18"/>
                <w:szCs w:val="18"/>
              </w:rPr>
              <w:t>1192 (</w:t>
            </w:r>
            <w:r w:rsidRPr="00986502">
              <w:rPr>
                <w:color w:val="000000" w:themeColor="text1"/>
                <w:sz w:val="18"/>
                <w:szCs w:val="18"/>
              </w:rPr>
              <w:t>45.9%)</w:t>
            </w:r>
          </w:p>
        </w:tc>
        <w:tc>
          <w:tcPr>
            <w:tcW w:w="653" w:type="pct"/>
            <w:tcBorders>
              <w:right w:val="double" w:sz="4" w:space="0" w:color="auto"/>
            </w:tcBorders>
            <w:noWrap/>
            <w:hideMark/>
          </w:tcPr>
          <w:p w14:paraId="233BB45D" w14:textId="25267510" w:rsidR="00522C8E" w:rsidRPr="00986502" w:rsidRDefault="00522C8E" w:rsidP="00522C8E">
            <w:pPr>
              <w:rPr>
                <w:sz w:val="18"/>
                <w:szCs w:val="18"/>
              </w:rPr>
            </w:pPr>
            <w:r>
              <w:rPr>
                <w:color w:val="000000" w:themeColor="text1"/>
                <w:sz w:val="18"/>
                <w:szCs w:val="18"/>
              </w:rPr>
              <w:t xml:space="preserve">1697 </w:t>
            </w:r>
            <w:r w:rsidRPr="00986502">
              <w:rPr>
                <w:color w:val="000000" w:themeColor="text1"/>
                <w:sz w:val="18"/>
                <w:szCs w:val="18"/>
              </w:rPr>
              <w:t>(58.0%)</w:t>
            </w:r>
          </w:p>
        </w:tc>
        <w:tc>
          <w:tcPr>
            <w:tcW w:w="653" w:type="pct"/>
            <w:tcBorders>
              <w:left w:val="double" w:sz="4" w:space="0" w:color="auto"/>
            </w:tcBorders>
          </w:tcPr>
          <w:p w14:paraId="4EE04CE8" w14:textId="5804DED0" w:rsidR="00522C8E" w:rsidRPr="00EA5CDB" w:rsidRDefault="00522C8E" w:rsidP="00522C8E">
            <w:pPr>
              <w:rPr>
                <w:color w:val="000000" w:themeColor="text1"/>
                <w:sz w:val="18"/>
                <w:szCs w:val="18"/>
              </w:rPr>
            </w:pPr>
            <w:r w:rsidRPr="00C934B7">
              <w:rPr>
                <w:color w:val="000000"/>
                <w:sz w:val="18"/>
                <w:szCs w:val="18"/>
              </w:rPr>
              <w:t>6738 (42.3%)</w:t>
            </w:r>
          </w:p>
        </w:tc>
        <w:tc>
          <w:tcPr>
            <w:tcW w:w="653" w:type="pct"/>
          </w:tcPr>
          <w:p w14:paraId="69175DFB" w14:textId="4DE4C1CE" w:rsidR="00522C8E" w:rsidRPr="00EA5CDB" w:rsidRDefault="00522C8E" w:rsidP="00522C8E">
            <w:pPr>
              <w:rPr>
                <w:color w:val="000000" w:themeColor="text1"/>
                <w:sz w:val="18"/>
                <w:szCs w:val="18"/>
              </w:rPr>
            </w:pPr>
            <w:r w:rsidRPr="00C934B7">
              <w:rPr>
                <w:color w:val="000000"/>
                <w:sz w:val="18"/>
                <w:szCs w:val="18"/>
              </w:rPr>
              <w:t>19663 (42.6%)</w:t>
            </w:r>
          </w:p>
        </w:tc>
      </w:tr>
    </w:tbl>
    <w:p w14:paraId="5EA51DD8" w14:textId="77777777" w:rsidR="00183FF3" w:rsidRDefault="007C1A0E" w:rsidP="00C909DD">
      <w:pPr>
        <w:rPr>
          <w:sz w:val="16"/>
          <w:szCs w:val="16"/>
        </w:rPr>
      </w:pPr>
      <w:r>
        <w:rPr>
          <w:sz w:val="16"/>
          <w:szCs w:val="16"/>
        </w:rPr>
        <w:t>ICU: intensive care unit, IMV:</w:t>
      </w:r>
      <w:r w:rsidRPr="008F07AA">
        <w:t xml:space="preserve"> </w:t>
      </w:r>
      <w:r w:rsidR="00183FF3" w:rsidRPr="00EA6DE6">
        <w:rPr>
          <w:sz w:val="16"/>
          <w:szCs w:val="16"/>
        </w:rPr>
        <w:t>invasive mechanical ventilation</w:t>
      </w:r>
      <w:r w:rsidR="00183FF3">
        <w:rPr>
          <w:sz w:val="16"/>
          <w:szCs w:val="16"/>
        </w:rPr>
        <w:t xml:space="preserve"> </w:t>
      </w:r>
    </w:p>
    <w:p w14:paraId="0157FCBB" w14:textId="12EEF86D" w:rsidR="00FD164D" w:rsidRPr="00C909DD" w:rsidRDefault="00C909DD" w:rsidP="00C909DD">
      <w:pPr>
        <w:rPr>
          <w:sz w:val="16"/>
          <w:szCs w:val="16"/>
        </w:rPr>
      </w:pPr>
      <w:r>
        <w:rPr>
          <w:sz w:val="16"/>
          <w:szCs w:val="16"/>
        </w:rPr>
        <w:t xml:space="preserve">Note: </w:t>
      </w:r>
      <w:r w:rsidR="00FD164D" w:rsidRPr="00C909DD">
        <w:rPr>
          <w:sz w:val="16"/>
          <w:szCs w:val="16"/>
        </w:rPr>
        <w:t>Readmissions are reported as a percentage of those who had the full amount of follow up time at each period of interest (30, 60, 90, and 180 days) and those were readmitted within said period of interest</w:t>
      </w:r>
      <w:r w:rsidR="00926F12">
        <w:rPr>
          <w:sz w:val="16"/>
          <w:szCs w:val="16"/>
        </w:rPr>
        <w:t xml:space="preserve">. Rates at each </w:t>
      </w:r>
      <w:proofErr w:type="gramStart"/>
      <w:r w:rsidR="00926F12">
        <w:rPr>
          <w:sz w:val="16"/>
          <w:szCs w:val="16"/>
        </w:rPr>
        <w:t>time period</w:t>
      </w:r>
      <w:proofErr w:type="gramEnd"/>
      <w:r w:rsidR="00926F12">
        <w:rPr>
          <w:sz w:val="16"/>
          <w:szCs w:val="16"/>
        </w:rPr>
        <w:t xml:space="preserve"> are cumulative.</w:t>
      </w:r>
    </w:p>
    <w:p w14:paraId="5547C0CB" w14:textId="77777777" w:rsidR="00EF0829" w:rsidRDefault="00EF0829" w:rsidP="00825B10">
      <w:pPr>
        <w:rPr>
          <w:sz w:val="20"/>
          <w:szCs w:val="20"/>
        </w:rPr>
      </w:pPr>
    </w:p>
    <w:p w14:paraId="0EB80CE2" w14:textId="77777777" w:rsidR="00241323" w:rsidRDefault="00241323">
      <w:pPr>
        <w:rPr>
          <w:sz w:val="20"/>
          <w:szCs w:val="20"/>
        </w:rPr>
      </w:pPr>
      <w:r>
        <w:rPr>
          <w:sz w:val="20"/>
          <w:szCs w:val="20"/>
        </w:rPr>
        <w:br w:type="page"/>
      </w:r>
    </w:p>
    <w:p w14:paraId="5E810934" w14:textId="2F8ACB0E" w:rsidR="008052DC" w:rsidRPr="00FB2074" w:rsidRDefault="008052DC" w:rsidP="008052DC">
      <w:pPr>
        <w:rPr>
          <w:sz w:val="28"/>
          <w:szCs w:val="28"/>
        </w:rPr>
      </w:pPr>
      <w:r w:rsidRPr="00FB2074">
        <w:rPr>
          <w:b/>
          <w:bCs/>
        </w:rPr>
        <w:t xml:space="preserve">Table </w:t>
      </w:r>
      <w:r>
        <w:rPr>
          <w:b/>
          <w:bCs/>
        </w:rPr>
        <w:t>S6</w:t>
      </w:r>
      <w:r w:rsidRPr="00FB2074">
        <w:rPr>
          <w:b/>
          <w:bCs/>
        </w:rPr>
        <w:t>:</w:t>
      </w:r>
      <w:r w:rsidRPr="00FB2074">
        <w:t xml:space="preserve"> Mortality at various time periods stratified by post</w:t>
      </w:r>
      <w:r>
        <w:t>-</w:t>
      </w:r>
      <w:r w:rsidRPr="00FB2074">
        <w:t>discharge care setting</w:t>
      </w:r>
    </w:p>
    <w:tbl>
      <w:tblPr>
        <w:tblStyle w:val="TableGrid"/>
        <w:tblW w:w="9412" w:type="dxa"/>
        <w:tblLook w:val="04A0" w:firstRow="1" w:lastRow="0" w:firstColumn="1" w:lastColumn="0" w:noHBand="0" w:noVBand="1"/>
      </w:tblPr>
      <w:tblGrid>
        <w:gridCol w:w="2675"/>
        <w:gridCol w:w="1684"/>
        <w:gridCol w:w="1684"/>
        <w:gridCol w:w="1684"/>
        <w:gridCol w:w="1685"/>
      </w:tblGrid>
      <w:tr w:rsidR="008052DC" w:rsidRPr="005A69EC" w14:paraId="129FE929" w14:textId="77777777" w:rsidTr="004862CF">
        <w:trPr>
          <w:trHeight w:val="221"/>
        </w:trPr>
        <w:tc>
          <w:tcPr>
            <w:tcW w:w="2675" w:type="dxa"/>
            <w:vMerge w:val="restart"/>
            <w:hideMark/>
          </w:tcPr>
          <w:p w14:paraId="174AF75F" w14:textId="77777777" w:rsidR="008052DC" w:rsidRPr="005A69EC" w:rsidRDefault="008052DC" w:rsidP="004862CF">
            <w:pPr>
              <w:rPr>
                <w:color w:val="000000"/>
                <w:sz w:val="18"/>
                <w:szCs w:val="18"/>
                <w:lang w:eastAsia="en-US"/>
              </w:rPr>
            </w:pPr>
            <w:r w:rsidRPr="005A69EC">
              <w:rPr>
                <w:color w:val="000000"/>
                <w:sz w:val="18"/>
                <w:szCs w:val="18"/>
                <w:lang w:eastAsia="en-US"/>
              </w:rPr>
              <w:t> </w:t>
            </w:r>
          </w:p>
        </w:tc>
        <w:tc>
          <w:tcPr>
            <w:tcW w:w="1684" w:type="dxa"/>
            <w:tcBorders>
              <w:right w:val="double" w:sz="4" w:space="0" w:color="auto"/>
            </w:tcBorders>
            <w:hideMark/>
          </w:tcPr>
          <w:p w14:paraId="3200A512" w14:textId="77777777" w:rsidR="008052DC" w:rsidRPr="005A69EC" w:rsidRDefault="008052DC" w:rsidP="004862CF">
            <w:pPr>
              <w:rPr>
                <w:color w:val="000000"/>
                <w:sz w:val="18"/>
                <w:szCs w:val="18"/>
                <w:lang w:eastAsia="en-US"/>
              </w:rPr>
            </w:pPr>
            <w:r w:rsidRPr="005A69EC">
              <w:rPr>
                <w:color w:val="000000"/>
                <w:sz w:val="18"/>
                <w:szCs w:val="18"/>
                <w:lang w:eastAsia="en-US"/>
              </w:rPr>
              <w:t> </w:t>
            </w:r>
          </w:p>
        </w:tc>
        <w:tc>
          <w:tcPr>
            <w:tcW w:w="5052" w:type="dxa"/>
            <w:gridSpan w:val="3"/>
            <w:tcBorders>
              <w:left w:val="double" w:sz="4" w:space="0" w:color="auto"/>
              <w:right w:val="single" w:sz="4" w:space="0" w:color="auto"/>
            </w:tcBorders>
            <w:hideMark/>
          </w:tcPr>
          <w:p w14:paraId="5DC967CC" w14:textId="77777777" w:rsidR="008052DC" w:rsidRPr="00795C53" w:rsidRDefault="008052DC" w:rsidP="004862CF">
            <w:pPr>
              <w:jc w:val="center"/>
              <w:rPr>
                <w:b/>
                <w:color w:val="000000"/>
                <w:sz w:val="18"/>
                <w:szCs w:val="18"/>
                <w:lang w:eastAsia="en-US"/>
              </w:rPr>
            </w:pPr>
            <w:r w:rsidRPr="0001165B">
              <w:rPr>
                <w:b/>
                <w:bCs/>
                <w:sz w:val="18"/>
                <w:szCs w:val="18"/>
              </w:rPr>
              <w:t xml:space="preserve">First </w:t>
            </w:r>
            <w:r>
              <w:rPr>
                <w:b/>
                <w:bCs/>
                <w:sz w:val="18"/>
                <w:szCs w:val="18"/>
              </w:rPr>
              <w:t>P</w:t>
            </w:r>
            <w:r w:rsidRPr="0001165B">
              <w:rPr>
                <w:b/>
                <w:bCs/>
                <w:sz w:val="18"/>
                <w:szCs w:val="18"/>
              </w:rPr>
              <w:t>ost-</w:t>
            </w:r>
            <w:r>
              <w:rPr>
                <w:b/>
                <w:bCs/>
                <w:sz w:val="18"/>
                <w:szCs w:val="18"/>
              </w:rPr>
              <w:t>D</w:t>
            </w:r>
            <w:r w:rsidRPr="0001165B">
              <w:rPr>
                <w:b/>
                <w:bCs/>
                <w:sz w:val="18"/>
                <w:szCs w:val="18"/>
              </w:rPr>
              <w:t xml:space="preserve">ischarge </w:t>
            </w:r>
            <w:r>
              <w:rPr>
                <w:b/>
                <w:bCs/>
                <w:sz w:val="18"/>
                <w:szCs w:val="18"/>
              </w:rPr>
              <w:t>C</w:t>
            </w:r>
            <w:r w:rsidRPr="0001165B">
              <w:rPr>
                <w:b/>
                <w:bCs/>
                <w:sz w:val="18"/>
                <w:szCs w:val="18"/>
              </w:rPr>
              <w:t xml:space="preserve">are </w:t>
            </w:r>
            <w:r>
              <w:rPr>
                <w:b/>
                <w:bCs/>
                <w:sz w:val="18"/>
                <w:szCs w:val="18"/>
              </w:rPr>
              <w:t>Setting</w:t>
            </w:r>
          </w:p>
        </w:tc>
      </w:tr>
      <w:tr w:rsidR="008052DC" w:rsidRPr="005A69EC" w14:paraId="0105DB83" w14:textId="77777777" w:rsidTr="004862CF">
        <w:trPr>
          <w:trHeight w:val="424"/>
        </w:trPr>
        <w:tc>
          <w:tcPr>
            <w:tcW w:w="2675" w:type="dxa"/>
            <w:vMerge/>
            <w:hideMark/>
          </w:tcPr>
          <w:p w14:paraId="1BC07A87" w14:textId="77777777" w:rsidR="008052DC" w:rsidRPr="005A69EC" w:rsidRDefault="008052DC" w:rsidP="004862CF">
            <w:pPr>
              <w:rPr>
                <w:color w:val="000000"/>
                <w:sz w:val="18"/>
                <w:szCs w:val="18"/>
                <w:lang w:eastAsia="en-US"/>
              </w:rPr>
            </w:pPr>
          </w:p>
        </w:tc>
        <w:tc>
          <w:tcPr>
            <w:tcW w:w="1684" w:type="dxa"/>
            <w:tcBorders>
              <w:right w:val="double" w:sz="4" w:space="0" w:color="auto"/>
            </w:tcBorders>
            <w:hideMark/>
          </w:tcPr>
          <w:p w14:paraId="42293C19" w14:textId="77777777" w:rsidR="008052DC" w:rsidRPr="00795C53" w:rsidRDefault="008052DC" w:rsidP="004862CF">
            <w:pPr>
              <w:rPr>
                <w:b/>
                <w:color w:val="000000"/>
                <w:sz w:val="18"/>
                <w:szCs w:val="18"/>
                <w:lang w:eastAsia="en-US"/>
              </w:rPr>
            </w:pPr>
            <w:r w:rsidRPr="00795C53">
              <w:rPr>
                <w:b/>
                <w:color w:val="000000"/>
                <w:sz w:val="18"/>
                <w:szCs w:val="18"/>
                <w:lang w:eastAsia="en-US"/>
              </w:rPr>
              <w:t>Overall</w:t>
            </w:r>
          </w:p>
        </w:tc>
        <w:tc>
          <w:tcPr>
            <w:tcW w:w="1684" w:type="dxa"/>
            <w:tcBorders>
              <w:left w:val="double" w:sz="4" w:space="0" w:color="auto"/>
            </w:tcBorders>
            <w:hideMark/>
          </w:tcPr>
          <w:p w14:paraId="42F3679E" w14:textId="77777777" w:rsidR="008052DC" w:rsidRPr="00066F33" w:rsidRDefault="008052DC" w:rsidP="004862CF">
            <w:pPr>
              <w:rPr>
                <w:b/>
                <w:color w:val="000000"/>
                <w:sz w:val="18"/>
                <w:szCs w:val="18"/>
                <w:lang w:eastAsia="en-US"/>
              </w:rPr>
            </w:pPr>
            <w:r w:rsidRPr="00066F33">
              <w:rPr>
                <w:b/>
                <w:color w:val="000000"/>
                <w:sz w:val="18"/>
                <w:szCs w:val="18"/>
                <w:lang w:eastAsia="en-US"/>
              </w:rPr>
              <w:t xml:space="preserve">Home </w:t>
            </w:r>
            <w:r w:rsidRPr="00066F33">
              <w:rPr>
                <w:b/>
                <w:color w:val="000000"/>
                <w:sz w:val="18"/>
                <w:szCs w:val="18"/>
                <w:lang w:eastAsia="en-US"/>
              </w:rPr>
              <w:br/>
              <w:t>(self-care)</w:t>
            </w:r>
          </w:p>
        </w:tc>
        <w:tc>
          <w:tcPr>
            <w:tcW w:w="1684" w:type="dxa"/>
            <w:hideMark/>
          </w:tcPr>
          <w:p w14:paraId="0EDAFEC1" w14:textId="77777777" w:rsidR="008052DC" w:rsidRPr="00066F33" w:rsidRDefault="008052DC" w:rsidP="004862CF">
            <w:pPr>
              <w:rPr>
                <w:b/>
                <w:color w:val="000000"/>
                <w:sz w:val="18"/>
                <w:szCs w:val="18"/>
                <w:lang w:eastAsia="en-US"/>
              </w:rPr>
            </w:pPr>
            <w:r w:rsidRPr="00066F33">
              <w:rPr>
                <w:b/>
                <w:color w:val="000000"/>
                <w:sz w:val="18"/>
                <w:szCs w:val="18"/>
                <w:lang w:eastAsia="en-US"/>
              </w:rPr>
              <w:t xml:space="preserve">Home </w:t>
            </w:r>
            <w:r w:rsidRPr="00066F33">
              <w:rPr>
                <w:b/>
                <w:color w:val="000000"/>
                <w:sz w:val="18"/>
                <w:szCs w:val="18"/>
                <w:lang w:eastAsia="en-US"/>
              </w:rPr>
              <w:br/>
              <w:t>(under</w:t>
            </w:r>
            <w:r>
              <w:rPr>
                <w:b/>
                <w:color w:val="000000"/>
                <w:sz w:val="18"/>
                <w:szCs w:val="18"/>
                <w:lang w:eastAsia="en-US"/>
              </w:rPr>
              <w:t xml:space="preserve"> </w:t>
            </w:r>
            <w:r w:rsidRPr="00066F33">
              <w:rPr>
                <w:b/>
                <w:color w:val="000000"/>
                <w:sz w:val="18"/>
                <w:szCs w:val="18"/>
                <w:lang w:eastAsia="en-US"/>
              </w:rPr>
              <w:t>care)</w:t>
            </w:r>
          </w:p>
        </w:tc>
        <w:tc>
          <w:tcPr>
            <w:tcW w:w="1684" w:type="dxa"/>
            <w:tcBorders>
              <w:right w:val="single" w:sz="4" w:space="0" w:color="auto"/>
            </w:tcBorders>
            <w:hideMark/>
          </w:tcPr>
          <w:p w14:paraId="026BEA3D" w14:textId="77777777" w:rsidR="008052DC" w:rsidRPr="00A40EEF" w:rsidRDefault="008052DC" w:rsidP="004862CF">
            <w:pPr>
              <w:rPr>
                <w:b/>
                <w:color w:val="000000"/>
                <w:sz w:val="18"/>
                <w:szCs w:val="18"/>
                <w:vertAlign w:val="superscript"/>
                <w:lang w:eastAsia="en-US"/>
              </w:rPr>
            </w:pPr>
            <w:r w:rsidRPr="00066F33">
              <w:rPr>
                <w:b/>
                <w:color w:val="000000"/>
                <w:sz w:val="18"/>
                <w:szCs w:val="18"/>
                <w:lang w:eastAsia="en-US"/>
              </w:rPr>
              <w:t>Any healthcare facility</w:t>
            </w:r>
            <w:r>
              <w:rPr>
                <w:b/>
                <w:color w:val="000000"/>
                <w:sz w:val="18"/>
                <w:szCs w:val="18"/>
                <w:vertAlign w:val="superscript"/>
                <w:lang w:eastAsia="en-US"/>
              </w:rPr>
              <w:t>1</w:t>
            </w:r>
          </w:p>
        </w:tc>
      </w:tr>
      <w:tr w:rsidR="008052DC" w:rsidRPr="005A69EC" w14:paraId="755C0FFB" w14:textId="77777777" w:rsidTr="004862CF">
        <w:trPr>
          <w:trHeight w:val="212"/>
        </w:trPr>
        <w:tc>
          <w:tcPr>
            <w:tcW w:w="2675" w:type="dxa"/>
            <w:hideMark/>
          </w:tcPr>
          <w:p w14:paraId="58C2F0A8" w14:textId="77777777" w:rsidR="008052DC" w:rsidRPr="005A69EC" w:rsidRDefault="008052DC" w:rsidP="004862CF">
            <w:pPr>
              <w:rPr>
                <w:color w:val="000000" w:themeColor="text1"/>
                <w:sz w:val="18"/>
                <w:szCs w:val="18"/>
                <w:lang w:eastAsia="en-US"/>
              </w:rPr>
            </w:pPr>
            <w:r w:rsidRPr="0FE278C5">
              <w:rPr>
                <w:color w:val="000000" w:themeColor="text1"/>
                <w:sz w:val="18"/>
                <w:szCs w:val="18"/>
                <w:lang w:eastAsia="en-US"/>
              </w:rPr>
              <w:t>Patient </w:t>
            </w:r>
            <w:r>
              <w:rPr>
                <w:color w:val="000000" w:themeColor="text1"/>
                <w:sz w:val="18"/>
                <w:szCs w:val="18"/>
                <w:lang w:eastAsia="en-US"/>
              </w:rPr>
              <w:t>c</w:t>
            </w:r>
            <w:r w:rsidRPr="0FE278C5">
              <w:rPr>
                <w:color w:val="000000" w:themeColor="text1"/>
                <w:sz w:val="18"/>
                <w:szCs w:val="18"/>
                <w:lang w:eastAsia="en-US"/>
              </w:rPr>
              <w:t xml:space="preserve">ount </w:t>
            </w:r>
          </w:p>
          <w:p w14:paraId="4997331E" w14:textId="77777777" w:rsidR="008052DC" w:rsidRPr="005A69EC" w:rsidRDefault="008052DC" w:rsidP="004862CF">
            <w:pPr>
              <w:rPr>
                <w:color w:val="000000"/>
                <w:sz w:val="18"/>
                <w:szCs w:val="18"/>
                <w:lang w:eastAsia="en-US"/>
              </w:rPr>
            </w:pPr>
            <w:r w:rsidRPr="0FE278C5">
              <w:rPr>
                <w:color w:val="000000" w:themeColor="text1"/>
                <w:sz w:val="18"/>
                <w:szCs w:val="18"/>
                <w:lang w:eastAsia="en-US"/>
              </w:rPr>
              <w:t>N</w:t>
            </w:r>
            <w:r>
              <w:rPr>
                <w:color w:val="000000" w:themeColor="text1"/>
                <w:sz w:val="18"/>
                <w:szCs w:val="18"/>
                <w:lang w:eastAsia="en-US"/>
              </w:rPr>
              <w:t xml:space="preserve"> </w:t>
            </w:r>
            <w:r w:rsidRPr="0FE278C5">
              <w:rPr>
                <w:color w:val="000000" w:themeColor="text1"/>
                <w:sz w:val="18"/>
                <w:szCs w:val="18"/>
                <w:lang w:eastAsia="en-US"/>
              </w:rPr>
              <w:t>(%)</w:t>
            </w:r>
          </w:p>
        </w:tc>
        <w:tc>
          <w:tcPr>
            <w:tcW w:w="1684" w:type="dxa"/>
            <w:tcBorders>
              <w:right w:val="double" w:sz="4" w:space="0" w:color="auto"/>
            </w:tcBorders>
            <w:hideMark/>
          </w:tcPr>
          <w:p w14:paraId="4890E7AE" w14:textId="77777777" w:rsidR="008052DC" w:rsidRPr="00625312" w:rsidRDefault="008052DC" w:rsidP="004862CF">
            <w:pPr>
              <w:rPr>
                <w:b/>
                <w:color w:val="000000"/>
                <w:sz w:val="18"/>
                <w:szCs w:val="18"/>
                <w:lang w:eastAsia="en-US"/>
              </w:rPr>
            </w:pPr>
            <w:r w:rsidRPr="00625312">
              <w:rPr>
                <w:b/>
                <w:color w:val="000000"/>
                <w:sz w:val="18"/>
                <w:szCs w:val="18"/>
                <w:lang w:eastAsia="en-US"/>
              </w:rPr>
              <w:t>67358 (100.0%)</w:t>
            </w:r>
          </w:p>
        </w:tc>
        <w:tc>
          <w:tcPr>
            <w:tcW w:w="1684" w:type="dxa"/>
            <w:tcBorders>
              <w:left w:val="double" w:sz="4" w:space="0" w:color="auto"/>
            </w:tcBorders>
            <w:hideMark/>
          </w:tcPr>
          <w:p w14:paraId="7A14D99F" w14:textId="77777777" w:rsidR="008052DC" w:rsidRPr="00625312" w:rsidRDefault="008052DC" w:rsidP="004862CF">
            <w:pPr>
              <w:rPr>
                <w:b/>
                <w:color w:val="000000"/>
                <w:sz w:val="18"/>
                <w:szCs w:val="18"/>
                <w:lang w:eastAsia="en-US"/>
              </w:rPr>
            </w:pPr>
            <w:r w:rsidRPr="00625312">
              <w:rPr>
                <w:b/>
                <w:color w:val="000000"/>
                <w:sz w:val="18"/>
                <w:szCs w:val="18"/>
                <w:lang w:eastAsia="en-US"/>
              </w:rPr>
              <w:t>25962 (38.5%)</w:t>
            </w:r>
          </w:p>
        </w:tc>
        <w:tc>
          <w:tcPr>
            <w:tcW w:w="1684" w:type="dxa"/>
            <w:hideMark/>
          </w:tcPr>
          <w:p w14:paraId="0CED99AF" w14:textId="77777777" w:rsidR="008052DC" w:rsidRPr="00625312" w:rsidRDefault="008052DC" w:rsidP="004862CF">
            <w:pPr>
              <w:rPr>
                <w:b/>
                <w:color w:val="000000"/>
                <w:sz w:val="18"/>
                <w:szCs w:val="18"/>
                <w:lang w:eastAsia="en-US"/>
              </w:rPr>
            </w:pPr>
            <w:r w:rsidRPr="00625312">
              <w:rPr>
                <w:b/>
                <w:color w:val="000000"/>
                <w:sz w:val="18"/>
                <w:szCs w:val="18"/>
                <w:lang w:eastAsia="en-US"/>
              </w:rPr>
              <w:t>17248 (25.6%)</w:t>
            </w:r>
          </w:p>
        </w:tc>
        <w:tc>
          <w:tcPr>
            <w:tcW w:w="1684" w:type="dxa"/>
            <w:tcBorders>
              <w:right w:val="single" w:sz="4" w:space="0" w:color="auto"/>
            </w:tcBorders>
            <w:hideMark/>
          </w:tcPr>
          <w:p w14:paraId="122D77DD" w14:textId="77777777" w:rsidR="008052DC" w:rsidRPr="00625312" w:rsidRDefault="008052DC" w:rsidP="004862CF">
            <w:pPr>
              <w:rPr>
                <w:b/>
                <w:color w:val="000000"/>
                <w:sz w:val="18"/>
                <w:szCs w:val="18"/>
                <w:lang w:eastAsia="en-US"/>
              </w:rPr>
            </w:pPr>
            <w:r w:rsidRPr="00625312">
              <w:rPr>
                <w:b/>
                <w:color w:val="000000"/>
                <w:sz w:val="18"/>
                <w:szCs w:val="18"/>
                <w:lang w:eastAsia="en-US"/>
              </w:rPr>
              <w:t>24148 (35.9%)</w:t>
            </w:r>
          </w:p>
        </w:tc>
      </w:tr>
      <w:tr w:rsidR="008052DC" w:rsidRPr="005A69EC" w14:paraId="4AD7525A" w14:textId="77777777" w:rsidTr="004862CF">
        <w:trPr>
          <w:trHeight w:val="192"/>
        </w:trPr>
        <w:tc>
          <w:tcPr>
            <w:tcW w:w="9412" w:type="dxa"/>
            <w:gridSpan w:val="5"/>
            <w:tcBorders>
              <w:right w:val="single" w:sz="4" w:space="0" w:color="auto"/>
            </w:tcBorders>
            <w:hideMark/>
          </w:tcPr>
          <w:p w14:paraId="67DE00F3" w14:textId="77777777" w:rsidR="008052DC" w:rsidRPr="00795C53" w:rsidRDefault="008052DC" w:rsidP="004862CF">
            <w:pPr>
              <w:rPr>
                <w:b/>
                <w:color w:val="000000"/>
                <w:sz w:val="18"/>
                <w:szCs w:val="18"/>
                <w:lang w:eastAsia="en-US"/>
              </w:rPr>
            </w:pPr>
            <w:r w:rsidRPr="00795C53">
              <w:rPr>
                <w:b/>
                <w:color w:val="000000"/>
                <w:sz w:val="18"/>
                <w:szCs w:val="18"/>
                <w:lang w:eastAsia="en-US"/>
              </w:rPr>
              <w:t>Patients who died within 30 days or had at least 30 days follow-up</w:t>
            </w:r>
          </w:p>
        </w:tc>
      </w:tr>
      <w:tr w:rsidR="008052DC" w:rsidRPr="005A69EC" w14:paraId="07308C66" w14:textId="77777777" w:rsidTr="004862CF">
        <w:trPr>
          <w:trHeight w:val="212"/>
        </w:trPr>
        <w:tc>
          <w:tcPr>
            <w:tcW w:w="2675" w:type="dxa"/>
            <w:hideMark/>
          </w:tcPr>
          <w:p w14:paraId="417F2C00" w14:textId="77777777" w:rsidR="008052DC" w:rsidRPr="005A69EC" w:rsidRDefault="008052DC" w:rsidP="004862CF">
            <w:pPr>
              <w:rPr>
                <w:color w:val="000000"/>
                <w:sz w:val="18"/>
                <w:szCs w:val="18"/>
                <w:lang w:eastAsia="en-US"/>
              </w:rPr>
            </w:pPr>
            <w:r w:rsidRPr="005A69EC">
              <w:rPr>
                <w:color w:val="000000"/>
                <w:sz w:val="18"/>
                <w:szCs w:val="18"/>
                <w:lang w:eastAsia="en-US"/>
              </w:rPr>
              <w:t>Did not die within 30 days follow-up</w:t>
            </w:r>
          </w:p>
        </w:tc>
        <w:tc>
          <w:tcPr>
            <w:tcW w:w="1684" w:type="dxa"/>
            <w:tcBorders>
              <w:right w:val="double" w:sz="4" w:space="0" w:color="auto"/>
            </w:tcBorders>
            <w:hideMark/>
          </w:tcPr>
          <w:p w14:paraId="46C7C5A8" w14:textId="77777777" w:rsidR="008052DC" w:rsidRPr="005A69EC" w:rsidRDefault="008052DC" w:rsidP="004862CF">
            <w:pPr>
              <w:rPr>
                <w:color w:val="000000"/>
                <w:sz w:val="18"/>
                <w:szCs w:val="18"/>
                <w:lang w:eastAsia="en-US"/>
              </w:rPr>
            </w:pPr>
            <w:r w:rsidRPr="005A69EC">
              <w:rPr>
                <w:color w:val="000000"/>
                <w:sz w:val="18"/>
                <w:szCs w:val="18"/>
                <w:lang w:eastAsia="en-US"/>
              </w:rPr>
              <w:t>62877 (93.4%)</w:t>
            </w:r>
          </w:p>
        </w:tc>
        <w:tc>
          <w:tcPr>
            <w:tcW w:w="1684" w:type="dxa"/>
            <w:tcBorders>
              <w:left w:val="double" w:sz="4" w:space="0" w:color="auto"/>
            </w:tcBorders>
            <w:hideMark/>
          </w:tcPr>
          <w:p w14:paraId="78F686B5" w14:textId="77777777" w:rsidR="008052DC" w:rsidRPr="005A69EC" w:rsidRDefault="008052DC" w:rsidP="004862CF">
            <w:pPr>
              <w:rPr>
                <w:color w:val="000000"/>
                <w:sz w:val="18"/>
                <w:szCs w:val="18"/>
                <w:lang w:eastAsia="en-US"/>
              </w:rPr>
            </w:pPr>
            <w:r w:rsidRPr="005A69EC">
              <w:rPr>
                <w:color w:val="000000"/>
                <w:sz w:val="18"/>
                <w:szCs w:val="18"/>
                <w:lang w:eastAsia="en-US"/>
              </w:rPr>
              <w:t>25519 (98.4%)</w:t>
            </w:r>
          </w:p>
        </w:tc>
        <w:tc>
          <w:tcPr>
            <w:tcW w:w="1684" w:type="dxa"/>
            <w:hideMark/>
          </w:tcPr>
          <w:p w14:paraId="249AD54D" w14:textId="77777777" w:rsidR="008052DC" w:rsidRPr="005A69EC" w:rsidRDefault="008052DC" w:rsidP="004862CF">
            <w:pPr>
              <w:rPr>
                <w:color w:val="000000"/>
                <w:sz w:val="18"/>
                <w:szCs w:val="18"/>
                <w:lang w:eastAsia="en-US"/>
              </w:rPr>
            </w:pPr>
            <w:r w:rsidRPr="005A69EC">
              <w:rPr>
                <w:color w:val="000000"/>
                <w:sz w:val="18"/>
                <w:szCs w:val="18"/>
                <w:lang w:eastAsia="en-US"/>
              </w:rPr>
              <w:t>16711 (96.9%)</w:t>
            </w:r>
          </w:p>
        </w:tc>
        <w:tc>
          <w:tcPr>
            <w:tcW w:w="1684" w:type="dxa"/>
            <w:tcBorders>
              <w:right w:val="single" w:sz="4" w:space="0" w:color="auto"/>
            </w:tcBorders>
            <w:hideMark/>
          </w:tcPr>
          <w:p w14:paraId="62F5B513" w14:textId="77777777" w:rsidR="008052DC" w:rsidRPr="005A69EC" w:rsidRDefault="008052DC" w:rsidP="004862CF">
            <w:pPr>
              <w:rPr>
                <w:color w:val="000000"/>
                <w:sz w:val="18"/>
                <w:szCs w:val="18"/>
                <w:lang w:eastAsia="en-US"/>
              </w:rPr>
            </w:pPr>
            <w:r w:rsidRPr="005A69EC">
              <w:rPr>
                <w:color w:val="000000"/>
                <w:sz w:val="18"/>
                <w:szCs w:val="18"/>
                <w:lang w:eastAsia="en-US"/>
              </w:rPr>
              <w:t>20647 (85.6%)</w:t>
            </w:r>
          </w:p>
        </w:tc>
      </w:tr>
      <w:tr w:rsidR="008052DC" w:rsidRPr="005A69EC" w14:paraId="74F9A89D" w14:textId="77777777" w:rsidTr="004862CF">
        <w:trPr>
          <w:trHeight w:val="424"/>
        </w:trPr>
        <w:tc>
          <w:tcPr>
            <w:tcW w:w="2675" w:type="dxa"/>
            <w:hideMark/>
          </w:tcPr>
          <w:p w14:paraId="6C86C725" w14:textId="77777777" w:rsidR="008052DC" w:rsidRPr="005A69EC" w:rsidRDefault="008052DC" w:rsidP="004862CF">
            <w:pPr>
              <w:rPr>
                <w:color w:val="000000"/>
                <w:sz w:val="18"/>
                <w:szCs w:val="18"/>
                <w:lang w:eastAsia="en-US"/>
              </w:rPr>
            </w:pPr>
            <w:r w:rsidRPr="005A69EC">
              <w:rPr>
                <w:color w:val="000000"/>
                <w:sz w:val="18"/>
                <w:szCs w:val="18"/>
                <w:lang w:eastAsia="en-US"/>
              </w:rPr>
              <w:t>Died between discharge and 30 days follow-up</w:t>
            </w:r>
          </w:p>
        </w:tc>
        <w:tc>
          <w:tcPr>
            <w:tcW w:w="1684" w:type="dxa"/>
            <w:tcBorders>
              <w:right w:val="double" w:sz="4" w:space="0" w:color="auto"/>
            </w:tcBorders>
            <w:hideMark/>
          </w:tcPr>
          <w:p w14:paraId="0992C916" w14:textId="77777777" w:rsidR="008052DC" w:rsidRPr="005A69EC" w:rsidRDefault="008052DC" w:rsidP="004862CF">
            <w:pPr>
              <w:rPr>
                <w:color w:val="000000"/>
                <w:sz w:val="18"/>
                <w:szCs w:val="18"/>
                <w:lang w:eastAsia="en-US"/>
              </w:rPr>
            </w:pPr>
            <w:r w:rsidRPr="005A69EC">
              <w:rPr>
                <w:color w:val="000000"/>
                <w:sz w:val="18"/>
                <w:szCs w:val="18"/>
                <w:lang w:eastAsia="en-US"/>
              </w:rPr>
              <w:t>4426 (6.6%)</w:t>
            </w:r>
          </w:p>
        </w:tc>
        <w:tc>
          <w:tcPr>
            <w:tcW w:w="1684" w:type="dxa"/>
            <w:tcBorders>
              <w:left w:val="double" w:sz="4" w:space="0" w:color="auto"/>
            </w:tcBorders>
            <w:hideMark/>
          </w:tcPr>
          <w:p w14:paraId="5F390105" w14:textId="77777777" w:rsidR="008052DC" w:rsidRPr="005A69EC" w:rsidRDefault="008052DC" w:rsidP="004862CF">
            <w:pPr>
              <w:rPr>
                <w:color w:val="000000"/>
                <w:sz w:val="18"/>
                <w:szCs w:val="18"/>
                <w:lang w:eastAsia="en-US"/>
              </w:rPr>
            </w:pPr>
            <w:r w:rsidRPr="005A69EC">
              <w:rPr>
                <w:color w:val="000000"/>
                <w:sz w:val="18"/>
                <w:szCs w:val="18"/>
                <w:lang w:eastAsia="en-US"/>
              </w:rPr>
              <w:t>425 (1.6%)</w:t>
            </w:r>
          </w:p>
        </w:tc>
        <w:tc>
          <w:tcPr>
            <w:tcW w:w="1684" w:type="dxa"/>
            <w:hideMark/>
          </w:tcPr>
          <w:p w14:paraId="28E90737" w14:textId="77777777" w:rsidR="008052DC" w:rsidRPr="005A69EC" w:rsidRDefault="008052DC" w:rsidP="004862CF">
            <w:pPr>
              <w:rPr>
                <w:color w:val="000000"/>
                <w:sz w:val="18"/>
                <w:szCs w:val="18"/>
                <w:lang w:eastAsia="en-US"/>
              </w:rPr>
            </w:pPr>
            <w:r w:rsidRPr="005A69EC">
              <w:rPr>
                <w:color w:val="000000"/>
                <w:sz w:val="18"/>
                <w:szCs w:val="18"/>
                <w:lang w:eastAsia="en-US"/>
              </w:rPr>
              <w:t>526 (3.1%)</w:t>
            </w:r>
          </w:p>
        </w:tc>
        <w:tc>
          <w:tcPr>
            <w:tcW w:w="1684" w:type="dxa"/>
            <w:tcBorders>
              <w:right w:val="single" w:sz="4" w:space="0" w:color="auto"/>
            </w:tcBorders>
            <w:hideMark/>
          </w:tcPr>
          <w:p w14:paraId="0EC6A020" w14:textId="77777777" w:rsidR="008052DC" w:rsidRPr="005A69EC" w:rsidRDefault="008052DC" w:rsidP="004862CF">
            <w:pPr>
              <w:rPr>
                <w:color w:val="000000"/>
                <w:sz w:val="18"/>
                <w:szCs w:val="18"/>
                <w:lang w:eastAsia="en-US"/>
              </w:rPr>
            </w:pPr>
            <w:r w:rsidRPr="005A69EC">
              <w:rPr>
                <w:color w:val="000000"/>
                <w:sz w:val="18"/>
                <w:szCs w:val="18"/>
                <w:lang w:eastAsia="en-US"/>
              </w:rPr>
              <w:t>3475 (14.4%)</w:t>
            </w:r>
          </w:p>
        </w:tc>
      </w:tr>
      <w:tr w:rsidR="008052DC" w:rsidRPr="005A69EC" w14:paraId="639D327A" w14:textId="77777777" w:rsidTr="004862CF">
        <w:trPr>
          <w:trHeight w:val="184"/>
        </w:trPr>
        <w:tc>
          <w:tcPr>
            <w:tcW w:w="9412" w:type="dxa"/>
            <w:gridSpan w:val="5"/>
            <w:tcBorders>
              <w:right w:val="single" w:sz="4" w:space="0" w:color="auto"/>
            </w:tcBorders>
            <w:hideMark/>
          </w:tcPr>
          <w:p w14:paraId="28C689B2" w14:textId="77777777" w:rsidR="008052DC" w:rsidRPr="00795C53" w:rsidRDefault="008052DC" w:rsidP="004862CF">
            <w:pPr>
              <w:rPr>
                <w:b/>
                <w:color w:val="000000"/>
                <w:sz w:val="18"/>
                <w:szCs w:val="18"/>
                <w:lang w:eastAsia="en-US"/>
              </w:rPr>
            </w:pPr>
            <w:r w:rsidRPr="00795C53">
              <w:rPr>
                <w:b/>
                <w:color w:val="000000"/>
                <w:sz w:val="18"/>
                <w:szCs w:val="18"/>
                <w:lang w:eastAsia="en-US"/>
              </w:rPr>
              <w:t>Patients who died within 60 days or had at least 60 days follow-up</w:t>
            </w:r>
          </w:p>
        </w:tc>
      </w:tr>
      <w:tr w:rsidR="008052DC" w:rsidRPr="005A69EC" w14:paraId="247A8442" w14:textId="77777777" w:rsidTr="004862CF">
        <w:trPr>
          <w:trHeight w:val="212"/>
        </w:trPr>
        <w:tc>
          <w:tcPr>
            <w:tcW w:w="2675" w:type="dxa"/>
            <w:hideMark/>
          </w:tcPr>
          <w:p w14:paraId="20A650BB" w14:textId="77777777" w:rsidR="008052DC" w:rsidRPr="005A69EC" w:rsidRDefault="008052DC" w:rsidP="004862CF">
            <w:pPr>
              <w:rPr>
                <w:color w:val="000000"/>
                <w:sz w:val="18"/>
                <w:szCs w:val="18"/>
                <w:lang w:eastAsia="en-US"/>
              </w:rPr>
            </w:pPr>
            <w:r w:rsidRPr="005A69EC">
              <w:rPr>
                <w:color w:val="000000"/>
                <w:sz w:val="18"/>
                <w:szCs w:val="18"/>
                <w:lang w:eastAsia="en-US"/>
              </w:rPr>
              <w:t>Did not die within 60 days follow-up</w:t>
            </w:r>
          </w:p>
        </w:tc>
        <w:tc>
          <w:tcPr>
            <w:tcW w:w="1684" w:type="dxa"/>
            <w:tcBorders>
              <w:right w:val="double" w:sz="4" w:space="0" w:color="auto"/>
            </w:tcBorders>
            <w:hideMark/>
          </w:tcPr>
          <w:p w14:paraId="2773EAAE" w14:textId="77777777" w:rsidR="008052DC" w:rsidRPr="005A69EC" w:rsidRDefault="008052DC" w:rsidP="004862CF">
            <w:pPr>
              <w:rPr>
                <w:color w:val="000000"/>
                <w:sz w:val="18"/>
                <w:szCs w:val="18"/>
                <w:lang w:eastAsia="en-US"/>
              </w:rPr>
            </w:pPr>
            <w:r w:rsidRPr="005A69EC">
              <w:rPr>
                <w:color w:val="000000"/>
                <w:sz w:val="18"/>
                <w:szCs w:val="18"/>
                <w:lang w:eastAsia="en-US"/>
              </w:rPr>
              <w:t>60533 (90.0%)</w:t>
            </w:r>
          </w:p>
        </w:tc>
        <w:tc>
          <w:tcPr>
            <w:tcW w:w="1684" w:type="dxa"/>
            <w:tcBorders>
              <w:left w:val="double" w:sz="4" w:space="0" w:color="auto"/>
            </w:tcBorders>
            <w:hideMark/>
          </w:tcPr>
          <w:p w14:paraId="24FED966" w14:textId="77777777" w:rsidR="008052DC" w:rsidRPr="005A69EC" w:rsidRDefault="008052DC" w:rsidP="004862CF">
            <w:pPr>
              <w:rPr>
                <w:color w:val="000000"/>
                <w:sz w:val="18"/>
                <w:szCs w:val="18"/>
                <w:lang w:eastAsia="en-US"/>
              </w:rPr>
            </w:pPr>
            <w:r w:rsidRPr="005A69EC">
              <w:rPr>
                <w:color w:val="000000"/>
                <w:sz w:val="18"/>
                <w:szCs w:val="18"/>
                <w:lang w:eastAsia="en-US"/>
              </w:rPr>
              <w:t>25114 (96.9%)</w:t>
            </w:r>
          </w:p>
        </w:tc>
        <w:tc>
          <w:tcPr>
            <w:tcW w:w="1684" w:type="dxa"/>
            <w:hideMark/>
          </w:tcPr>
          <w:p w14:paraId="5FE6DCC5" w14:textId="77777777" w:rsidR="008052DC" w:rsidRPr="005A69EC" w:rsidRDefault="008052DC" w:rsidP="004862CF">
            <w:pPr>
              <w:rPr>
                <w:color w:val="000000"/>
                <w:sz w:val="18"/>
                <w:szCs w:val="18"/>
                <w:lang w:eastAsia="en-US"/>
              </w:rPr>
            </w:pPr>
            <w:r w:rsidRPr="005A69EC">
              <w:rPr>
                <w:color w:val="000000"/>
                <w:sz w:val="18"/>
                <w:szCs w:val="18"/>
                <w:lang w:eastAsia="en-US"/>
              </w:rPr>
              <w:t>16174 (93.9%)</w:t>
            </w:r>
          </w:p>
        </w:tc>
        <w:tc>
          <w:tcPr>
            <w:tcW w:w="1684" w:type="dxa"/>
            <w:tcBorders>
              <w:right w:val="single" w:sz="4" w:space="0" w:color="auto"/>
            </w:tcBorders>
            <w:hideMark/>
          </w:tcPr>
          <w:p w14:paraId="36B04CAE" w14:textId="77777777" w:rsidR="008052DC" w:rsidRPr="005A69EC" w:rsidRDefault="008052DC" w:rsidP="004862CF">
            <w:pPr>
              <w:rPr>
                <w:color w:val="000000"/>
                <w:sz w:val="18"/>
                <w:szCs w:val="18"/>
                <w:lang w:eastAsia="en-US"/>
              </w:rPr>
            </w:pPr>
            <w:r w:rsidRPr="005A69EC">
              <w:rPr>
                <w:color w:val="000000"/>
                <w:sz w:val="18"/>
                <w:szCs w:val="18"/>
                <w:lang w:eastAsia="en-US"/>
              </w:rPr>
              <w:t>19245 (79.9%)</w:t>
            </w:r>
          </w:p>
        </w:tc>
      </w:tr>
      <w:tr w:rsidR="008052DC" w:rsidRPr="005A69EC" w14:paraId="15B5F0A2" w14:textId="77777777" w:rsidTr="004862CF">
        <w:trPr>
          <w:trHeight w:val="424"/>
        </w:trPr>
        <w:tc>
          <w:tcPr>
            <w:tcW w:w="2675" w:type="dxa"/>
            <w:hideMark/>
          </w:tcPr>
          <w:p w14:paraId="0B3091AD" w14:textId="77777777" w:rsidR="008052DC" w:rsidRPr="005A69EC" w:rsidRDefault="008052DC" w:rsidP="004862CF">
            <w:pPr>
              <w:rPr>
                <w:color w:val="000000"/>
                <w:sz w:val="18"/>
                <w:szCs w:val="18"/>
                <w:lang w:eastAsia="en-US"/>
              </w:rPr>
            </w:pPr>
            <w:r w:rsidRPr="005A69EC">
              <w:rPr>
                <w:color w:val="000000"/>
                <w:sz w:val="18"/>
                <w:szCs w:val="18"/>
                <w:lang w:eastAsia="en-US"/>
              </w:rPr>
              <w:t>Died between discharge and 60 days follow-up</w:t>
            </w:r>
          </w:p>
        </w:tc>
        <w:tc>
          <w:tcPr>
            <w:tcW w:w="1684" w:type="dxa"/>
            <w:tcBorders>
              <w:right w:val="double" w:sz="4" w:space="0" w:color="auto"/>
            </w:tcBorders>
            <w:hideMark/>
          </w:tcPr>
          <w:p w14:paraId="61514814" w14:textId="77777777" w:rsidR="008052DC" w:rsidRPr="005A69EC" w:rsidRDefault="008052DC" w:rsidP="004862CF">
            <w:pPr>
              <w:rPr>
                <w:color w:val="000000"/>
                <w:sz w:val="18"/>
                <w:szCs w:val="18"/>
                <w:lang w:eastAsia="en-US"/>
              </w:rPr>
            </w:pPr>
            <w:r w:rsidRPr="005A69EC">
              <w:rPr>
                <w:color w:val="000000"/>
                <w:sz w:val="18"/>
                <w:szCs w:val="18"/>
                <w:lang w:eastAsia="en-US"/>
              </w:rPr>
              <w:t>6711 (10.0%)</w:t>
            </w:r>
          </w:p>
        </w:tc>
        <w:tc>
          <w:tcPr>
            <w:tcW w:w="1684" w:type="dxa"/>
            <w:tcBorders>
              <w:left w:val="double" w:sz="4" w:space="0" w:color="auto"/>
            </w:tcBorders>
            <w:hideMark/>
          </w:tcPr>
          <w:p w14:paraId="064703E1" w14:textId="77777777" w:rsidR="008052DC" w:rsidRPr="005A69EC" w:rsidRDefault="008052DC" w:rsidP="004862CF">
            <w:pPr>
              <w:rPr>
                <w:color w:val="000000"/>
                <w:sz w:val="18"/>
                <w:szCs w:val="18"/>
                <w:lang w:eastAsia="en-US"/>
              </w:rPr>
            </w:pPr>
            <w:r w:rsidRPr="005A69EC">
              <w:rPr>
                <w:color w:val="000000"/>
                <w:sz w:val="18"/>
                <w:szCs w:val="18"/>
                <w:lang w:eastAsia="en-US"/>
              </w:rPr>
              <w:t>810 (3.1%)</w:t>
            </w:r>
          </w:p>
        </w:tc>
        <w:tc>
          <w:tcPr>
            <w:tcW w:w="1684" w:type="dxa"/>
            <w:hideMark/>
          </w:tcPr>
          <w:p w14:paraId="6D6C95B1" w14:textId="77777777" w:rsidR="008052DC" w:rsidRPr="005A69EC" w:rsidRDefault="008052DC" w:rsidP="004862CF">
            <w:pPr>
              <w:rPr>
                <w:color w:val="000000"/>
                <w:sz w:val="18"/>
                <w:szCs w:val="18"/>
                <w:lang w:eastAsia="en-US"/>
              </w:rPr>
            </w:pPr>
            <w:r w:rsidRPr="005A69EC">
              <w:rPr>
                <w:color w:val="000000"/>
                <w:sz w:val="18"/>
                <w:szCs w:val="18"/>
                <w:lang w:eastAsia="en-US"/>
              </w:rPr>
              <w:t>1050 (6.1%)</w:t>
            </w:r>
          </w:p>
        </w:tc>
        <w:tc>
          <w:tcPr>
            <w:tcW w:w="1684" w:type="dxa"/>
            <w:tcBorders>
              <w:right w:val="single" w:sz="4" w:space="0" w:color="auto"/>
            </w:tcBorders>
            <w:hideMark/>
          </w:tcPr>
          <w:p w14:paraId="79B7A806" w14:textId="77777777" w:rsidR="008052DC" w:rsidRPr="005A69EC" w:rsidRDefault="008052DC" w:rsidP="004862CF">
            <w:pPr>
              <w:rPr>
                <w:color w:val="000000"/>
                <w:sz w:val="18"/>
                <w:szCs w:val="18"/>
                <w:lang w:eastAsia="en-US"/>
              </w:rPr>
            </w:pPr>
            <w:r w:rsidRPr="005A69EC">
              <w:rPr>
                <w:color w:val="000000"/>
                <w:sz w:val="18"/>
                <w:szCs w:val="18"/>
                <w:lang w:eastAsia="en-US"/>
              </w:rPr>
              <w:t>4851 (20.1%)</w:t>
            </w:r>
          </w:p>
        </w:tc>
      </w:tr>
      <w:tr w:rsidR="008052DC" w:rsidRPr="005A69EC" w14:paraId="640C5A68" w14:textId="77777777" w:rsidTr="004862CF">
        <w:trPr>
          <w:trHeight w:val="169"/>
        </w:trPr>
        <w:tc>
          <w:tcPr>
            <w:tcW w:w="9412" w:type="dxa"/>
            <w:gridSpan w:val="5"/>
            <w:tcBorders>
              <w:right w:val="single" w:sz="4" w:space="0" w:color="auto"/>
            </w:tcBorders>
            <w:hideMark/>
          </w:tcPr>
          <w:p w14:paraId="7FDD3377" w14:textId="77777777" w:rsidR="008052DC" w:rsidRPr="00795C53" w:rsidRDefault="008052DC" w:rsidP="004862CF">
            <w:pPr>
              <w:rPr>
                <w:b/>
                <w:color w:val="000000"/>
                <w:sz w:val="18"/>
                <w:szCs w:val="18"/>
                <w:lang w:eastAsia="en-US"/>
              </w:rPr>
            </w:pPr>
            <w:r w:rsidRPr="00795C53">
              <w:rPr>
                <w:b/>
                <w:color w:val="000000"/>
                <w:sz w:val="18"/>
                <w:szCs w:val="18"/>
                <w:lang w:eastAsia="en-US"/>
              </w:rPr>
              <w:t>Patients who died within 90 days or had at least 90 days follow-up</w:t>
            </w:r>
          </w:p>
        </w:tc>
      </w:tr>
      <w:tr w:rsidR="008052DC" w:rsidRPr="005A69EC" w14:paraId="7A9CFAE9" w14:textId="77777777" w:rsidTr="004862CF">
        <w:trPr>
          <w:trHeight w:val="212"/>
        </w:trPr>
        <w:tc>
          <w:tcPr>
            <w:tcW w:w="2675" w:type="dxa"/>
            <w:hideMark/>
          </w:tcPr>
          <w:p w14:paraId="48F5437D" w14:textId="77777777" w:rsidR="008052DC" w:rsidRPr="005A69EC" w:rsidRDefault="008052DC" w:rsidP="004862CF">
            <w:pPr>
              <w:rPr>
                <w:color w:val="000000"/>
                <w:sz w:val="18"/>
                <w:szCs w:val="18"/>
                <w:lang w:eastAsia="en-US"/>
              </w:rPr>
            </w:pPr>
            <w:r w:rsidRPr="005A69EC">
              <w:rPr>
                <w:color w:val="000000"/>
                <w:sz w:val="18"/>
                <w:szCs w:val="18"/>
                <w:lang w:eastAsia="en-US"/>
              </w:rPr>
              <w:t>Did not die within 90 days follow-up</w:t>
            </w:r>
          </w:p>
        </w:tc>
        <w:tc>
          <w:tcPr>
            <w:tcW w:w="1684" w:type="dxa"/>
            <w:tcBorders>
              <w:right w:val="double" w:sz="4" w:space="0" w:color="auto"/>
            </w:tcBorders>
            <w:hideMark/>
          </w:tcPr>
          <w:p w14:paraId="042AE7FB" w14:textId="77777777" w:rsidR="008052DC" w:rsidRPr="005A69EC" w:rsidRDefault="008052DC" w:rsidP="004862CF">
            <w:pPr>
              <w:rPr>
                <w:color w:val="000000"/>
                <w:sz w:val="18"/>
                <w:szCs w:val="18"/>
                <w:lang w:eastAsia="en-US"/>
              </w:rPr>
            </w:pPr>
            <w:r w:rsidRPr="005A69EC">
              <w:rPr>
                <w:color w:val="000000"/>
                <w:sz w:val="18"/>
                <w:szCs w:val="18"/>
                <w:lang w:eastAsia="en-US"/>
              </w:rPr>
              <w:t>58893 (87.7%)</w:t>
            </w:r>
          </w:p>
        </w:tc>
        <w:tc>
          <w:tcPr>
            <w:tcW w:w="1684" w:type="dxa"/>
            <w:tcBorders>
              <w:left w:val="double" w:sz="4" w:space="0" w:color="auto"/>
            </w:tcBorders>
            <w:hideMark/>
          </w:tcPr>
          <w:p w14:paraId="7D124C4A" w14:textId="77777777" w:rsidR="008052DC" w:rsidRPr="005A69EC" w:rsidRDefault="008052DC" w:rsidP="004862CF">
            <w:pPr>
              <w:rPr>
                <w:color w:val="000000"/>
                <w:sz w:val="18"/>
                <w:szCs w:val="18"/>
                <w:lang w:eastAsia="en-US"/>
              </w:rPr>
            </w:pPr>
            <w:r w:rsidRPr="005A69EC">
              <w:rPr>
                <w:color w:val="000000"/>
                <w:sz w:val="18"/>
                <w:szCs w:val="18"/>
                <w:lang w:eastAsia="en-US"/>
              </w:rPr>
              <w:t>24792 (95.7%)</w:t>
            </w:r>
          </w:p>
        </w:tc>
        <w:tc>
          <w:tcPr>
            <w:tcW w:w="1684" w:type="dxa"/>
            <w:hideMark/>
          </w:tcPr>
          <w:p w14:paraId="4205B75B" w14:textId="77777777" w:rsidR="008052DC" w:rsidRPr="005A69EC" w:rsidRDefault="008052DC" w:rsidP="004862CF">
            <w:pPr>
              <w:rPr>
                <w:color w:val="000000"/>
                <w:sz w:val="18"/>
                <w:szCs w:val="18"/>
                <w:lang w:eastAsia="en-US"/>
              </w:rPr>
            </w:pPr>
            <w:r w:rsidRPr="005A69EC">
              <w:rPr>
                <w:color w:val="000000"/>
                <w:sz w:val="18"/>
                <w:szCs w:val="18"/>
                <w:lang w:eastAsia="en-US"/>
              </w:rPr>
              <w:t>15842 (92.1%)</w:t>
            </w:r>
          </w:p>
        </w:tc>
        <w:tc>
          <w:tcPr>
            <w:tcW w:w="1684" w:type="dxa"/>
            <w:tcBorders>
              <w:right w:val="single" w:sz="4" w:space="0" w:color="auto"/>
            </w:tcBorders>
            <w:hideMark/>
          </w:tcPr>
          <w:p w14:paraId="7057FD4A" w14:textId="77777777" w:rsidR="008052DC" w:rsidRPr="005A69EC" w:rsidRDefault="008052DC" w:rsidP="004862CF">
            <w:pPr>
              <w:rPr>
                <w:color w:val="000000"/>
                <w:sz w:val="18"/>
                <w:szCs w:val="18"/>
                <w:lang w:eastAsia="en-US"/>
              </w:rPr>
            </w:pPr>
            <w:r w:rsidRPr="005A69EC">
              <w:rPr>
                <w:color w:val="000000"/>
                <w:sz w:val="18"/>
                <w:szCs w:val="18"/>
                <w:lang w:eastAsia="en-US"/>
              </w:rPr>
              <w:t>18259 (75.9%)</w:t>
            </w:r>
          </w:p>
        </w:tc>
      </w:tr>
      <w:tr w:rsidR="008052DC" w:rsidRPr="005A69EC" w14:paraId="25FD474F" w14:textId="77777777" w:rsidTr="004862CF">
        <w:trPr>
          <w:trHeight w:val="424"/>
        </w:trPr>
        <w:tc>
          <w:tcPr>
            <w:tcW w:w="2675" w:type="dxa"/>
            <w:hideMark/>
          </w:tcPr>
          <w:p w14:paraId="7352C696" w14:textId="77777777" w:rsidR="008052DC" w:rsidRPr="005A69EC" w:rsidRDefault="008052DC" w:rsidP="004862CF">
            <w:pPr>
              <w:rPr>
                <w:color w:val="000000"/>
                <w:sz w:val="18"/>
                <w:szCs w:val="18"/>
                <w:lang w:eastAsia="en-US"/>
              </w:rPr>
            </w:pPr>
            <w:r w:rsidRPr="005A69EC">
              <w:rPr>
                <w:color w:val="000000"/>
                <w:sz w:val="18"/>
                <w:szCs w:val="18"/>
                <w:lang w:eastAsia="en-US"/>
              </w:rPr>
              <w:t>Died between discharge and 90 days follow-up</w:t>
            </w:r>
          </w:p>
        </w:tc>
        <w:tc>
          <w:tcPr>
            <w:tcW w:w="1684" w:type="dxa"/>
            <w:tcBorders>
              <w:right w:val="double" w:sz="4" w:space="0" w:color="auto"/>
            </w:tcBorders>
            <w:hideMark/>
          </w:tcPr>
          <w:p w14:paraId="499951C4" w14:textId="77777777" w:rsidR="008052DC" w:rsidRPr="005A69EC" w:rsidRDefault="008052DC" w:rsidP="004862CF">
            <w:pPr>
              <w:rPr>
                <w:color w:val="000000"/>
                <w:sz w:val="18"/>
                <w:szCs w:val="18"/>
                <w:lang w:eastAsia="en-US"/>
              </w:rPr>
            </w:pPr>
            <w:r w:rsidRPr="005A69EC">
              <w:rPr>
                <w:color w:val="000000"/>
                <w:sz w:val="18"/>
                <w:szCs w:val="18"/>
                <w:lang w:eastAsia="en-US"/>
              </w:rPr>
              <w:t>8279 (12.3%)</w:t>
            </w:r>
          </w:p>
        </w:tc>
        <w:tc>
          <w:tcPr>
            <w:tcW w:w="1684" w:type="dxa"/>
            <w:tcBorders>
              <w:left w:val="double" w:sz="4" w:space="0" w:color="auto"/>
            </w:tcBorders>
            <w:hideMark/>
          </w:tcPr>
          <w:p w14:paraId="19E2ADFD" w14:textId="77777777" w:rsidR="008052DC" w:rsidRPr="005A69EC" w:rsidRDefault="008052DC" w:rsidP="004862CF">
            <w:pPr>
              <w:rPr>
                <w:color w:val="000000"/>
                <w:sz w:val="18"/>
                <w:szCs w:val="18"/>
                <w:lang w:eastAsia="en-US"/>
              </w:rPr>
            </w:pPr>
            <w:r w:rsidRPr="005A69EC">
              <w:rPr>
                <w:color w:val="000000"/>
                <w:sz w:val="18"/>
                <w:szCs w:val="18"/>
                <w:lang w:eastAsia="en-US"/>
              </w:rPr>
              <w:t>1114 (4.3%)</w:t>
            </w:r>
          </w:p>
        </w:tc>
        <w:tc>
          <w:tcPr>
            <w:tcW w:w="1684" w:type="dxa"/>
            <w:hideMark/>
          </w:tcPr>
          <w:p w14:paraId="283977F6" w14:textId="77777777" w:rsidR="008052DC" w:rsidRPr="005A69EC" w:rsidRDefault="008052DC" w:rsidP="004862CF">
            <w:pPr>
              <w:rPr>
                <w:color w:val="000000"/>
                <w:sz w:val="18"/>
                <w:szCs w:val="18"/>
                <w:lang w:eastAsia="en-US"/>
              </w:rPr>
            </w:pPr>
            <w:r w:rsidRPr="005A69EC">
              <w:rPr>
                <w:color w:val="000000"/>
                <w:sz w:val="18"/>
                <w:szCs w:val="18"/>
                <w:lang w:eastAsia="en-US"/>
              </w:rPr>
              <w:t>1365 (7.9%)</w:t>
            </w:r>
          </w:p>
        </w:tc>
        <w:tc>
          <w:tcPr>
            <w:tcW w:w="1684" w:type="dxa"/>
            <w:tcBorders>
              <w:right w:val="single" w:sz="4" w:space="0" w:color="auto"/>
            </w:tcBorders>
            <w:hideMark/>
          </w:tcPr>
          <w:p w14:paraId="3FBBE2EC" w14:textId="77777777" w:rsidR="008052DC" w:rsidRPr="005A69EC" w:rsidRDefault="008052DC" w:rsidP="004862CF">
            <w:pPr>
              <w:rPr>
                <w:color w:val="000000"/>
                <w:sz w:val="18"/>
                <w:szCs w:val="18"/>
                <w:lang w:eastAsia="en-US"/>
              </w:rPr>
            </w:pPr>
            <w:r w:rsidRPr="005A69EC">
              <w:rPr>
                <w:color w:val="000000"/>
                <w:sz w:val="18"/>
                <w:szCs w:val="18"/>
                <w:lang w:eastAsia="en-US"/>
              </w:rPr>
              <w:t>5800 (24.1%)</w:t>
            </w:r>
          </w:p>
        </w:tc>
      </w:tr>
      <w:tr w:rsidR="008052DC" w:rsidRPr="005A69EC" w14:paraId="66F17545" w14:textId="77777777" w:rsidTr="004862CF">
        <w:trPr>
          <w:trHeight w:val="161"/>
        </w:trPr>
        <w:tc>
          <w:tcPr>
            <w:tcW w:w="9412" w:type="dxa"/>
            <w:gridSpan w:val="5"/>
            <w:tcBorders>
              <w:right w:val="single" w:sz="4" w:space="0" w:color="auto"/>
            </w:tcBorders>
            <w:hideMark/>
          </w:tcPr>
          <w:p w14:paraId="00A577CC" w14:textId="77777777" w:rsidR="008052DC" w:rsidRPr="00795C53" w:rsidRDefault="008052DC" w:rsidP="004862CF">
            <w:pPr>
              <w:rPr>
                <w:b/>
                <w:color w:val="000000"/>
                <w:sz w:val="18"/>
                <w:szCs w:val="18"/>
                <w:lang w:eastAsia="en-US"/>
              </w:rPr>
            </w:pPr>
            <w:r w:rsidRPr="00795C53">
              <w:rPr>
                <w:b/>
                <w:color w:val="000000"/>
                <w:sz w:val="18"/>
                <w:szCs w:val="18"/>
                <w:lang w:eastAsia="en-US"/>
              </w:rPr>
              <w:t>Patients who died within 180 days or had at least 180 days follow-up</w:t>
            </w:r>
          </w:p>
        </w:tc>
      </w:tr>
      <w:tr w:rsidR="008052DC" w:rsidRPr="005A69EC" w14:paraId="24B3D708" w14:textId="77777777" w:rsidTr="004862CF">
        <w:trPr>
          <w:trHeight w:val="212"/>
        </w:trPr>
        <w:tc>
          <w:tcPr>
            <w:tcW w:w="2675" w:type="dxa"/>
            <w:hideMark/>
          </w:tcPr>
          <w:p w14:paraId="582CBFB1" w14:textId="77777777" w:rsidR="008052DC" w:rsidRPr="005A69EC" w:rsidRDefault="008052DC" w:rsidP="004862CF">
            <w:pPr>
              <w:rPr>
                <w:color w:val="000000"/>
                <w:sz w:val="18"/>
                <w:szCs w:val="18"/>
                <w:lang w:eastAsia="en-US"/>
              </w:rPr>
            </w:pPr>
            <w:r w:rsidRPr="005A69EC">
              <w:rPr>
                <w:color w:val="000000"/>
                <w:sz w:val="18"/>
                <w:szCs w:val="18"/>
                <w:lang w:eastAsia="en-US"/>
              </w:rPr>
              <w:t>Did not die within 180 days follow-up</w:t>
            </w:r>
          </w:p>
        </w:tc>
        <w:tc>
          <w:tcPr>
            <w:tcW w:w="1684" w:type="dxa"/>
            <w:tcBorders>
              <w:right w:val="double" w:sz="4" w:space="0" w:color="auto"/>
            </w:tcBorders>
            <w:hideMark/>
          </w:tcPr>
          <w:p w14:paraId="47C2D69F" w14:textId="77777777" w:rsidR="008052DC" w:rsidRPr="005A69EC" w:rsidRDefault="008052DC" w:rsidP="004862CF">
            <w:pPr>
              <w:rPr>
                <w:color w:val="000000"/>
                <w:sz w:val="18"/>
                <w:szCs w:val="18"/>
                <w:lang w:eastAsia="en-US"/>
              </w:rPr>
            </w:pPr>
            <w:r w:rsidRPr="005A69EC">
              <w:rPr>
                <w:color w:val="000000"/>
                <w:sz w:val="18"/>
                <w:szCs w:val="18"/>
                <w:lang w:eastAsia="en-US"/>
              </w:rPr>
              <w:t>55154 (82.6%)</w:t>
            </w:r>
          </w:p>
        </w:tc>
        <w:tc>
          <w:tcPr>
            <w:tcW w:w="1684" w:type="dxa"/>
            <w:tcBorders>
              <w:left w:val="double" w:sz="4" w:space="0" w:color="auto"/>
            </w:tcBorders>
            <w:hideMark/>
          </w:tcPr>
          <w:p w14:paraId="18B06C21" w14:textId="77777777" w:rsidR="008052DC" w:rsidRPr="005A69EC" w:rsidRDefault="008052DC" w:rsidP="004862CF">
            <w:pPr>
              <w:rPr>
                <w:color w:val="000000"/>
                <w:sz w:val="18"/>
                <w:szCs w:val="18"/>
                <w:lang w:eastAsia="en-US"/>
              </w:rPr>
            </w:pPr>
            <w:r w:rsidRPr="005A69EC">
              <w:rPr>
                <w:color w:val="000000"/>
                <w:sz w:val="18"/>
                <w:szCs w:val="18"/>
                <w:lang w:eastAsia="en-US"/>
              </w:rPr>
              <w:t>23974 (92.9%)</w:t>
            </w:r>
          </w:p>
        </w:tc>
        <w:tc>
          <w:tcPr>
            <w:tcW w:w="1684" w:type="dxa"/>
            <w:hideMark/>
          </w:tcPr>
          <w:p w14:paraId="4330E3B6" w14:textId="77777777" w:rsidR="008052DC" w:rsidRPr="005A69EC" w:rsidRDefault="008052DC" w:rsidP="004862CF">
            <w:pPr>
              <w:rPr>
                <w:color w:val="000000"/>
                <w:sz w:val="18"/>
                <w:szCs w:val="18"/>
                <w:lang w:eastAsia="en-US"/>
              </w:rPr>
            </w:pPr>
            <w:r w:rsidRPr="005A69EC">
              <w:rPr>
                <w:color w:val="000000"/>
                <w:sz w:val="18"/>
                <w:szCs w:val="18"/>
                <w:lang w:eastAsia="en-US"/>
              </w:rPr>
              <w:t>14887 (87.0%)</w:t>
            </w:r>
          </w:p>
        </w:tc>
        <w:tc>
          <w:tcPr>
            <w:tcW w:w="1684" w:type="dxa"/>
            <w:tcBorders>
              <w:right w:val="single" w:sz="4" w:space="0" w:color="auto"/>
            </w:tcBorders>
            <w:hideMark/>
          </w:tcPr>
          <w:p w14:paraId="459CA006" w14:textId="77777777" w:rsidR="008052DC" w:rsidRPr="005A69EC" w:rsidRDefault="008052DC" w:rsidP="004862CF">
            <w:pPr>
              <w:rPr>
                <w:color w:val="000000"/>
                <w:sz w:val="18"/>
                <w:szCs w:val="18"/>
                <w:lang w:eastAsia="en-US"/>
              </w:rPr>
            </w:pPr>
            <w:r w:rsidRPr="005A69EC">
              <w:rPr>
                <w:color w:val="000000"/>
                <w:sz w:val="18"/>
                <w:szCs w:val="18"/>
                <w:lang w:eastAsia="en-US"/>
              </w:rPr>
              <w:t>16293 (68.2%)</w:t>
            </w:r>
          </w:p>
        </w:tc>
      </w:tr>
      <w:tr w:rsidR="008052DC" w:rsidRPr="005A69EC" w14:paraId="1446E634" w14:textId="77777777" w:rsidTr="004862CF">
        <w:trPr>
          <w:trHeight w:val="433"/>
        </w:trPr>
        <w:tc>
          <w:tcPr>
            <w:tcW w:w="2675" w:type="dxa"/>
            <w:hideMark/>
          </w:tcPr>
          <w:p w14:paraId="224D0102" w14:textId="77777777" w:rsidR="008052DC" w:rsidRPr="005A69EC" w:rsidRDefault="008052DC" w:rsidP="004862CF">
            <w:pPr>
              <w:rPr>
                <w:color w:val="000000"/>
                <w:sz w:val="18"/>
                <w:szCs w:val="18"/>
                <w:lang w:eastAsia="en-US"/>
              </w:rPr>
            </w:pPr>
            <w:r w:rsidRPr="005A69EC">
              <w:rPr>
                <w:color w:val="000000"/>
                <w:sz w:val="18"/>
                <w:szCs w:val="18"/>
                <w:lang w:eastAsia="en-US"/>
              </w:rPr>
              <w:t>Died between discharge and 180 days follow-up</w:t>
            </w:r>
          </w:p>
        </w:tc>
        <w:tc>
          <w:tcPr>
            <w:tcW w:w="1684" w:type="dxa"/>
            <w:tcBorders>
              <w:right w:val="double" w:sz="4" w:space="0" w:color="auto"/>
            </w:tcBorders>
            <w:hideMark/>
          </w:tcPr>
          <w:p w14:paraId="7F2C7EEB" w14:textId="77777777" w:rsidR="008052DC" w:rsidRPr="005A69EC" w:rsidRDefault="008052DC" w:rsidP="004862CF">
            <w:pPr>
              <w:rPr>
                <w:color w:val="000000"/>
                <w:sz w:val="18"/>
                <w:szCs w:val="18"/>
                <w:lang w:eastAsia="en-US"/>
              </w:rPr>
            </w:pPr>
            <w:r w:rsidRPr="005A69EC">
              <w:rPr>
                <w:color w:val="000000"/>
                <w:sz w:val="18"/>
                <w:szCs w:val="18"/>
                <w:lang w:eastAsia="en-US"/>
              </w:rPr>
              <w:t>11658 (17.4%)</w:t>
            </w:r>
          </w:p>
        </w:tc>
        <w:tc>
          <w:tcPr>
            <w:tcW w:w="1684" w:type="dxa"/>
            <w:tcBorders>
              <w:left w:val="double" w:sz="4" w:space="0" w:color="auto"/>
            </w:tcBorders>
            <w:hideMark/>
          </w:tcPr>
          <w:p w14:paraId="690DEB5D" w14:textId="77777777" w:rsidR="008052DC" w:rsidRPr="001C102D" w:rsidRDefault="008052DC" w:rsidP="004862CF">
            <w:pPr>
              <w:rPr>
                <w:color w:val="000000"/>
                <w:sz w:val="18"/>
                <w:szCs w:val="18"/>
                <w:lang w:eastAsia="en-US"/>
              </w:rPr>
            </w:pPr>
            <w:r>
              <w:rPr>
                <w:color w:val="000000"/>
                <w:sz w:val="18"/>
                <w:szCs w:val="18"/>
                <w:lang w:eastAsia="en-US"/>
              </w:rPr>
              <w:t xml:space="preserve">1838 </w:t>
            </w:r>
            <w:r w:rsidRPr="001C102D">
              <w:rPr>
                <w:color w:val="000000"/>
                <w:sz w:val="18"/>
                <w:szCs w:val="18"/>
                <w:lang w:eastAsia="en-US"/>
              </w:rPr>
              <w:t>(7.1%)</w:t>
            </w:r>
          </w:p>
        </w:tc>
        <w:tc>
          <w:tcPr>
            <w:tcW w:w="1684" w:type="dxa"/>
            <w:hideMark/>
          </w:tcPr>
          <w:p w14:paraId="560B4180" w14:textId="77777777" w:rsidR="008052DC" w:rsidRPr="001C102D" w:rsidRDefault="008052DC" w:rsidP="004862CF">
            <w:pPr>
              <w:rPr>
                <w:color w:val="000000"/>
                <w:sz w:val="18"/>
                <w:szCs w:val="18"/>
                <w:lang w:eastAsia="en-US"/>
              </w:rPr>
            </w:pPr>
            <w:r>
              <w:rPr>
                <w:color w:val="000000"/>
                <w:sz w:val="18"/>
                <w:szCs w:val="18"/>
                <w:lang w:eastAsia="en-US"/>
              </w:rPr>
              <w:t xml:space="preserve">2227 </w:t>
            </w:r>
            <w:r w:rsidRPr="001C102D">
              <w:rPr>
                <w:color w:val="000000"/>
                <w:sz w:val="18"/>
                <w:szCs w:val="18"/>
                <w:lang w:eastAsia="en-US"/>
              </w:rPr>
              <w:t>(13.0%)</w:t>
            </w:r>
          </w:p>
        </w:tc>
        <w:tc>
          <w:tcPr>
            <w:tcW w:w="1684" w:type="dxa"/>
            <w:tcBorders>
              <w:right w:val="single" w:sz="4" w:space="0" w:color="auto"/>
            </w:tcBorders>
            <w:hideMark/>
          </w:tcPr>
          <w:p w14:paraId="08DCA8DD" w14:textId="77777777" w:rsidR="008052DC" w:rsidRPr="001C102D" w:rsidRDefault="008052DC" w:rsidP="004862CF">
            <w:pPr>
              <w:rPr>
                <w:color w:val="000000"/>
                <w:sz w:val="18"/>
                <w:szCs w:val="18"/>
                <w:lang w:eastAsia="en-US"/>
              </w:rPr>
            </w:pPr>
            <w:r>
              <w:rPr>
                <w:color w:val="000000"/>
                <w:sz w:val="18"/>
                <w:szCs w:val="18"/>
                <w:lang w:eastAsia="en-US"/>
              </w:rPr>
              <w:t xml:space="preserve">7593 </w:t>
            </w:r>
            <w:r w:rsidRPr="001C102D">
              <w:rPr>
                <w:color w:val="000000"/>
                <w:sz w:val="18"/>
                <w:szCs w:val="18"/>
                <w:lang w:eastAsia="en-US"/>
              </w:rPr>
              <w:t>(31.8%)</w:t>
            </w:r>
          </w:p>
        </w:tc>
      </w:tr>
    </w:tbl>
    <w:p w14:paraId="7EFA0A0A" w14:textId="77777777" w:rsidR="008052DC" w:rsidRDefault="008052DC" w:rsidP="008052DC">
      <w:pPr>
        <w:spacing w:after="60" w:line="278" w:lineRule="auto"/>
        <w:rPr>
          <w:sz w:val="16"/>
          <w:szCs w:val="16"/>
        </w:rPr>
      </w:pPr>
      <w:r>
        <w:rPr>
          <w:sz w:val="16"/>
          <w:szCs w:val="16"/>
        </w:rPr>
        <w:t xml:space="preserve">Note: </w:t>
      </w:r>
      <w:r w:rsidRPr="00A33D5A">
        <w:rPr>
          <w:sz w:val="16"/>
          <w:szCs w:val="16"/>
        </w:rPr>
        <w:t>Mortality is reported as a percentage of those who had the full amount of follow up time at each period of interest (30, 60, 90, and 180 days) and those that died within said period of interest</w:t>
      </w:r>
      <w:r>
        <w:rPr>
          <w:sz w:val="16"/>
          <w:szCs w:val="16"/>
        </w:rPr>
        <w:t xml:space="preserve">. Rates at each </w:t>
      </w:r>
      <w:proofErr w:type="gramStart"/>
      <w:r>
        <w:rPr>
          <w:sz w:val="16"/>
          <w:szCs w:val="16"/>
        </w:rPr>
        <w:t>time period</w:t>
      </w:r>
      <w:proofErr w:type="gramEnd"/>
      <w:r>
        <w:rPr>
          <w:sz w:val="16"/>
          <w:szCs w:val="16"/>
        </w:rPr>
        <w:t xml:space="preserve"> are cumulative.</w:t>
      </w:r>
    </w:p>
    <w:p w14:paraId="773FCB02" w14:textId="646FFF02" w:rsidR="003053C0" w:rsidRPr="008052DC" w:rsidRDefault="008052DC" w:rsidP="003053C0">
      <w:pPr>
        <w:pStyle w:val="ListParagraph"/>
        <w:numPr>
          <w:ilvl w:val="0"/>
          <w:numId w:val="11"/>
        </w:numPr>
        <w:spacing w:line="480" w:lineRule="auto"/>
        <w:ind w:left="360"/>
        <w:jc w:val="both"/>
      </w:pPr>
      <w:r w:rsidRPr="0072708B">
        <w:rPr>
          <w:sz w:val="16"/>
          <w:szCs w:val="16"/>
        </w:rPr>
        <w:t>Any healthcare facility included: skilled nursing facilities, inpatient rehabilitation facilities, hospice, intermediate care facilities, long-term care hospitals, psychiatric inpatient unit, and other types of health care institutions.</w:t>
      </w:r>
    </w:p>
    <w:p w14:paraId="63B8FC36" w14:textId="736199CA" w:rsidR="003053C0" w:rsidRDefault="003053C0">
      <w:pPr>
        <w:rPr>
          <w:sz w:val="16"/>
          <w:szCs w:val="16"/>
        </w:rPr>
      </w:pPr>
      <w:r>
        <w:rPr>
          <w:sz w:val="16"/>
          <w:szCs w:val="16"/>
        </w:rPr>
        <w:br w:type="page"/>
      </w:r>
    </w:p>
    <w:p w14:paraId="3796EB82" w14:textId="375AF540" w:rsidR="008052DC" w:rsidRPr="00855B06" w:rsidRDefault="008052DC" w:rsidP="008052DC">
      <w:pPr>
        <w:rPr>
          <w:b/>
          <w:sz w:val="22"/>
          <w:szCs w:val="22"/>
        </w:rPr>
      </w:pPr>
      <w:r w:rsidRPr="00855B06">
        <w:rPr>
          <w:b/>
          <w:bCs/>
          <w:sz w:val="22"/>
          <w:szCs w:val="22"/>
        </w:rPr>
        <w:t>Supplemental Table S</w:t>
      </w:r>
      <w:r>
        <w:rPr>
          <w:b/>
          <w:bCs/>
          <w:sz w:val="22"/>
          <w:szCs w:val="22"/>
        </w:rPr>
        <w:t>7</w:t>
      </w:r>
      <w:r w:rsidRPr="00855B06">
        <w:rPr>
          <w:b/>
          <w:bCs/>
          <w:sz w:val="22"/>
          <w:szCs w:val="22"/>
        </w:rPr>
        <w:t>:</w:t>
      </w:r>
      <w:r w:rsidRPr="00855B06">
        <w:rPr>
          <w:b/>
          <w:sz w:val="22"/>
          <w:szCs w:val="22"/>
        </w:rPr>
        <w:t xml:space="preserve"> </w:t>
      </w:r>
      <w:r w:rsidRPr="00855B06">
        <w:rPr>
          <w:bCs/>
          <w:sz w:val="22"/>
          <w:szCs w:val="22"/>
        </w:rPr>
        <w:t>Post-discharge care settings by facility type</w:t>
      </w:r>
    </w:p>
    <w:tbl>
      <w:tblPr>
        <w:tblStyle w:val="TableGrid"/>
        <w:tblW w:w="0" w:type="auto"/>
        <w:tblLook w:val="04A0" w:firstRow="1" w:lastRow="0" w:firstColumn="1" w:lastColumn="0" w:noHBand="0" w:noVBand="1"/>
      </w:tblPr>
      <w:tblGrid>
        <w:gridCol w:w="6878"/>
        <w:gridCol w:w="2470"/>
      </w:tblGrid>
      <w:tr w:rsidR="008052DC" w:rsidRPr="001319C1" w14:paraId="7AC54F3A" w14:textId="77777777" w:rsidTr="004862CF">
        <w:trPr>
          <w:trHeight w:val="242"/>
        </w:trPr>
        <w:tc>
          <w:tcPr>
            <w:tcW w:w="6878" w:type="dxa"/>
            <w:noWrap/>
            <w:hideMark/>
          </w:tcPr>
          <w:p w14:paraId="33D5B6C4" w14:textId="77777777" w:rsidR="008052DC" w:rsidRPr="001319C1" w:rsidRDefault="008052DC" w:rsidP="004862CF">
            <w:pPr>
              <w:rPr>
                <w:b/>
                <w:bCs/>
                <w:sz w:val="18"/>
                <w:szCs w:val="18"/>
              </w:rPr>
            </w:pPr>
            <w:r>
              <w:rPr>
                <w:b/>
                <w:bCs/>
                <w:sz w:val="18"/>
                <w:szCs w:val="18"/>
              </w:rPr>
              <w:t>Setting</w:t>
            </w:r>
          </w:p>
        </w:tc>
        <w:tc>
          <w:tcPr>
            <w:tcW w:w="2470" w:type="dxa"/>
            <w:hideMark/>
          </w:tcPr>
          <w:p w14:paraId="28D13D32" w14:textId="77777777" w:rsidR="008052DC" w:rsidRPr="001319C1" w:rsidRDefault="008052DC" w:rsidP="004862CF">
            <w:pPr>
              <w:rPr>
                <w:b/>
                <w:bCs/>
                <w:sz w:val="18"/>
                <w:szCs w:val="18"/>
              </w:rPr>
            </w:pPr>
            <w:r>
              <w:rPr>
                <w:b/>
                <w:bCs/>
                <w:sz w:val="18"/>
                <w:szCs w:val="18"/>
              </w:rPr>
              <w:t>Patient Count</w:t>
            </w:r>
          </w:p>
          <w:p w14:paraId="7E255F48" w14:textId="77777777" w:rsidR="008052DC" w:rsidRPr="001319C1" w:rsidRDefault="008052DC" w:rsidP="004862CF">
            <w:pPr>
              <w:rPr>
                <w:sz w:val="18"/>
                <w:szCs w:val="18"/>
              </w:rPr>
            </w:pPr>
            <w:r w:rsidRPr="5A451B13">
              <w:rPr>
                <w:sz w:val="18"/>
                <w:szCs w:val="18"/>
              </w:rPr>
              <w:t>N (%)</w:t>
            </w:r>
          </w:p>
        </w:tc>
      </w:tr>
      <w:tr w:rsidR="008052DC" w:rsidRPr="001319C1" w14:paraId="45C25369" w14:textId="77777777" w:rsidTr="004862CF">
        <w:trPr>
          <w:trHeight w:val="252"/>
        </w:trPr>
        <w:tc>
          <w:tcPr>
            <w:tcW w:w="6878" w:type="dxa"/>
            <w:noWrap/>
            <w:hideMark/>
          </w:tcPr>
          <w:p w14:paraId="7E7D70DB" w14:textId="77777777" w:rsidR="008052DC" w:rsidRPr="001319C1" w:rsidRDefault="008052DC" w:rsidP="004862CF">
            <w:pPr>
              <w:rPr>
                <w:b/>
                <w:bCs/>
                <w:sz w:val="18"/>
                <w:szCs w:val="18"/>
              </w:rPr>
            </w:pPr>
            <w:r w:rsidRPr="001319C1">
              <w:rPr>
                <w:b/>
                <w:bCs/>
                <w:sz w:val="18"/>
                <w:szCs w:val="18"/>
              </w:rPr>
              <w:t>Home (self-care)</w:t>
            </w:r>
          </w:p>
        </w:tc>
        <w:tc>
          <w:tcPr>
            <w:tcW w:w="2470" w:type="dxa"/>
            <w:noWrap/>
            <w:hideMark/>
          </w:tcPr>
          <w:p w14:paraId="2D5F8D74" w14:textId="77777777" w:rsidR="008052DC" w:rsidRPr="001319C1" w:rsidRDefault="008052DC" w:rsidP="004862CF">
            <w:pPr>
              <w:rPr>
                <w:b/>
                <w:bCs/>
                <w:sz w:val="18"/>
                <w:szCs w:val="18"/>
              </w:rPr>
            </w:pPr>
            <w:r w:rsidRPr="001319C1">
              <w:rPr>
                <w:b/>
                <w:bCs/>
                <w:sz w:val="18"/>
                <w:szCs w:val="18"/>
              </w:rPr>
              <w:t>25962 (38.5%)</w:t>
            </w:r>
          </w:p>
        </w:tc>
      </w:tr>
      <w:tr w:rsidR="008052DC" w:rsidRPr="001319C1" w14:paraId="07B241AB" w14:textId="77777777" w:rsidTr="004862CF">
        <w:trPr>
          <w:trHeight w:val="252"/>
        </w:trPr>
        <w:tc>
          <w:tcPr>
            <w:tcW w:w="6878" w:type="dxa"/>
            <w:noWrap/>
            <w:hideMark/>
          </w:tcPr>
          <w:p w14:paraId="4B06CCCB" w14:textId="77777777" w:rsidR="008052DC" w:rsidRPr="001319C1" w:rsidRDefault="008052DC" w:rsidP="004862CF">
            <w:pPr>
              <w:rPr>
                <w:sz w:val="18"/>
                <w:szCs w:val="18"/>
              </w:rPr>
            </w:pPr>
            <w:r w:rsidRPr="001319C1">
              <w:rPr>
                <w:sz w:val="18"/>
                <w:szCs w:val="18"/>
              </w:rPr>
              <w:t xml:space="preserve">     Home (self-care)</w:t>
            </w:r>
          </w:p>
        </w:tc>
        <w:tc>
          <w:tcPr>
            <w:tcW w:w="2470" w:type="dxa"/>
            <w:noWrap/>
            <w:hideMark/>
          </w:tcPr>
          <w:p w14:paraId="5EEB65EE" w14:textId="77777777" w:rsidR="008052DC" w:rsidRPr="001319C1" w:rsidRDefault="008052DC" w:rsidP="004862CF">
            <w:pPr>
              <w:rPr>
                <w:sz w:val="18"/>
                <w:szCs w:val="18"/>
              </w:rPr>
            </w:pPr>
            <w:r w:rsidRPr="001319C1">
              <w:rPr>
                <w:sz w:val="18"/>
                <w:szCs w:val="18"/>
              </w:rPr>
              <w:t>25692 (38.1%)</w:t>
            </w:r>
          </w:p>
        </w:tc>
      </w:tr>
      <w:tr w:rsidR="008052DC" w:rsidRPr="001319C1" w14:paraId="60F31F8F" w14:textId="77777777" w:rsidTr="004862CF">
        <w:trPr>
          <w:trHeight w:val="252"/>
        </w:trPr>
        <w:tc>
          <w:tcPr>
            <w:tcW w:w="6878" w:type="dxa"/>
            <w:noWrap/>
            <w:hideMark/>
          </w:tcPr>
          <w:p w14:paraId="5C8DE74E" w14:textId="77777777" w:rsidR="008052DC" w:rsidRPr="001319C1" w:rsidRDefault="008052DC" w:rsidP="004862CF">
            <w:pPr>
              <w:rPr>
                <w:sz w:val="18"/>
                <w:szCs w:val="18"/>
              </w:rPr>
            </w:pPr>
            <w:r w:rsidRPr="001319C1">
              <w:rPr>
                <w:sz w:val="18"/>
                <w:szCs w:val="18"/>
              </w:rPr>
              <w:t xml:space="preserve">     Left Against Medical Advice/Other</w:t>
            </w:r>
          </w:p>
        </w:tc>
        <w:tc>
          <w:tcPr>
            <w:tcW w:w="2470" w:type="dxa"/>
            <w:noWrap/>
            <w:hideMark/>
          </w:tcPr>
          <w:p w14:paraId="4AEF7F4A" w14:textId="77777777" w:rsidR="008052DC" w:rsidRPr="001319C1" w:rsidRDefault="008052DC" w:rsidP="004862CF">
            <w:pPr>
              <w:rPr>
                <w:sz w:val="18"/>
                <w:szCs w:val="18"/>
              </w:rPr>
            </w:pPr>
            <w:r w:rsidRPr="001319C1">
              <w:rPr>
                <w:sz w:val="18"/>
                <w:szCs w:val="18"/>
              </w:rPr>
              <w:t>270 (0.4%)</w:t>
            </w:r>
          </w:p>
        </w:tc>
      </w:tr>
      <w:tr w:rsidR="008052DC" w:rsidRPr="001319C1" w14:paraId="18E9A641" w14:textId="77777777" w:rsidTr="004862CF">
        <w:trPr>
          <w:trHeight w:val="252"/>
        </w:trPr>
        <w:tc>
          <w:tcPr>
            <w:tcW w:w="6878" w:type="dxa"/>
            <w:noWrap/>
            <w:hideMark/>
          </w:tcPr>
          <w:p w14:paraId="6A0E9D71" w14:textId="77777777" w:rsidR="008052DC" w:rsidRPr="001319C1" w:rsidRDefault="008052DC" w:rsidP="004862CF">
            <w:pPr>
              <w:rPr>
                <w:b/>
                <w:bCs/>
                <w:sz w:val="18"/>
                <w:szCs w:val="18"/>
              </w:rPr>
            </w:pPr>
            <w:r w:rsidRPr="001319C1">
              <w:rPr>
                <w:b/>
                <w:bCs/>
                <w:sz w:val="18"/>
                <w:szCs w:val="18"/>
              </w:rPr>
              <w:t>Home (under</w:t>
            </w:r>
            <w:r>
              <w:rPr>
                <w:b/>
                <w:bCs/>
                <w:sz w:val="18"/>
                <w:szCs w:val="18"/>
              </w:rPr>
              <w:t xml:space="preserve"> </w:t>
            </w:r>
            <w:r w:rsidRPr="001319C1">
              <w:rPr>
                <w:b/>
                <w:bCs/>
                <w:sz w:val="18"/>
                <w:szCs w:val="18"/>
              </w:rPr>
              <w:t>care)</w:t>
            </w:r>
          </w:p>
        </w:tc>
        <w:tc>
          <w:tcPr>
            <w:tcW w:w="2470" w:type="dxa"/>
            <w:noWrap/>
            <w:hideMark/>
          </w:tcPr>
          <w:p w14:paraId="4DBAF8DA" w14:textId="77777777" w:rsidR="008052DC" w:rsidRPr="001319C1" w:rsidRDefault="008052DC" w:rsidP="004862CF">
            <w:pPr>
              <w:rPr>
                <w:b/>
                <w:bCs/>
                <w:sz w:val="18"/>
                <w:szCs w:val="18"/>
              </w:rPr>
            </w:pPr>
            <w:r w:rsidRPr="001319C1">
              <w:rPr>
                <w:b/>
                <w:bCs/>
                <w:sz w:val="18"/>
                <w:szCs w:val="18"/>
              </w:rPr>
              <w:t>17248 (25.6%)</w:t>
            </w:r>
          </w:p>
        </w:tc>
      </w:tr>
      <w:tr w:rsidR="008052DC" w:rsidRPr="001319C1" w14:paraId="4581DDB7" w14:textId="77777777" w:rsidTr="004862CF">
        <w:trPr>
          <w:trHeight w:val="252"/>
        </w:trPr>
        <w:tc>
          <w:tcPr>
            <w:tcW w:w="6878" w:type="dxa"/>
            <w:noWrap/>
            <w:hideMark/>
          </w:tcPr>
          <w:p w14:paraId="569BC409" w14:textId="77777777" w:rsidR="008052DC" w:rsidRPr="001319C1" w:rsidRDefault="008052DC" w:rsidP="004862CF">
            <w:pPr>
              <w:rPr>
                <w:b/>
                <w:bCs/>
                <w:sz w:val="18"/>
                <w:szCs w:val="18"/>
              </w:rPr>
            </w:pPr>
            <w:r w:rsidRPr="001319C1">
              <w:rPr>
                <w:b/>
                <w:bCs/>
                <w:sz w:val="18"/>
                <w:szCs w:val="18"/>
              </w:rPr>
              <w:t>Any healthcare facility</w:t>
            </w:r>
          </w:p>
        </w:tc>
        <w:tc>
          <w:tcPr>
            <w:tcW w:w="2470" w:type="dxa"/>
            <w:noWrap/>
            <w:hideMark/>
          </w:tcPr>
          <w:p w14:paraId="30BC5E7E" w14:textId="77777777" w:rsidR="008052DC" w:rsidRPr="001319C1" w:rsidRDefault="008052DC" w:rsidP="004862CF">
            <w:pPr>
              <w:rPr>
                <w:b/>
                <w:bCs/>
                <w:sz w:val="18"/>
                <w:szCs w:val="18"/>
              </w:rPr>
            </w:pPr>
            <w:r w:rsidRPr="001319C1">
              <w:rPr>
                <w:b/>
                <w:bCs/>
                <w:sz w:val="18"/>
                <w:szCs w:val="18"/>
              </w:rPr>
              <w:t>24148 (35.9%)</w:t>
            </w:r>
          </w:p>
        </w:tc>
      </w:tr>
      <w:tr w:rsidR="008052DC" w:rsidRPr="001319C1" w14:paraId="4EE0011F" w14:textId="77777777" w:rsidTr="004862CF">
        <w:trPr>
          <w:trHeight w:val="252"/>
        </w:trPr>
        <w:tc>
          <w:tcPr>
            <w:tcW w:w="6878" w:type="dxa"/>
            <w:noWrap/>
            <w:hideMark/>
          </w:tcPr>
          <w:p w14:paraId="22239C6F" w14:textId="77777777" w:rsidR="008052DC" w:rsidRPr="001319C1" w:rsidRDefault="008052DC" w:rsidP="004862CF">
            <w:pPr>
              <w:rPr>
                <w:sz w:val="18"/>
                <w:szCs w:val="18"/>
              </w:rPr>
            </w:pPr>
            <w:r w:rsidRPr="001319C1">
              <w:rPr>
                <w:sz w:val="18"/>
                <w:szCs w:val="18"/>
              </w:rPr>
              <w:t>     Skilled Nursing Facility (SNF)</w:t>
            </w:r>
          </w:p>
        </w:tc>
        <w:tc>
          <w:tcPr>
            <w:tcW w:w="2470" w:type="dxa"/>
            <w:noWrap/>
            <w:hideMark/>
          </w:tcPr>
          <w:p w14:paraId="4B3517D4" w14:textId="77777777" w:rsidR="008052DC" w:rsidRPr="001319C1" w:rsidRDefault="008052DC" w:rsidP="004862CF">
            <w:pPr>
              <w:rPr>
                <w:sz w:val="18"/>
                <w:szCs w:val="18"/>
              </w:rPr>
            </w:pPr>
            <w:r w:rsidRPr="001319C1">
              <w:rPr>
                <w:sz w:val="18"/>
                <w:szCs w:val="18"/>
              </w:rPr>
              <w:t>17252 (25.6%)</w:t>
            </w:r>
          </w:p>
        </w:tc>
      </w:tr>
      <w:tr w:rsidR="008052DC" w:rsidRPr="001319C1" w14:paraId="4F2B988C" w14:textId="77777777" w:rsidTr="004862CF">
        <w:trPr>
          <w:trHeight w:val="252"/>
        </w:trPr>
        <w:tc>
          <w:tcPr>
            <w:tcW w:w="6878" w:type="dxa"/>
            <w:noWrap/>
            <w:hideMark/>
          </w:tcPr>
          <w:p w14:paraId="0297EBB1" w14:textId="77777777" w:rsidR="008052DC" w:rsidRPr="001319C1" w:rsidRDefault="008052DC" w:rsidP="004862CF">
            <w:pPr>
              <w:rPr>
                <w:sz w:val="18"/>
                <w:szCs w:val="18"/>
              </w:rPr>
            </w:pPr>
            <w:r w:rsidRPr="001319C1">
              <w:rPr>
                <w:sz w:val="18"/>
                <w:szCs w:val="18"/>
              </w:rPr>
              <w:t>     Inpatient Rehab Facility (IRF)</w:t>
            </w:r>
          </w:p>
        </w:tc>
        <w:tc>
          <w:tcPr>
            <w:tcW w:w="2470" w:type="dxa"/>
            <w:noWrap/>
            <w:hideMark/>
          </w:tcPr>
          <w:p w14:paraId="19398838" w14:textId="77777777" w:rsidR="008052DC" w:rsidRPr="001319C1" w:rsidRDefault="008052DC" w:rsidP="004862CF">
            <w:pPr>
              <w:rPr>
                <w:sz w:val="18"/>
                <w:szCs w:val="18"/>
              </w:rPr>
            </w:pPr>
            <w:r w:rsidRPr="001319C1">
              <w:rPr>
                <w:sz w:val="18"/>
                <w:szCs w:val="18"/>
              </w:rPr>
              <w:t>2478 (3.7%)</w:t>
            </w:r>
          </w:p>
        </w:tc>
      </w:tr>
      <w:tr w:rsidR="008052DC" w:rsidRPr="001319C1" w14:paraId="0EC92A0D" w14:textId="77777777" w:rsidTr="004862CF">
        <w:trPr>
          <w:trHeight w:val="252"/>
        </w:trPr>
        <w:tc>
          <w:tcPr>
            <w:tcW w:w="6878" w:type="dxa"/>
            <w:noWrap/>
            <w:hideMark/>
          </w:tcPr>
          <w:p w14:paraId="56881949" w14:textId="77777777" w:rsidR="008052DC" w:rsidRPr="001319C1" w:rsidRDefault="008052DC" w:rsidP="004862CF">
            <w:pPr>
              <w:rPr>
                <w:sz w:val="18"/>
                <w:szCs w:val="18"/>
              </w:rPr>
            </w:pPr>
            <w:r w:rsidRPr="001319C1">
              <w:rPr>
                <w:sz w:val="18"/>
                <w:szCs w:val="18"/>
              </w:rPr>
              <w:t>     Hospice</w:t>
            </w:r>
          </w:p>
        </w:tc>
        <w:tc>
          <w:tcPr>
            <w:tcW w:w="2470" w:type="dxa"/>
            <w:noWrap/>
            <w:hideMark/>
          </w:tcPr>
          <w:p w14:paraId="3E3EEAF9" w14:textId="77777777" w:rsidR="008052DC" w:rsidRPr="001319C1" w:rsidRDefault="008052DC" w:rsidP="004862CF">
            <w:pPr>
              <w:rPr>
                <w:sz w:val="18"/>
                <w:szCs w:val="18"/>
              </w:rPr>
            </w:pPr>
            <w:r w:rsidRPr="001319C1">
              <w:rPr>
                <w:sz w:val="18"/>
                <w:szCs w:val="18"/>
              </w:rPr>
              <w:t>2437 (3.6%)</w:t>
            </w:r>
          </w:p>
        </w:tc>
      </w:tr>
      <w:tr w:rsidR="008052DC" w:rsidRPr="001319C1" w14:paraId="7A691300" w14:textId="77777777" w:rsidTr="004862CF">
        <w:trPr>
          <w:trHeight w:val="252"/>
        </w:trPr>
        <w:tc>
          <w:tcPr>
            <w:tcW w:w="6878" w:type="dxa"/>
            <w:noWrap/>
            <w:hideMark/>
          </w:tcPr>
          <w:p w14:paraId="565EF529" w14:textId="77777777" w:rsidR="008052DC" w:rsidRPr="001319C1" w:rsidRDefault="008052DC" w:rsidP="004862CF">
            <w:pPr>
              <w:rPr>
                <w:sz w:val="18"/>
                <w:szCs w:val="18"/>
              </w:rPr>
            </w:pPr>
            <w:r w:rsidRPr="001319C1">
              <w:rPr>
                <w:sz w:val="18"/>
                <w:szCs w:val="18"/>
              </w:rPr>
              <w:t>     Intermediate Care Facility (ICF)</w:t>
            </w:r>
          </w:p>
        </w:tc>
        <w:tc>
          <w:tcPr>
            <w:tcW w:w="2470" w:type="dxa"/>
            <w:noWrap/>
            <w:hideMark/>
          </w:tcPr>
          <w:p w14:paraId="13F007D4" w14:textId="77777777" w:rsidR="008052DC" w:rsidRPr="001319C1" w:rsidRDefault="008052DC" w:rsidP="004862CF">
            <w:pPr>
              <w:rPr>
                <w:sz w:val="18"/>
                <w:szCs w:val="18"/>
              </w:rPr>
            </w:pPr>
            <w:r w:rsidRPr="001319C1">
              <w:rPr>
                <w:sz w:val="18"/>
                <w:szCs w:val="18"/>
              </w:rPr>
              <w:t>858 (1.3%)</w:t>
            </w:r>
          </w:p>
        </w:tc>
      </w:tr>
      <w:tr w:rsidR="008052DC" w:rsidRPr="001319C1" w14:paraId="388676E8" w14:textId="77777777" w:rsidTr="004862CF">
        <w:trPr>
          <w:trHeight w:val="252"/>
        </w:trPr>
        <w:tc>
          <w:tcPr>
            <w:tcW w:w="6878" w:type="dxa"/>
            <w:noWrap/>
            <w:hideMark/>
          </w:tcPr>
          <w:p w14:paraId="2C0ACFAD" w14:textId="77777777" w:rsidR="008052DC" w:rsidRPr="001319C1" w:rsidRDefault="008052DC" w:rsidP="004862CF">
            <w:pPr>
              <w:rPr>
                <w:sz w:val="18"/>
                <w:szCs w:val="18"/>
              </w:rPr>
            </w:pPr>
            <w:r w:rsidRPr="001319C1">
              <w:rPr>
                <w:sz w:val="18"/>
                <w:szCs w:val="18"/>
              </w:rPr>
              <w:t>     Long-term Care Hospital (LTCH)</w:t>
            </w:r>
          </w:p>
        </w:tc>
        <w:tc>
          <w:tcPr>
            <w:tcW w:w="2470" w:type="dxa"/>
            <w:noWrap/>
            <w:hideMark/>
          </w:tcPr>
          <w:p w14:paraId="35CDF03F" w14:textId="77777777" w:rsidR="008052DC" w:rsidRPr="001319C1" w:rsidRDefault="008052DC" w:rsidP="004862CF">
            <w:pPr>
              <w:rPr>
                <w:sz w:val="18"/>
                <w:szCs w:val="18"/>
              </w:rPr>
            </w:pPr>
            <w:r w:rsidRPr="001319C1">
              <w:rPr>
                <w:sz w:val="18"/>
                <w:szCs w:val="18"/>
              </w:rPr>
              <w:t>426 (0.6%)</w:t>
            </w:r>
          </w:p>
        </w:tc>
      </w:tr>
      <w:tr w:rsidR="008052DC" w:rsidRPr="001319C1" w14:paraId="37C8F6E5" w14:textId="77777777" w:rsidTr="004862CF">
        <w:trPr>
          <w:trHeight w:val="252"/>
        </w:trPr>
        <w:tc>
          <w:tcPr>
            <w:tcW w:w="6878" w:type="dxa"/>
            <w:noWrap/>
            <w:hideMark/>
          </w:tcPr>
          <w:p w14:paraId="198C69D7" w14:textId="77777777" w:rsidR="008052DC" w:rsidRPr="001319C1" w:rsidRDefault="008052DC" w:rsidP="004862CF">
            <w:pPr>
              <w:rPr>
                <w:sz w:val="18"/>
                <w:szCs w:val="18"/>
              </w:rPr>
            </w:pPr>
            <w:r w:rsidRPr="001319C1">
              <w:rPr>
                <w:sz w:val="18"/>
                <w:szCs w:val="18"/>
              </w:rPr>
              <w:t>     Inpatient psychiatric facility</w:t>
            </w:r>
          </w:p>
        </w:tc>
        <w:tc>
          <w:tcPr>
            <w:tcW w:w="2470" w:type="dxa"/>
            <w:noWrap/>
            <w:hideMark/>
          </w:tcPr>
          <w:p w14:paraId="3AC5227D" w14:textId="77777777" w:rsidR="008052DC" w:rsidRPr="001319C1" w:rsidRDefault="008052DC" w:rsidP="004862CF">
            <w:pPr>
              <w:rPr>
                <w:sz w:val="18"/>
                <w:szCs w:val="18"/>
              </w:rPr>
            </w:pPr>
            <w:r w:rsidRPr="001319C1">
              <w:rPr>
                <w:sz w:val="18"/>
                <w:szCs w:val="18"/>
              </w:rPr>
              <w:t>161 (0.2%)</w:t>
            </w:r>
          </w:p>
        </w:tc>
      </w:tr>
      <w:tr w:rsidR="008052DC" w:rsidRPr="001319C1" w14:paraId="6A2BDC88" w14:textId="77777777" w:rsidTr="004862CF">
        <w:trPr>
          <w:trHeight w:val="302"/>
        </w:trPr>
        <w:tc>
          <w:tcPr>
            <w:tcW w:w="6878" w:type="dxa"/>
            <w:noWrap/>
            <w:hideMark/>
          </w:tcPr>
          <w:p w14:paraId="33B46EBB" w14:textId="77777777" w:rsidR="008052DC" w:rsidRPr="001319C1" w:rsidRDefault="008052DC" w:rsidP="004862CF">
            <w:pPr>
              <w:rPr>
                <w:sz w:val="18"/>
                <w:szCs w:val="18"/>
              </w:rPr>
            </w:pPr>
            <w:r w:rsidRPr="001319C1">
              <w:rPr>
                <w:sz w:val="18"/>
                <w:szCs w:val="18"/>
              </w:rPr>
              <w:t>     Other type of health care institution</w:t>
            </w:r>
            <w:r w:rsidRPr="001319C1">
              <w:rPr>
                <w:sz w:val="18"/>
                <w:szCs w:val="18"/>
                <w:vertAlign w:val="superscript"/>
              </w:rPr>
              <w:t>1</w:t>
            </w:r>
          </w:p>
        </w:tc>
        <w:tc>
          <w:tcPr>
            <w:tcW w:w="2470" w:type="dxa"/>
            <w:noWrap/>
            <w:hideMark/>
          </w:tcPr>
          <w:p w14:paraId="2C08D6F9" w14:textId="77777777" w:rsidR="008052DC" w:rsidRPr="001319C1" w:rsidRDefault="008052DC" w:rsidP="004862CF">
            <w:pPr>
              <w:rPr>
                <w:sz w:val="18"/>
                <w:szCs w:val="18"/>
              </w:rPr>
            </w:pPr>
            <w:r w:rsidRPr="001319C1">
              <w:rPr>
                <w:sz w:val="18"/>
                <w:szCs w:val="18"/>
              </w:rPr>
              <w:t>536 (0.8%)</w:t>
            </w:r>
          </w:p>
        </w:tc>
      </w:tr>
    </w:tbl>
    <w:p w14:paraId="2FB83196" w14:textId="77777777" w:rsidR="008052DC" w:rsidRDefault="008052DC" w:rsidP="008052DC">
      <w:pPr>
        <w:pStyle w:val="ListParagraph"/>
        <w:numPr>
          <w:ilvl w:val="0"/>
          <w:numId w:val="5"/>
        </w:numPr>
        <w:rPr>
          <w:sz w:val="16"/>
          <w:szCs w:val="16"/>
        </w:rPr>
      </w:pPr>
      <w:r w:rsidRPr="006E1042">
        <w:rPr>
          <w:sz w:val="16"/>
          <w:szCs w:val="16"/>
        </w:rPr>
        <w:t>Other type of health care institution includes the following discharge codes: transferred within or outside hospital, critical access hospital, and other type of health care institution</w:t>
      </w:r>
    </w:p>
    <w:p w14:paraId="326E596C" w14:textId="081C8142" w:rsidR="00D63A77" w:rsidRDefault="00D63A77">
      <w:pPr>
        <w:rPr>
          <w:sz w:val="16"/>
          <w:szCs w:val="16"/>
        </w:rPr>
      </w:pPr>
      <w:r>
        <w:rPr>
          <w:sz w:val="16"/>
          <w:szCs w:val="16"/>
        </w:rPr>
        <w:br w:type="page"/>
      </w:r>
    </w:p>
    <w:p w14:paraId="489764A4" w14:textId="77777777" w:rsidR="00D63A77" w:rsidRDefault="00D63A77">
      <w:pPr>
        <w:rPr>
          <w:sz w:val="16"/>
          <w:szCs w:val="16"/>
        </w:rPr>
      </w:pPr>
    </w:p>
    <w:p w14:paraId="0255CBC1" w14:textId="5FF1EA9E" w:rsidR="003053C0" w:rsidRPr="00855B06" w:rsidRDefault="003053C0" w:rsidP="003053C0">
      <w:pPr>
        <w:rPr>
          <w:sz w:val="22"/>
          <w:szCs w:val="22"/>
        </w:rPr>
      </w:pPr>
      <w:r w:rsidRPr="00855B06">
        <w:rPr>
          <w:b/>
          <w:bCs/>
          <w:sz w:val="22"/>
          <w:szCs w:val="22"/>
        </w:rPr>
        <w:t xml:space="preserve">Supplemental Figure </w:t>
      </w:r>
      <w:r w:rsidR="008B299E" w:rsidRPr="00855B06">
        <w:rPr>
          <w:b/>
          <w:bCs/>
          <w:sz w:val="22"/>
          <w:szCs w:val="22"/>
        </w:rPr>
        <w:t>S</w:t>
      </w:r>
      <w:r w:rsidRPr="00855B06">
        <w:rPr>
          <w:b/>
          <w:bCs/>
          <w:sz w:val="22"/>
          <w:szCs w:val="22"/>
        </w:rPr>
        <w:t xml:space="preserve">1: </w:t>
      </w:r>
      <w:r w:rsidR="005D62D0" w:rsidRPr="00855B06">
        <w:rPr>
          <w:sz w:val="22"/>
          <w:szCs w:val="22"/>
        </w:rPr>
        <w:t>Study design diagram</w:t>
      </w:r>
    </w:p>
    <w:p w14:paraId="6F0E2835" w14:textId="73558CF4" w:rsidR="00070AE2" w:rsidRDefault="00A670E2" w:rsidP="003053C0">
      <w:pPr>
        <w:rPr>
          <w:sz w:val="16"/>
          <w:szCs w:val="16"/>
        </w:rPr>
      </w:pPr>
      <w:r w:rsidRPr="00A670E2">
        <w:rPr>
          <w:noProof/>
          <w:sz w:val="16"/>
          <w:szCs w:val="16"/>
        </w:rPr>
        <w:drawing>
          <wp:inline distT="0" distB="0" distL="0" distR="0" wp14:anchorId="340D529E" wp14:editId="439E2021">
            <wp:extent cx="5943600" cy="1974850"/>
            <wp:effectExtent l="0" t="0" r="0" b="0"/>
            <wp:docPr id="3" name="Picture 2" descr="A screenshot of a computer&#10;&#10;AI-generated content may be incorrect.">
              <a:extLst xmlns:a="http://schemas.openxmlformats.org/drawingml/2006/main">
                <a:ext uri="{FF2B5EF4-FFF2-40B4-BE49-F238E27FC236}">
                  <a16:creationId xmlns:a16="http://schemas.microsoft.com/office/drawing/2014/main" id="{AAFCB06D-D6EF-E684-9644-4BE47B27B1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computer&#10;&#10;AI-generated content may be incorrect.">
                      <a:extLst>
                        <a:ext uri="{FF2B5EF4-FFF2-40B4-BE49-F238E27FC236}">
                          <a16:creationId xmlns:a16="http://schemas.microsoft.com/office/drawing/2014/main" id="{AAFCB06D-D6EF-E684-9644-4BE47B27B1ED}"/>
                        </a:ext>
                      </a:extLst>
                    </pic:cNvPr>
                    <pic:cNvPicPr>
                      <a:picLocks noChangeAspect="1"/>
                    </pic:cNvPicPr>
                  </pic:nvPicPr>
                  <pic:blipFill>
                    <a:blip r:embed="rId10"/>
                    <a:stretch>
                      <a:fillRect/>
                    </a:stretch>
                  </pic:blipFill>
                  <pic:spPr>
                    <a:xfrm>
                      <a:off x="0" y="0"/>
                      <a:ext cx="5943600" cy="1974850"/>
                    </a:xfrm>
                    <a:prstGeom prst="rect">
                      <a:avLst/>
                    </a:prstGeom>
                  </pic:spPr>
                </pic:pic>
              </a:graphicData>
            </a:graphic>
          </wp:inline>
        </w:drawing>
      </w:r>
    </w:p>
    <w:p w14:paraId="23DC6408" w14:textId="49B50064" w:rsidR="00741C7B" w:rsidRDefault="00741C7B">
      <w:pPr>
        <w:rPr>
          <w:sz w:val="20"/>
          <w:szCs w:val="20"/>
        </w:rPr>
      </w:pPr>
    </w:p>
    <w:sectPr w:rsidR="00741C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FBEB2" w14:textId="77777777" w:rsidR="00E30683" w:rsidRDefault="00E30683" w:rsidP="00C7558C">
      <w:pPr>
        <w:spacing w:after="0" w:line="240" w:lineRule="auto"/>
      </w:pPr>
      <w:r>
        <w:separator/>
      </w:r>
    </w:p>
  </w:endnote>
  <w:endnote w:type="continuationSeparator" w:id="0">
    <w:p w14:paraId="543FB5BF" w14:textId="77777777" w:rsidR="00E30683" w:rsidRDefault="00E30683" w:rsidP="00C7558C">
      <w:pPr>
        <w:spacing w:after="0" w:line="240" w:lineRule="auto"/>
      </w:pPr>
      <w:r>
        <w:continuationSeparator/>
      </w:r>
    </w:p>
  </w:endnote>
  <w:endnote w:type="continuationNotice" w:id="1">
    <w:p w14:paraId="5DCAB1D3" w14:textId="77777777" w:rsidR="00E30683" w:rsidRDefault="00E30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47CA" w14:textId="77777777" w:rsidR="00E30683" w:rsidRDefault="00E30683" w:rsidP="00C7558C">
      <w:pPr>
        <w:spacing w:after="0" w:line="240" w:lineRule="auto"/>
      </w:pPr>
      <w:r>
        <w:separator/>
      </w:r>
    </w:p>
  </w:footnote>
  <w:footnote w:type="continuationSeparator" w:id="0">
    <w:p w14:paraId="7A2EB362" w14:textId="77777777" w:rsidR="00E30683" w:rsidRDefault="00E30683" w:rsidP="00C7558C">
      <w:pPr>
        <w:spacing w:after="0" w:line="240" w:lineRule="auto"/>
      </w:pPr>
      <w:r>
        <w:continuationSeparator/>
      </w:r>
    </w:p>
  </w:footnote>
  <w:footnote w:type="continuationNotice" w:id="1">
    <w:p w14:paraId="0533F7F4" w14:textId="77777777" w:rsidR="00E30683" w:rsidRDefault="00E3068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YyQeEGwqXzuMI4" int2:id="7ejK814f">
      <int2:state int2:value="Rejected" int2:type="spell"/>
    </int2:textHash>
    <int2:textHash int2:hashCode="zft32A+W2tD9tm" int2:id="AORb6ZsD">
      <int2:state int2:value="Rejected" int2:type="spell"/>
    </int2:textHash>
    <int2:textHash int2:hashCode="Sp3dC181Sqf8RF" int2:id="kRD2vLz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22F3"/>
    <w:multiLevelType w:val="hybridMultilevel"/>
    <w:tmpl w:val="C6600B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6F2CC9"/>
    <w:multiLevelType w:val="hybridMultilevel"/>
    <w:tmpl w:val="75D4D782"/>
    <w:lvl w:ilvl="0" w:tplc="479A2F78">
      <w:start w:val="1192"/>
      <w:numFmt w:val="decimal"/>
      <w:lvlText w:val="%1"/>
      <w:lvlJc w:val="left"/>
      <w:pPr>
        <w:ind w:left="760" w:hanging="40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F2BAF"/>
    <w:multiLevelType w:val="hybridMultilevel"/>
    <w:tmpl w:val="2300F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6251AE"/>
    <w:multiLevelType w:val="hybridMultilevel"/>
    <w:tmpl w:val="2300F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F65644"/>
    <w:multiLevelType w:val="hybridMultilevel"/>
    <w:tmpl w:val="713EF146"/>
    <w:lvl w:ilvl="0" w:tplc="35902EDA">
      <w:start w:val="1"/>
      <w:numFmt w:val="decimal"/>
      <w:lvlText w:val="%1."/>
      <w:lvlJc w:val="left"/>
      <w:pPr>
        <w:ind w:left="720" w:hanging="360"/>
      </w:pPr>
      <w:rPr>
        <w:rFonts w:asciiTheme="minorHAnsi" w:hAnsiTheme="minorHAnsi"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31520"/>
    <w:multiLevelType w:val="hybridMultilevel"/>
    <w:tmpl w:val="79EA891E"/>
    <w:lvl w:ilvl="0" w:tplc="556A5C96">
      <w:start w:val="1697"/>
      <w:numFmt w:val="decimal"/>
      <w:lvlText w:val="%1"/>
      <w:lvlJc w:val="left"/>
      <w:pPr>
        <w:ind w:left="760" w:hanging="40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21372"/>
    <w:multiLevelType w:val="hybridMultilevel"/>
    <w:tmpl w:val="2618D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2235DE"/>
    <w:multiLevelType w:val="hybridMultilevel"/>
    <w:tmpl w:val="2618D1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77D26A6"/>
    <w:multiLevelType w:val="hybridMultilevel"/>
    <w:tmpl w:val="81C27828"/>
    <w:lvl w:ilvl="0" w:tplc="D154FF2A">
      <w:start w:val="1192"/>
      <w:numFmt w:val="decimal"/>
      <w:lvlText w:val="%1"/>
      <w:lvlJc w:val="left"/>
      <w:pPr>
        <w:ind w:left="760" w:hanging="40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20264"/>
    <w:multiLevelType w:val="hybridMultilevel"/>
    <w:tmpl w:val="116E0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234F9"/>
    <w:multiLevelType w:val="hybridMultilevel"/>
    <w:tmpl w:val="F0B03FB8"/>
    <w:lvl w:ilvl="0" w:tplc="EAE4AB72">
      <w:start w:val="1"/>
      <w:numFmt w:val="bullet"/>
      <w:lvlText w:val=""/>
      <w:lvlJc w:val="left"/>
      <w:pPr>
        <w:ind w:left="1440" w:hanging="360"/>
      </w:pPr>
      <w:rPr>
        <w:rFonts w:ascii="Symbol" w:hAnsi="Symbol"/>
      </w:rPr>
    </w:lvl>
    <w:lvl w:ilvl="1" w:tplc="E81C3492">
      <w:start w:val="1"/>
      <w:numFmt w:val="bullet"/>
      <w:lvlText w:val=""/>
      <w:lvlJc w:val="left"/>
      <w:pPr>
        <w:ind w:left="1440" w:hanging="360"/>
      </w:pPr>
      <w:rPr>
        <w:rFonts w:ascii="Symbol" w:hAnsi="Symbol"/>
      </w:rPr>
    </w:lvl>
    <w:lvl w:ilvl="2" w:tplc="4A9E0E10">
      <w:start w:val="1"/>
      <w:numFmt w:val="bullet"/>
      <w:lvlText w:val=""/>
      <w:lvlJc w:val="left"/>
      <w:pPr>
        <w:ind w:left="1440" w:hanging="360"/>
      </w:pPr>
      <w:rPr>
        <w:rFonts w:ascii="Symbol" w:hAnsi="Symbol"/>
      </w:rPr>
    </w:lvl>
    <w:lvl w:ilvl="3" w:tplc="D2E8B3B4">
      <w:start w:val="1"/>
      <w:numFmt w:val="bullet"/>
      <w:lvlText w:val=""/>
      <w:lvlJc w:val="left"/>
      <w:pPr>
        <w:ind w:left="1440" w:hanging="360"/>
      </w:pPr>
      <w:rPr>
        <w:rFonts w:ascii="Symbol" w:hAnsi="Symbol"/>
      </w:rPr>
    </w:lvl>
    <w:lvl w:ilvl="4" w:tplc="81B439A6">
      <w:start w:val="1"/>
      <w:numFmt w:val="bullet"/>
      <w:lvlText w:val=""/>
      <w:lvlJc w:val="left"/>
      <w:pPr>
        <w:ind w:left="1440" w:hanging="360"/>
      </w:pPr>
      <w:rPr>
        <w:rFonts w:ascii="Symbol" w:hAnsi="Symbol"/>
      </w:rPr>
    </w:lvl>
    <w:lvl w:ilvl="5" w:tplc="138673F4">
      <w:start w:val="1"/>
      <w:numFmt w:val="bullet"/>
      <w:lvlText w:val=""/>
      <w:lvlJc w:val="left"/>
      <w:pPr>
        <w:ind w:left="1440" w:hanging="360"/>
      </w:pPr>
      <w:rPr>
        <w:rFonts w:ascii="Symbol" w:hAnsi="Symbol"/>
      </w:rPr>
    </w:lvl>
    <w:lvl w:ilvl="6" w:tplc="C45206B8">
      <w:start w:val="1"/>
      <w:numFmt w:val="bullet"/>
      <w:lvlText w:val=""/>
      <w:lvlJc w:val="left"/>
      <w:pPr>
        <w:ind w:left="1440" w:hanging="360"/>
      </w:pPr>
      <w:rPr>
        <w:rFonts w:ascii="Symbol" w:hAnsi="Symbol"/>
      </w:rPr>
    </w:lvl>
    <w:lvl w:ilvl="7" w:tplc="3F8AF572">
      <w:start w:val="1"/>
      <w:numFmt w:val="bullet"/>
      <w:lvlText w:val=""/>
      <w:lvlJc w:val="left"/>
      <w:pPr>
        <w:ind w:left="1440" w:hanging="360"/>
      </w:pPr>
      <w:rPr>
        <w:rFonts w:ascii="Symbol" w:hAnsi="Symbol"/>
      </w:rPr>
    </w:lvl>
    <w:lvl w:ilvl="8" w:tplc="B5FAD5B8">
      <w:start w:val="1"/>
      <w:numFmt w:val="bullet"/>
      <w:lvlText w:val=""/>
      <w:lvlJc w:val="left"/>
      <w:pPr>
        <w:ind w:left="1440" w:hanging="360"/>
      </w:pPr>
      <w:rPr>
        <w:rFonts w:ascii="Symbol" w:hAnsi="Symbol"/>
      </w:rPr>
    </w:lvl>
  </w:abstractNum>
  <w:num w:numId="1" w16cid:durableId="1430928307">
    <w:abstractNumId w:val="9"/>
  </w:num>
  <w:num w:numId="2" w16cid:durableId="1630821902">
    <w:abstractNumId w:val="6"/>
  </w:num>
  <w:num w:numId="3" w16cid:durableId="1188561548">
    <w:abstractNumId w:val="3"/>
  </w:num>
  <w:num w:numId="4" w16cid:durableId="63990342">
    <w:abstractNumId w:val="2"/>
  </w:num>
  <w:num w:numId="5" w16cid:durableId="1813063871">
    <w:abstractNumId w:val="0"/>
  </w:num>
  <w:num w:numId="6" w16cid:durableId="1360473494">
    <w:abstractNumId w:val="10"/>
  </w:num>
  <w:num w:numId="7" w16cid:durableId="2131434378">
    <w:abstractNumId w:val="5"/>
  </w:num>
  <w:num w:numId="8" w16cid:durableId="1191450506">
    <w:abstractNumId w:val="7"/>
  </w:num>
  <w:num w:numId="9" w16cid:durableId="604001878">
    <w:abstractNumId w:val="8"/>
  </w:num>
  <w:num w:numId="10" w16cid:durableId="566572282">
    <w:abstractNumId w:val="1"/>
  </w:num>
  <w:num w:numId="11" w16cid:durableId="283731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7E6E2D"/>
    <w:rsid w:val="00000295"/>
    <w:rsid w:val="000008C7"/>
    <w:rsid w:val="00003B47"/>
    <w:rsid w:val="000070B0"/>
    <w:rsid w:val="000347B5"/>
    <w:rsid w:val="000351CE"/>
    <w:rsid w:val="00037398"/>
    <w:rsid w:val="000421CB"/>
    <w:rsid w:val="00061967"/>
    <w:rsid w:val="00070AE2"/>
    <w:rsid w:val="000729A7"/>
    <w:rsid w:val="00073ECD"/>
    <w:rsid w:val="00075F99"/>
    <w:rsid w:val="000873D8"/>
    <w:rsid w:val="00094298"/>
    <w:rsid w:val="00097A73"/>
    <w:rsid w:val="000A5CBD"/>
    <w:rsid w:val="000B23B7"/>
    <w:rsid w:val="000D571C"/>
    <w:rsid w:val="00101C3B"/>
    <w:rsid w:val="00111251"/>
    <w:rsid w:val="001319C1"/>
    <w:rsid w:val="0015200B"/>
    <w:rsid w:val="0016349C"/>
    <w:rsid w:val="00167F4E"/>
    <w:rsid w:val="00181C5F"/>
    <w:rsid w:val="00183FF3"/>
    <w:rsid w:val="001870CD"/>
    <w:rsid w:val="0019527A"/>
    <w:rsid w:val="00196061"/>
    <w:rsid w:val="001B1BA1"/>
    <w:rsid w:val="001B54C9"/>
    <w:rsid w:val="001B7AC9"/>
    <w:rsid w:val="001C0E43"/>
    <w:rsid w:val="001D76A6"/>
    <w:rsid w:val="001E1856"/>
    <w:rsid w:val="001E4737"/>
    <w:rsid w:val="001E54CA"/>
    <w:rsid w:val="00215F9C"/>
    <w:rsid w:val="002255B8"/>
    <w:rsid w:val="002318E1"/>
    <w:rsid w:val="00234D2C"/>
    <w:rsid w:val="00241323"/>
    <w:rsid w:val="002502F7"/>
    <w:rsid w:val="0025311D"/>
    <w:rsid w:val="002632C6"/>
    <w:rsid w:val="0026419B"/>
    <w:rsid w:val="002764B7"/>
    <w:rsid w:val="00282BE5"/>
    <w:rsid w:val="002864B5"/>
    <w:rsid w:val="00286C06"/>
    <w:rsid w:val="00287BE0"/>
    <w:rsid w:val="002A2237"/>
    <w:rsid w:val="002B2478"/>
    <w:rsid w:val="002C1247"/>
    <w:rsid w:val="002D4ED9"/>
    <w:rsid w:val="002E1E03"/>
    <w:rsid w:val="00301B13"/>
    <w:rsid w:val="00301E8B"/>
    <w:rsid w:val="003053C0"/>
    <w:rsid w:val="00325C99"/>
    <w:rsid w:val="00334D06"/>
    <w:rsid w:val="00334D94"/>
    <w:rsid w:val="00340B0A"/>
    <w:rsid w:val="003436BA"/>
    <w:rsid w:val="003467DD"/>
    <w:rsid w:val="00347350"/>
    <w:rsid w:val="003528AC"/>
    <w:rsid w:val="00352AD5"/>
    <w:rsid w:val="0036268A"/>
    <w:rsid w:val="003630F8"/>
    <w:rsid w:val="003932BE"/>
    <w:rsid w:val="003A2C46"/>
    <w:rsid w:val="003A69C3"/>
    <w:rsid w:val="003C0FCF"/>
    <w:rsid w:val="003C5653"/>
    <w:rsid w:val="003C7C26"/>
    <w:rsid w:val="003D02F0"/>
    <w:rsid w:val="003D37D3"/>
    <w:rsid w:val="003E5E16"/>
    <w:rsid w:val="0040794C"/>
    <w:rsid w:val="00411A9A"/>
    <w:rsid w:val="00417C5E"/>
    <w:rsid w:val="004219B4"/>
    <w:rsid w:val="00427D4A"/>
    <w:rsid w:val="0045342C"/>
    <w:rsid w:val="004544D7"/>
    <w:rsid w:val="004743CD"/>
    <w:rsid w:val="004862CF"/>
    <w:rsid w:val="00492250"/>
    <w:rsid w:val="00494D09"/>
    <w:rsid w:val="004B38A2"/>
    <w:rsid w:val="004B3FF2"/>
    <w:rsid w:val="004B6E8D"/>
    <w:rsid w:val="004C0330"/>
    <w:rsid w:val="004D446E"/>
    <w:rsid w:val="00501B03"/>
    <w:rsid w:val="005139AE"/>
    <w:rsid w:val="00521913"/>
    <w:rsid w:val="00522C8E"/>
    <w:rsid w:val="00533A62"/>
    <w:rsid w:val="005346F3"/>
    <w:rsid w:val="00537445"/>
    <w:rsid w:val="005377F1"/>
    <w:rsid w:val="0054034C"/>
    <w:rsid w:val="00574F6C"/>
    <w:rsid w:val="00580E2F"/>
    <w:rsid w:val="00586779"/>
    <w:rsid w:val="0059282B"/>
    <w:rsid w:val="00597E58"/>
    <w:rsid w:val="005A4D78"/>
    <w:rsid w:val="005B27B4"/>
    <w:rsid w:val="005B39ED"/>
    <w:rsid w:val="005C65AA"/>
    <w:rsid w:val="005D62D0"/>
    <w:rsid w:val="00603684"/>
    <w:rsid w:val="0060469E"/>
    <w:rsid w:val="00604A52"/>
    <w:rsid w:val="00606AD2"/>
    <w:rsid w:val="00630EAF"/>
    <w:rsid w:val="00633A27"/>
    <w:rsid w:val="0063603A"/>
    <w:rsid w:val="006527ED"/>
    <w:rsid w:val="00653D8B"/>
    <w:rsid w:val="00661F43"/>
    <w:rsid w:val="00664451"/>
    <w:rsid w:val="006664D8"/>
    <w:rsid w:val="006713D6"/>
    <w:rsid w:val="00684ECC"/>
    <w:rsid w:val="006A18D4"/>
    <w:rsid w:val="006A4103"/>
    <w:rsid w:val="006C667D"/>
    <w:rsid w:val="006E1042"/>
    <w:rsid w:val="006F6704"/>
    <w:rsid w:val="00701D8D"/>
    <w:rsid w:val="00703EDA"/>
    <w:rsid w:val="007044BA"/>
    <w:rsid w:val="00710308"/>
    <w:rsid w:val="00711C8F"/>
    <w:rsid w:val="0071500A"/>
    <w:rsid w:val="007167DE"/>
    <w:rsid w:val="007326E9"/>
    <w:rsid w:val="00741C7B"/>
    <w:rsid w:val="00742FC9"/>
    <w:rsid w:val="00744DAD"/>
    <w:rsid w:val="00746F6F"/>
    <w:rsid w:val="00770A5A"/>
    <w:rsid w:val="0077278E"/>
    <w:rsid w:val="00783127"/>
    <w:rsid w:val="007841B4"/>
    <w:rsid w:val="00785F13"/>
    <w:rsid w:val="00792C7D"/>
    <w:rsid w:val="00796CD4"/>
    <w:rsid w:val="007A0C47"/>
    <w:rsid w:val="007A6B54"/>
    <w:rsid w:val="007B6552"/>
    <w:rsid w:val="007C1A0E"/>
    <w:rsid w:val="007E3D32"/>
    <w:rsid w:val="007F2D90"/>
    <w:rsid w:val="0080402D"/>
    <w:rsid w:val="008052DC"/>
    <w:rsid w:val="008117D4"/>
    <w:rsid w:val="00825B10"/>
    <w:rsid w:val="00830CB5"/>
    <w:rsid w:val="00842266"/>
    <w:rsid w:val="00855B06"/>
    <w:rsid w:val="00866C42"/>
    <w:rsid w:val="00877FF0"/>
    <w:rsid w:val="0088585E"/>
    <w:rsid w:val="008A2535"/>
    <w:rsid w:val="008A5E82"/>
    <w:rsid w:val="008B299E"/>
    <w:rsid w:val="008B45F9"/>
    <w:rsid w:val="008B60A6"/>
    <w:rsid w:val="008B6F88"/>
    <w:rsid w:val="008C032F"/>
    <w:rsid w:val="008C72C6"/>
    <w:rsid w:val="008D5F62"/>
    <w:rsid w:val="008E1502"/>
    <w:rsid w:val="008E7B7E"/>
    <w:rsid w:val="008E7EEF"/>
    <w:rsid w:val="008F60EF"/>
    <w:rsid w:val="008F6C35"/>
    <w:rsid w:val="00910853"/>
    <w:rsid w:val="00926F12"/>
    <w:rsid w:val="009323D9"/>
    <w:rsid w:val="00941513"/>
    <w:rsid w:val="0094230E"/>
    <w:rsid w:val="00943E4E"/>
    <w:rsid w:val="00962A5C"/>
    <w:rsid w:val="009716DC"/>
    <w:rsid w:val="00986502"/>
    <w:rsid w:val="009B2C3B"/>
    <w:rsid w:val="009C44EA"/>
    <w:rsid w:val="009E69C8"/>
    <w:rsid w:val="009F0BBC"/>
    <w:rsid w:val="00A06D56"/>
    <w:rsid w:val="00A1293D"/>
    <w:rsid w:val="00A25F40"/>
    <w:rsid w:val="00A33D8D"/>
    <w:rsid w:val="00A42823"/>
    <w:rsid w:val="00A44BA6"/>
    <w:rsid w:val="00A45A01"/>
    <w:rsid w:val="00A51369"/>
    <w:rsid w:val="00A56776"/>
    <w:rsid w:val="00A62D0A"/>
    <w:rsid w:val="00A670E2"/>
    <w:rsid w:val="00A94FD4"/>
    <w:rsid w:val="00AB54E8"/>
    <w:rsid w:val="00AC7E7E"/>
    <w:rsid w:val="00AD3F5C"/>
    <w:rsid w:val="00B007C0"/>
    <w:rsid w:val="00B02EB3"/>
    <w:rsid w:val="00B03A3B"/>
    <w:rsid w:val="00B172F4"/>
    <w:rsid w:val="00B207E3"/>
    <w:rsid w:val="00B33DD7"/>
    <w:rsid w:val="00B4100F"/>
    <w:rsid w:val="00B47645"/>
    <w:rsid w:val="00B54A2F"/>
    <w:rsid w:val="00B551EB"/>
    <w:rsid w:val="00B71C56"/>
    <w:rsid w:val="00B7221E"/>
    <w:rsid w:val="00B7242B"/>
    <w:rsid w:val="00B75E97"/>
    <w:rsid w:val="00B80F75"/>
    <w:rsid w:val="00BC3671"/>
    <w:rsid w:val="00BD1EE0"/>
    <w:rsid w:val="00BD7E39"/>
    <w:rsid w:val="00C053C8"/>
    <w:rsid w:val="00C20EDB"/>
    <w:rsid w:val="00C249AC"/>
    <w:rsid w:val="00C52E40"/>
    <w:rsid w:val="00C61A9E"/>
    <w:rsid w:val="00C62CE4"/>
    <w:rsid w:val="00C6793D"/>
    <w:rsid w:val="00C67DC8"/>
    <w:rsid w:val="00C71BA1"/>
    <w:rsid w:val="00C7558C"/>
    <w:rsid w:val="00C859BD"/>
    <w:rsid w:val="00C909DD"/>
    <w:rsid w:val="00C934B7"/>
    <w:rsid w:val="00C9436E"/>
    <w:rsid w:val="00CD0E20"/>
    <w:rsid w:val="00CD3EB2"/>
    <w:rsid w:val="00CE109A"/>
    <w:rsid w:val="00CE2392"/>
    <w:rsid w:val="00CE4128"/>
    <w:rsid w:val="00CE679D"/>
    <w:rsid w:val="00CF4A4F"/>
    <w:rsid w:val="00D04B30"/>
    <w:rsid w:val="00D05136"/>
    <w:rsid w:val="00D141B0"/>
    <w:rsid w:val="00D264CA"/>
    <w:rsid w:val="00D43C71"/>
    <w:rsid w:val="00D4573D"/>
    <w:rsid w:val="00D47679"/>
    <w:rsid w:val="00D5243F"/>
    <w:rsid w:val="00D63A77"/>
    <w:rsid w:val="00D924E6"/>
    <w:rsid w:val="00DA35EB"/>
    <w:rsid w:val="00DF01F3"/>
    <w:rsid w:val="00DF7E98"/>
    <w:rsid w:val="00E0120E"/>
    <w:rsid w:val="00E01924"/>
    <w:rsid w:val="00E0525A"/>
    <w:rsid w:val="00E13906"/>
    <w:rsid w:val="00E23486"/>
    <w:rsid w:val="00E2446F"/>
    <w:rsid w:val="00E30683"/>
    <w:rsid w:val="00E36FFD"/>
    <w:rsid w:val="00E40D13"/>
    <w:rsid w:val="00E46075"/>
    <w:rsid w:val="00E70BA0"/>
    <w:rsid w:val="00E71692"/>
    <w:rsid w:val="00E91D91"/>
    <w:rsid w:val="00E96714"/>
    <w:rsid w:val="00EA5CDB"/>
    <w:rsid w:val="00EB1F73"/>
    <w:rsid w:val="00EB6419"/>
    <w:rsid w:val="00EC842C"/>
    <w:rsid w:val="00ED65B8"/>
    <w:rsid w:val="00ED69E7"/>
    <w:rsid w:val="00EE2AD6"/>
    <w:rsid w:val="00EE6B03"/>
    <w:rsid w:val="00EF0829"/>
    <w:rsid w:val="00F21E8F"/>
    <w:rsid w:val="00F523B3"/>
    <w:rsid w:val="00F5621D"/>
    <w:rsid w:val="00F56842"/>
    <w:rsid w:val="00F636EF"/>
    <w:rsid w:val="00F74E1F"/>
    <w:rsid w:val="00F81739"/>
    <w:rsid w:val="00F87F9B"/>
    <w:rsid w:val="00F91D1A"/>
    <w:rsid w:val="00FA6AAD"/>
    <w:rsid w:val="00FC3AC9"/>
    <w:rsid w:val="00FC3BD4"/>
    <w:rsid w:val="00FD164D"/>
    <w:rsid w:val="00FD77C3"/>
    <w:rsid w:val="00FE2410"/>
    <w:rsid w:val="00FE4CDF"/>
    <w:rsid w:val="00FE7743"/>
    <w:rsid w:val="00FF354E"/>
    <w:rsid w:val="01AD31F7"/>
    <w:rsid w:val="02474464"/>
    <w:rsid w:val="024CC1E8"/>
    <w:rsid w:val="02CEA911"/>
    <w:rsid w:val="02FDE822"/>
    <w:rsid w:val="03916088"/>
    <w:rsid w:val="03DFC62E"/>
    <w:rsid w:val="05B65915"/>
    <w:rsid w:val="0741889D"/>
    <w:rsid w:val="076096D9"/>
    <w:rsid w:val="08FB6D78"/>
    <w:rsid w:val="0907540D"/>
    <w:rsid w:val="0A69B857"/>
    <w:rsid w:val="0B326D53"/>
    <w:rsid w:val="0B9354E2"/>
    <w:rsid w:val="0BAEFFB3"/>
    <w:rsid w:val="0EADD67F"/>
    <w:rsid w:val="10413C0F"/>
    <w:rsid w:val="10585571"/>
    <w:rsid w:val="117DD416"/>
    <w:rsid w:val="11EC1CD1"/>
    <w:rsid w:val="11FD1697"/>
    <w:rsid w:val="1252C50A"/>
    <w:rsid w:val="13215D63"/>
    <w:rsid w:val="13307D7F"/>
    <w:rsid w:val="137866A8"/>
    <w:rsid w:val="147B8D13"/>
    <w:rsid w:val="14A182D8"/>
    <w:rsid w:val="14AD618C"/>
    <w:rsid w:val="1572D588"/>
    <w:rsid w:val="15C48C30"/>
    <w:rsid w:val="1680A125"/>
    <w:rsid w:val="17BFB4D9"/>
    <w:rsid w:val="17DE7179"/>
    <w:rsid w:val="189D3FF5"/>
    <w:rsid w:val="1A5B2F34"/>
    <w:rsid w:val="1B19E2D7"/>
    <w:rsid w:val="1B6DB345"/>
    <w:rsid w:val="1CD2F736"/>
    <w:rsid w:val="1D018C44"/>
    <w:rsid w:val="1D469032"/>
    <w:rsid w:val="1DD31BE1"/>
    <w:rsid w:val="1F47B154"/>
    <w:rsid w:val="1F846A7C"/>
    <w:rsid w:val="24413C76"/>
    <w:rsid w:val="24544EBA"/>
    <w:rsid w:val="24A7EEDA"/>
    <w:rsid w:val="259099B4"/>
    <w:rsid w:val="2A432C62"/>
    <w:rsid w:val="2A5E9C42"/>
    <w:rsid w:val="2A87F762"/>
    <w:rsid w:val="2AECD27F"/>
    <w:rsid w:val="2B242B95"/>
    <w:rsid w:val="2BE49C8C"/>
    <w:rsid w:val="2C5C6645"/>
    <w:rsid w:val="2C8EBE6F"/>
    <w:rsid w:val="2D9C3A0A"/>
    <w:rsid w:val="2DC83399"/>
    <w:rsid w:val="2EB5218D"/>
    <w:rsid w:val="2EB99B22"/>
    <w:rsid w:val="2F0FBD90"/>
    <w:rsid w:val="2F1DBE5A"/>
    <w:rsid w:val="2FC2A2A6"/>
    <w:rsid w:val="2FE398AF"/>
    <w:rsid w:val="302DDD91"/>
    <w:rsid w:val="34CB9FD6"/>
    <w:rsid w:val="36548BAF"/>
    <w:rsid w:val="36CA1F68"/>
    <w:rsid w:val="374D89AA"/>
    <w:rsid w:val="37998357"/>
    <w:rsid w:val="388453D3"/>
    <w:rsid w:val="39200598"/>
    <w:rsid w:val="3AA9AB8F"/>
    <w:rsid w:val="3ACEA536"/>
    <w:rsid w:val="3C029F2D"/>
    <w:rsid w:val="3C837B1C"/>
    <w:rsid w:val="3DC00161"/>
    <w:rsid w:val="3E84F8E8"/>
    <w:rsid w:val="3EA12772"/>
    <w:rsid w:val="4034DB3A"/>
    <w:rsid w:val="4092BCA9"/>
    <w:rsid w:val="41D484D7"/>
    <w:rsid w:val="42B4B79C"/>
    <w:rsid w:val="43661700"/>
    <w:rsid w:val="44135C7F"/>
    <w:rsid w:val="448678F2"/>
    <w:rsid w:val="4585D6DF"/>
    <w:rsid w:val="4676D41D"/>
    <w:rsid w:val="48210B41"/>
    <w:rsid w:val="484424C9"/>
    <w:rsid w:val="486651A8"/>
    <w:rsid w:val="49B6E570"/>
    <w:rsid w:val="49E964F6"/>
    <w:rsid w:val="4AB4FFEA"/>
    <w:rsid w:val="4C080D2C"/>
    <w:rsid w:val="4DCD229D"/>
    <w:rsid w:val="4E400684"/>
    <w:rsid w:val="4ECA25E8"/>
    <w:rsid w:val="4F3CC5B5"/>
    <w:rsid w:val="4FC5921D"/>
    <w:rsid w:val="5016BE92"/>
    <w:rsid w:val="50D44416"/>
    <w:rsid w:val="51F1A1BF"/>
    <w:rsid w:val="527056EF"/>
    <w:rsid w:val="5353BC1A"/>
    <w:rsid w:val="53E71A9C"/>
    <w:rsid w:val="55B193E0"/>
    <w:rsid w:val="55C42EC2"/>
    <w:rsid w:val="564821A2"/>
    <w:rsid w:val="577BE49A"/>
    <w:rsid w:val="5828278C"/>
    <w:rsid w:val="5A451B13"/>
    <w:rsid w:val="5A7CE123"/>
    <w:rsid w:val="5AB54050"/>
    <w:rsid w:val="5B3A1E09"/>
    <w:rsid w:val="5B8261F6"/>
    <w:rsid w:val="5DC29B51"/>
    <w:rsid w:val="5DE4846E"/>
    <w:rsid w:val="5E60F870"/>
    <w:rsid w:val="5F2D5F37"/>
    <w:rsid w:val="60351999"/>
    <w:rsid w:val="60643C0A"/>
    <w:rsid w:val="61050D7C"/>
    <w:rsid w:val="62DF15AF"/>
    <w:rsid w:val="630C1F36"/>
    <w:rsid w:val="6356044A"/>
    <w:rsid w:val="63E6A6B8"/>
    <w:rsid w:val="64B8F6D8"/>
    <w:rsid w:val="665BFC71"/>
    <w:rsid w:val="674E44E4"/>
    <w:rsid w:val="6945E40F"/>
    <w:rsid w:val="69504C42"/>
    <w:rsid w:val="6A568B9C"/>
    <w:rsid w:val="6BAD5993"/>
    <w:rsid w:val="6C0CDB57"/>
    <w:rsid w:val="6C195891"/>
    <w:rsid w:val="6CC0C6E4"/>
    <w:rsid w:val="6DADCA09"/>
    <w:rsid w:val="6DBDE042"/>
    <w:rsid w:val="6E4D55BC"/>
    <w:rsid w:val="6F862E1C"/>
    <w:rsid w:val="6F93BBA4"/>
    <w:rsid w:val="705B6BD2"/>
    <w:rsid w:val="716F98F3"/>
    <w:rsid w:val="7363A741"/>
    <w:rsid w:val="74894B62"/>
    <w:rsid w:val="74F8E265"/>
    <w:rsid w:val="777E6E2D"/>
    <w:rsid w:val="789ABCB6"/>
    <w:rsid w:val="78B0222B"/>
    <w:rsid w:val="79415F44"/>
    <w:rsid w:val="79831CBE"/>
    <w:rsid w:val="7A004A78"/>
    <w:rsid w:val="7C89DE43"/>
    <w:rsid w:val="7CFF6894"/>
    <w:rsid w:val="7DF850A5"/>
    <w:rsid w:val="7E656384"/>
    <w:rsid w:val="7EFC792A"/>
    <w:rsid w:val="7F44089C"/>
    <w:rsid w:val="7F92D1BD"/>
    <w:rsid w:val="7FC7F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C0E6"/>
  <w15:chartTrackingRefBased/>
  <w15:docId w15:val="{5B793865-44B0-4B53-BD7A-20A9A334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A0E"/>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EE2AD6"/>
    <w:pPr>
      <w:ind w:left="720"/>
      <w:contextualSpacing/>
    </w:pPr>
  </w:style>
  <w:style w:type="table" w:styleId="TableGrid">
    <w:name w:val="Table Grid"/>
    <w:basedOn w:val="TableNormal"/>
    <w:uiPriority w:val="39"/>
    <w:rsid w:val="00C7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58C"/>
  </w:style>
  <w:style w:type="paragraph" w:styleId="Footer">
    <w:name w:val="footer"/>
    <w:basedOn w:val="Normal"/>
    <w:link w:val="FooterChar"/>
    <w:uiPriority w:val="99"/>
    <w:unhideWhenUsed/>
    <w:rsid w:val="00C75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58C"/>
  </w:style>
  <w:style w:type="character" w:styleId="CommentReference">
    <w:name w:val="annotation reference"/>
    <w:basedOn w:val="DefaultParagraphFont"/>
    <w:uiPriority w:val="99"/>
    <w:semiHidden/>
    <w:unhideWhenUsed/>
    <w:rsid w:val="007044BA"/>
    <w:rPr>
      <w:sz w:val="16"/>
      <w:szCs w:val="16"/>
    </w:rPr>
  </w:style>
  <w:style w:type="paragraph" w:styleId="CommentText">
    <w:name w:val="annotation text"/>
    <w:basedOn w:val="Normal"/>
    <w:link w:val="CommentTextChar"/>
    <w:uiPriority w:val="99"/>
    <w:unhideWhenUsed/>
    <w:rsid w:val="007044BA"/>
    <w:pPr>
      <w:spacing w:line="240" w:lineRule="auto"/>
    </w:pPr>
    <w:rPr>
      <w:sz w:val="20"/>
      <w:szCs w:val="20"/>
    </w:rPr>
  </w:style>
  <w:style w:type="character" w:customStyle="1" w:styleId="CommentTextChar">
    <w:name w:val="Comment Text Char"/>
    <w:basedOn w:val="DefaultParagraphFont"/>
    <w:link w:val="CommentText"/>
    <w:uiPriority w:val="99"/>
    <w:rsid w:val="007044BA"/>
    <w:rPr>
      <w:sz w:val="20"/>
      <w:szCs w:val="20"/>
    </w:rPr>
  </w:style>
  <w:style w:type="paragraph" w:styleId="CommentSubject">
    <w:name w:val="annotation subject"/>
    <w:basedOn w:val="CommentText"/>
    <w:next w:val="CommentText"/>
    <w:link w:val="CommentSubjectChar"/>
    <w:uiPriority w:val="99"/>
    <w:semiHidden/>
    <w:unhideWhenUsed/>
    <w:rsid w:val="007044BA"/>
    <w:rPr>
      <w:b/>
      <w:bCs/>
    </w:rPr>
  </w:style>
  <w:style w:type="character" w:customStyle="1" w:styleId="CommentSubjectChar">
    <w:name w:val="Comment Subject Char"/>
    <w:basedOn w:val="CommentTextChar"/>
    <w:link w:val="CommentSubject"/>
    <w:uiPriority w:val="99"/>
    <w:semiHidden/>
    <w:rsid w:val="007044BA"/>
    <w:rPr>
      <w:b/>
      <w:bCs/>
      <w:sz w:val="20"/>
      <w:szCs w:val="20"/>
    </w:rPr>
  </w:style>
  <w:style w:type="character" w:styleId="Mention">
    <w:name w:val="Mention"/>
    <w:basedOn w:val="DefaultParagraphFont"/>
    <w:uiPriority w:val="99"/>
    <w:unhideWhenUsed/>
    <w:rsid w:val="003C5653"/>
    <w:rPr>
      <w:color w:val="2B579A"/>
      <w:shd w:val="clear" w:color="auto" w:fill="E1DFDD"/>
    </w:rPr>
  </w:style>
  <w:style w:type="paragraph" w:styleId="Revision">
    <w:name w:val="Revision"/>
    <w:hidden/>
    <w:uiPriority w:val="99"/>
    <w:semiHidden/>
    <w:rsid w:val="00DF7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2673">
      <w:bodyDiv w:val="1"/>
      <w:marLeft w:val="0"/>
      <w:marRight w:val="0"/>
      <w:marTop w:val="0"/>
      <w:marBottom w:val="0"/>
      <w:divBdr>
        <w:top w:val="none" w:sz="0" w:space="0" w:color="auto"/>
        <w:left w:val="none" w:sz="0" w:space="0" w:color="auto"/>
        <w:bottom w:val="none" w:sz="0" w:space="0" w:color="auto"/>
        <w:right w:val="none" w:sz="0" w:space="0" w:color="auto"/>
      </w:divBdr>
    </w:div>
    <w:div w:id="476529203">
      <w:bodyDiv w:val="1"/>
      <w:marLeft w:val="0"/>
      <w:marRight w:val="0"/>
      <w:marTop w:val="0"/>
      <w:marBottom w:val="0"/>
      <w:divBdr>
        <w:top w:val="none" w:sz="0" w:space="0" w:color="auto"/>
        <w:left w:val="none" w:sz="0" w:space="0" w:color="auto"/>
        <w:bottom w:val="none" w:sz="0" w:space="0" w:color="auto"/>
        <w:right w:val="none" w:sz="0" w:space="0" w:color="auto"/>
      </w:divBdr>
    </w:div>
    <w:div w:id="1101994842">
      <w:bodyDiv w:val="1"/>
      <w:marLeft w:val="0"/>
      <w:marRight w:val="0"/>
      <w:marTop w:val="0"/>
      <w:marBottom w:val="0"/>
      <w:divBdr>
        <w:top w:val="none" w:sz="0" w:space="0" w:color="auto"/>
        <w:left w:val="none" w:sz="0" w:space="0" w:color="auto"/>
        <w:bottom w:val="none" w:sz="0" w:space="0" w:color="auto"/>
        <w:right w:val="none" w:sz="0" w:space="0" w:color="auto"/>
      </w:divBdr>
    </w:div>
    <w:div w:id="1127043697">
      <w:bodyDiv w:val="1"/>
      <w:marLeft w:val="0"/>
      <w:marRight w:val="0"/>
      <w:marTop w:val="0"/>
      <w:marBottom w:val="0"/>
      <w:divBdr>
        <w:top w:val="none" w:sz="0" w:space="0" w:color="auto"/>
        <w:left w:val="none" w:sz="0" w:space="0" w:color="auto"/>
        <w:bottom w:val="none" w:sz="0" w:space="0" w:color="auto"/>
        <w:right w:val="none" w:sz="0" w:space="0" w:color="auto"/>
      </w:divBdr>
    </w:div>
    <w:div w:id="1187016289">
      <w:bodyDiv w:val="1"/>
      <w:marLeft w:val="0"/>
      <w:marRight w:val="0"/>
      <w:marTop w:val="0"/>
      <w:marBottom w:val="0"/>
      <w:divBdr>
        <w:top w:val="none" w:sz="0" w:space="0" w:color="auto"/>
        <w:left w:val="none" w:sz="0" w:space="0" w:color="auto"/>
        <w:bottom w:val="none" w:sz="0" w:space="0" w:color="auto"/>
        <w:right w:val="none" w:sz="0" w:space="0" w:color="auto"/>
      </w:divBdr>
    </w:div>
    <w:div w:id="1900750647">
      <w:bodyDiv w:val="1"/>
      <w:marLeft w:val="0"/>
      <w:marRight w:val="0"/>
      <w:marTop w:val="0"/>
      <w:marBottom w:val="0"/>
      <w:divBdr>
        <w:top w:val="none" w:sz="0" w:space="0" w:color="auto"/>
        <w:left w:val="none" w:sz="0" w:space="0" w:color="auto"/>
        <w:bottom w:val="none" w:sz="0" w:space="0" w:color="auto"/>
        <w:right w:val="none" w:sz="0" w:space="0" w:color="auto"/>
      </w:divBdr>
    </w:div>
    <w:div w:id="1910116050">
      <w:bodyDiv w:val="1"/>
      <w:marLeft w:val="0"/>
      <w:marRight w:val="0"/>
      <w:marTop w:val="0"/>
      <w:marBottom w:val="0"/>
      <w:divBdr>
        <w:top w:val="none" w:sz="0" w:space="0" w:color="auto"/>
        <w:left w:val="none" w:sz="0" w:space="0" w:color="auto"/>
        <w:bottom w:val="none" w:sz="0" w:space="0" w:color="auto"/>
        <w:right w:val="none" w:sz="0" w:space="0" w:color="auto"/>
      </w:divBdr>
    </w:div>
    <w:div w:id="196885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E8192ED40E34E9566D8F460B64F9B" ma:contentTypeVersion="13" ma:contentTypeDescription="Create a new document." ma:contentTypeScope="" ma:versionID="6d11d9a1f16aa3869a07139e2d8aa108">
  <xsd:schema xmlns:xsd="http://www.w3.org/2001/XMLSchema" xmlns:xs="http://www.w3.org/2001/XMLSchema" xmlns:p="http://schemas.microsoft.com/office/2006/metadata/properties" xmlns:ns2="0cd8ac13-2c71-4842-9d88-9755bf3d64f4" xmlns:ns3="f6b31e21-9883-4621-8627-7f8117eac9ed" targetNamespace="http://schemas.microsoft.com/office/2006/metadata/properties" ma:root="true" ma:fieldsID="3670196fe5fe705711b95da0c3028c64" ns2:_="" ns3:_="">
    <xsd:import namespace="0cd8ac13-2c71-4842-9d88-9755bf3d64f4"/>
    <xsd:import namespace="f6b31e21-9883-4621-8627-7f8117eac9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8ac13-2c71-4842-9d88-9755bf3d6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31e21-9883-4621-8627-7f8117eac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ebe92c-0916-4fad-a5a9-1825fe658c85}" ma:internalName="TaxCatchAll" ma:showField="CatchAllData" ma:web="f6b31e21-9883-4621-8627-7f8117eac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b31e21-9883-4621-8627-7f8117eac9ed" xsi:nil="true"/>
    <lcf76f155ced4ddcb4097134ff3c332f xmlns="0cd8ac13-2c71-4842-9d88-9755bf3d64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7C2676-BB20-486A-A115-03F7E3092ED9}"/>
</file>

<file path=customXml/itemProps2.xml><?xml version="1.0" encoding="utf-8"?>
<ds:datastoreItem xmlns:ds="http://schemas.openxmlformats.org/officeDocument/2006/customXml" ds:itemID="{CF8F2044-DA19-4B95-9126-2192047B7563}">
  <ds:schemaRefs>
    <ds:schemaRef ds:uri="http://schemas.microsoft.com/sharepoint/v3/contenttype/forms"/>
  </ds:schemaRefs>
</ds:datastoreItem>
</file>

<file path=customXml/itemProps3.xml><?xml version="1.0" encoding="utf-8"?>
<ds:datastoreItem xmlns:ds="http://schemas.openxmlformats.org/officeDocument/2006/customXml" ds:itemID="{5E3C588C-2AF5-40AA-B378-D08BF63BE278}">
  <ds:schemaRefs>
    <ds:schemaRef ds:uri="http://schemas.microsoft.com/office/2006/metadata/properties"/>
    <ds:schemaRef ds:uri="http://schemas.microsoft.com/office/infopath/2007/PartnerControls"/>
    <ds:schemaRef ds:uri="205688b8-62c6-48ef-a1e8-730cefc687b4"/>
    <ds:schemaRef ds:uri="d77ef14e-a571-4670-8fcd-8fc009495f8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1630</Words>
  <Characters>9293</Characters>
  <Application>Microsoft Office Word</Application>
  <DocSecurity>4</DocSecurity>
  <Lines>77</Lines>
  <Paragraphs>21</Paragraphs>
  <ScaleCrop>false</ScaleCrop>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Rachel</dc:creator>
  <cp:keywords/>
  <dc:description/>
  <cp:lastModifiedBy>Rachel Black</cp:lastModifiedBy>
  <cp:revision>193</cp:revision>
  <dcterms:created xsi:type="dcterms:W3CDTF">2025-04-11T04:28:00Z</dcterms:created>
  <dcterms:modified xsi:type="dcterms:W3CDTF">2025-06-26T23:11:00Z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0x010100B21E8192ED40E34E9566D8F460B64F9B</vt:lpwstr>
  </property>
  <property fmtid="{D5CDD505-2E9C-101B-9397-08002B2CF9AE}" pid="3" name="MSIP_Label_4791b42f-c435-42ca-9531-75a3f42aae3d_Enabled">
    <vt:lpwstr>true</vt:lpwstr>
  </property>
  <property fmtid="{D5CDD505-2E9C-101B-9397-08002B2CF9AE}" pid="4" name="MSIP_Label_4791b42f-c435-42ca-9531-75a3f42aae3d_SetDate">
    <vt:lpwstr>2025-04-10T22:28:12Z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353719ae-e877-45c8-9d27-9e80d62038e3</vt:lpwstr>
  </property>
  <property fmtid="{D5CDD505-2E9C-101B-9397-08002B2CF9AE}" pid="9" name="MSIP_Label_4791b42f-c435-42ca-9531-75a3f42aae3d_ContentBits">
    <vt:lpwstr>0</vt:lpwstr>
  </property>
  <property fmtid="{D5CDD505-2E9C-101B-9397-08002B2CF9AE}" pid="10" name="MSIP_Label_4791b42f-c435-42ca-9531-75a3f42aae3d_Tag">
    <vt:lpwstr>10, 0, 1, 1</vt:lpwstr>
  </property>
  <property fmtid="{D5CDD505-2E9C-101B-9397-08002B2CF9AE}" pid="11" name="MediaServiceImageTags">
    <vt:lpwstr/>
  </property>
</Properties>
</file>