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46E5" w14:textId="77777777" w:rsidR="00480C4D" w:rsidRPr="006076F7" w:rsidRDefault="00480C4D">
      <w:pPr>
        <w:rPr>
          <w:rFonts w:ascii="Helvetica" w:hAnsi="Helvetica"/>
          <w:sz w:val="24"/>
          <w:szCs w:val="24"/>
        </w:rPr>
      </w:pPr>
    </w:p>
    <w:p w14:paraId="14BA78D4" w14:textId="3F307F5A" w:rsidR="00F368DC" w:rsidRPr="006076F7" w:rsidRDefault="0072211D" w:rsidP="006076F7">
      <w:pPr>
        <w:spacing w:line="360" w:lineRule="auto"/>
        <w:rPr>
          <w:rFonts w:ascii="Helvetica" w:hAnsi="Helvetica" w:cs="Times New Roman"/>
          <w:sz w:val="24"/>
          <w:szCs w:val="24"/>
          <w:lang w:val="en"/>
        </w:rPr>
      </w:pPr>
      <w:r w:rsidRPr="006076F7">
        <w:rPr>
          <w:rFonts w:ascii="Helvetica" w:hAnsi="Helvetica" w:cs="Times New Roman"/>
          <w:sz w:val="24"/>
          <w:szCs w:val="24"/>
          <w:lang w:val="en"/>
        </w:rPr>
        <w:t xml:space="preserve">Thematic Analysis </w:t>
      </w:r>
      <w:r w:rsidR="00F368DC" w:rsidRPr="006076F7">
        <w:rPr>
          <w:rFonts w:ascii="Helvetica" w:hAnsi="Helvetica" w:cs="Times New Roman"/>
          <w:sz w:val="24"/>
          <w:szCs w:val="24"/>
          <w:lang w:val="en"/>
        </w:rPr>
        <w:t>Table -</w:t>
      </w:r>
      <w:r w:rsidR="00480C4D" w:rsidRPr="006076F7">
        <w:rPr>
          <w:rFonts w:ascii="Helvetica" w:hAnsi="Helvetica" w:cs="Times New Roman"/>
          <w:sz w:val="24"/>
          <w:szCs w:val="24"/>
          <w:lang w:val="en"/>
        </w:rPr>
        <w:t>3</w:t>
      </w:r>
      <w:r w:rsidR="00F368DC" w:rsidRPr="006076F7">
        <w:rPr>
          <w:rFonts w:ascii="Helvetica" w:hAnsi="Helvetica" w:cs="Times New Roman"/>
          <w:sz w:val="24"/>
          <w:szCs w:val="24"/>
          <w:lang w:val="en"/>
        </w:rPr>
        <w:t xml:space="preserve">a). </w:t>
      </w:r>
    </w:p>
    <w:p w14:paraId="6A024A9D" w14:textId="6D91FD97" w:rsidR="00F368DC" w:rsidRPr="006076F7" w:rsidRDefault="00F368DC" w:rsidP="006076F7">
      <w:pPr>
        <w:spacing w:line="360" w:lineRule="auto"/>
        <w:rPr>
          <w:rFonts w:ascii="Helvetica" w:hAnsi="Helvetica" w:cs="Times New Roman"/>
          <w:b/>
          <w:bCs/>
          <w:sz w:val="24"/>
          <w:szCs w:val="24"/>
          <w:lang w:val="en"/>
        </w:rPr>
      </w:pPr>
      <w:r w:rsidRPr="006076F7">
        <w:rPr>
          <w:rFonts w:ascii="Helvetica" w:hAnsi="Helvetica" w:cs="Times New Roman"/>
          <w:b/>
          <w:bCs/>
          <w:sz w:val="24"/>
          <w:szCs w:val="24"/>
          <w:lang w:val="en"/>
        </w:rPr>
        <w:t xml:space="preserve">Core Category-1: Energy Experiences </w:t>
      </w:r>
    </w:p>
    <w:p w14:paraId="74F54DD0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  <w:lang w:val="en"/>
        </w:rPr>
      </w:pPr>
      <w:r w:rsidRPr="006076F7">
        <w:rPr>
          <w:rFonts w:ascii="Helvetica" w:hAnsi="Helvetica" w:cs="Times New Roman"/>
          <w:sz w:val="24"/>
          <w:szCs w:val="24"/>
          <w:lang w:val="en"/>
        </w:rPr>
        <w:t xml:space="preserve">The Energy Experiences category revealed pranic energy sensations (category:-1), ranging from </w:t>
      </w:r>
      <w:r w:rsidRPr="006076F7">
        <w:rPr>
          <w:rFonts w:ascii="Helvetica" w:eastAsia="Times New Roman" w:hAnsi="Helvetica" w:cs="Times New Roman"/>
          <w:kern w:val="0"/>
          <w:sz w:val="24"/>
          <w:szCs w:val="24"/>
          <w:lang w:eastAsia="en-IN" w:bidi="kn-IN"/>
          <w14:ligatures w14:val="none"/>
        </w:rPr>
        <w:t>Physical Sensations of Energy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 (</w:t>
      </w:r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>tingling,</w:t>
      </w:r>
      <w:r w:rsidRPr="006076F7">
        <w:rPr>
          <w:rFonts w:ascii="Helvetica" w:eastAsia="Times New Roman" w:hAnsi="Helvetica" w:cs="Times New Roman"/>
          <w:i/>
          <w:iCs/>
          <w:kern w:val="0"/>
          <w:sz w:val="24"/>
          <w:szCs w:val="24"/>
          <w:lang w:eastAsia="en-IN" w:bidi="kn-IN"/>
          <w14:ligatures w14:val="none"/>
        </w:rPr>
        <w:t xml:space="preserve"> body was shaking a lot, Sometimes felt electricity movement in the body</w:t>
      </w:r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>priking</w:t>
      </w:r>
      <w:proofErr w:type="spellEnd"/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>etc</w:t>
      </w:r>
      <w:proofErr w:type="spellEnd"/>
      <w:r w:rsidRPr="006076F7">
        <w:rPr>
          <w:rFonts w:ascii="Helvetica" w:hAnsi="Helvetica" w:cs="Times New Roman"/>
          <w:sz w:val="24"/>
          <w:szCs w:val="24"/>
          <w:lang w:val="en"/>
        </w:rPr>
        <w:t>) and magnetic sensations (</w:t>
      </w:r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>feeling magnetic, attraction between hands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), </w:t>
      </w:r>
      <w:r w:rsidRPr="006076F7">
        <w:rPr>
          <w:rFonts w:ascii="Helvetica" w:hAnsi="Helvetica" w:cs="Times New Roman"/>
          <w:i/>
          <w:iCs/>
          <w:sz w:val="24"/>
          <w:szCs w:val="24"/>
          <w:lang w:val="en"/>
        </w:rPr>
        <w:t>something moving inside the body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) Temperature awareness </w:t>
      </w:r>
      <w:r w:rsidRPr="006076F7">
        <w:rPr>
          <w:rFonts w:ascii="Helvetica" w:eastAsia="Times New Roman" w:hAnsi="Helvetica" w:cs="Times New Roman"/>
          <w:i/>
          <w:iCs/>
          <w:kern w:val="0"/>
          <w:sz w:val="24"/>
          <w:szCs w:val="24"/>
          <w:lang w:eastAsia="en-IN" w:bidi="kn-IN"/>
          <w14:ligatures w14:val="none"/>
        </w:rPr>
        <w:t>(The body was heated", "hands and feet became hot during the sitting, cooling)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 and </w:t>
      </w:r>
      <w:r w:rsidRPr="006076F7">
        <w:rPr>
          <w:rFonts w:ascii="Helvetica" w:eastAsia="Times New Roman" w:hAnsi="Helvetica" w:cs="Times New Roman"/>
          <w:kern w:val="0"/>
          <w:sz w:val="24"/>
          <w:szCs w:val="24"/>
          <w:lang w:eastAsia="en-IN" w:bidi="kn-IN"/>
          <w14:ligatures w14:val="none"/>
        </w:rPr>
        <w:t>awareness of the presence of energy (</w:t>
      </w:r>
      <w:r w:rsidRPr="006076F7">
        <w:rPr>
          <w:rFonts w:ascii="Helvetica" w:eastAsia="Times New Roman" w:hAnsi="Helvetica" w:cs="Times New Roman"/>
          <w:i/>
          <w:iCs/>
          <w:kern w:val="0"/>
          <w:sz w:val="24"/>
          <w:szCs w:val="24"/>
          <w:lang w:eastAsia="en-IN" w:bidi="kn-IN"/>
          <w14:ligatures w14:val="none"/>
        </w:rPr>
        <w:t>Some energy, "something moving inside my body and hands and legs, somewhat experience between the hands)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 . These experiences underscore the subjective nature of energy perceptions.</w:t>
      </w:r>
    </w:p>
    <w:p w14:paraId="01B70A2B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b/>
          <w:bCs/>
          <w:sz w:val="24"/>
          <w:szCs w:val="24"/>
          <w:lang w:val="en"/>
        </w:rPr>
      </w:pPr>
      <w:r w:rsidRPr="006076F7">
        <w:rPr>
          <w:rFonts w:ascii="Helvetica" w:hAnsi="Helvetica" w:cs="Times New Roman"/>
          <w:b/>
          <w:bCs/>
          <w:sz w:val="24"/>
          <w:szCs w:val="24"/>
        </w:rPr>
        <w:t xml:space="preserve">Benefits as comprehensive Well-being </w:t>
      </w:r>
      <w:r w:rsidRPr="006076F7">
        <w:rPr>
          <w:rFonts w:ascii="Helvetica" w:hAnsi="Helvetica" w:cs="Times New Roman"/>
          <w:b/>
          <w:bCs/>
          <w:sz w:val="24"/>
          <w:szCs w:val="24"/>
          <w:lang w:val="en"/>
        </w:rPr>
        <w:t>and barriers associated with MPH and SPH</w:t>
      </w:r>
    </w:p>
    <w:p w14:paraId="660DD2C9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</w:rPr>
      </w:pPr>
      <w:r w:rsidRPr="006076F7">
        <w:rPr>
          <w:rFonts w:ascii="Helvetica" w:hAnsi="Helvetica" w:cs="Times New Roman"/>
          <w:sz w:val="24"/>
          <w:szCs w:val="24"/>
          <w:lang w:val="en"/>
        </w:rPr>
        <w:t>After the 8</w:t>
      </w:r>
      <w:r w:rsidRPr="006076F7">
        <w:rPr>
          <w:rFonts w:ascii="Helvetica" w:hAnsi="Helvetica" w:cs="Times New Roman"/>
          <w:sz w:val="24"/>
          <w:szCs w:val="24"/>
          <w:vertAlign w:val="superscript"/>
          <w:lang w:val="en"/>
        </w:rPr>
        <w:t>th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 day intervention, following questions were asked. </w:t>
      </w:r>
      <w:r w:rsidRPr="006076F7">
        <w:rPr>
          <w:rFonts w:ascii="Helvetica" w:hAnsi="Helvetica" w:cs="Times New Roman"/>
          <w:sz w:val="24"/>
          <w:szCs w:val="24"/>
        </w:rPr>
        <w:t xml:space="preserve">what were the benefits that you encountered while participating in the study program? what were the barriers that you encountered while participating in the intervention?  Responses were categorised under the </w:t>
      </w:r>
    </w:p>
    <w:p w14:paraId="3B5C4795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6076F7">
        <w:rPr>
          <w:rFonts w:ascii="Helvetica" w:hAnsi="Helvetica" w:cs="Times New Roman"/>
          <w:b/>
          <w:bCs/>
          <w:sz w:val="24"/>
          <w:szCs w:val="24"/>
          <w:lang w:val="en"/>
        </w:rPr>
        <w:t xml:space="preserve">Core Category -2: </w:t>
      </w:r>
      <w:r w:rsidRPr="006076F7">
        <w:rPr>
          <w:rFonts w:ascii="Helvetica" w:hAnsi="Helvetica" w:cs="Times New Roman"/>
          <w:b/>
          <w:bCs/>
          <w:sz w:val="24"/>
          <w:szCs w:val="24"/>
        </w:rPr>
        <w:t xml:space="preserve">Comprehensive Well-being </w:t>
      </w:r>
    </w:p>
    <w:p w14:paraId="5E32F273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6076F7">
        <w:rPr>
          <w:rFonts w:ascii="Helvetica" w:hAnsi="Helvetica" w:cs="Times New Roman"/>
          <w:sz w:val="24"/>
          <w:szCs w:val="24"/>
        </w:rPr>
        <w:t>This core category integrates both mental and physical benefits, recognizing participants who experienced improvements in either or both aspects. It highlights the holistic impact of the intervention on overall well-being, reflecting the interconnectedness of mind and body.</w:t>
      </w:r>
    </w:p>
    <w:p w14:paraId="638BFF04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6076F7">
        <w:rPr>
          <w:rFonts w:ascii="Helvetica" w:hAnsi="Helvetica" w:cs="Times New Roman"/>
          <w:b/>
          <w:bCs/>
          <w:sz w:val="24"/>
          <w:szCs w:val="24"/>
        </w:rPr>
        <w:t>Sub Category-1: Mental benefits</w:t>
      </w:r>
    </w:p>
    <w:p w14:paraId="6D51FEF5" w14:textId="79530464" w:rsidR="007D5298" w:rsidRDefault="00F368DC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</w:rPr>
      </w:pPr>
      <w:r w:rsidRPr="006076F7">
        <w:rPr>
          <w:rFonts w:ascii="Helvetica" w:hAnsi="Helvetica" w:cs="Times New Roman"/>
          <w:sz w:val="24"/>
          <w:szCs w:val="24"/>
        </w:rPr>
        <w:t xml:space="preserve">Category of mental benefits participants reported experiencing during the intervention, highlighting positive changes in mental, emotional, and cognitive states. The responses were organized under four subthemes: Peace and Calmness, Improved Mental Clarity &amp; Concentration, Relaxation, and Emotional Well-being. </w:t>
      </w:r>
    </w:p>
    <w:p w14:paraId="00DC68D1" w14:textId="77777777" w:rsidR="007D5298" w:rsidRDefault="007D5298">
      <w:pPr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br w:type="page"/>
      </w:r>
    </w:p>
    <w:p w14:paraId="0FACF581" w14:textId="77777777" w:rsidR="00906216" w:rsidRPr="006076F7" w:rsidRDefault="00906216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</w:rPr>
      </w:pPr>
    </w:p>
    <w:p w14:paraId="352696CE" w14:textId="0C87F777" w:rsidR="00F368DC" w:rsidRPr="006076F7" w:rsidRDefault="00F368DC" w:rsidP="006076F7">
      <w:pPr>
        <w:spacing w:line="360" w:lineRule="auto"/>
        <w:rPr>
          <w:rFonts w:ascii="Helvetica" w:hAnsi="Helvetica" w:cs="Times New Roman"/>
          <w:b/>
          <w:bCs/>
          <w:sz w:val="24"/>
          <w:szCs w:val="24"/>
        </w:rPr>
      </w:pPr>
      <w:r w:rsidRPr="006076F7">
        <w:rPr>
          <w:rFonts w:ascii="Helvetica" w:hAnsi="Helvetica" w:cs="Times New Roman"/>
          <w:b/>
          <w:bCs/>
          <w:sz w:val="24"/>
          <w:szCs w:val="24"/>
        </w:rPr>
        <w:t>Sub Category-2: Physical benefits</w:t>
      </w:r>
    </w:p>
    <w:p w14:paraId="24742811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</w:rPr>
      </w:pPr>
      <w:r w:rsidRPr="006076F7">
        <w:rPr>
          <w:rFonts w:ascii="Helvetica" w:hAnsi="Helvetica" w:cs="Times New Roman"/>
          <w:sz w:val="24"/>
          <w:szCs w:val="24"/>
        </w:rPr>
        <w:t xml:space="preserve">This category captures the physical benefits participants reported experiencing during the intervention, the responses are grouped into three subthemes: Improved Sleep, Enhanced Breathing, and General Well-being. These themes underscore the physical improvements participants noted, reflecting the holistic impact of the intervention on their health and overall physical state. </w:t>
      </w:r>
    </w:p>
    <w:p w14:paraId="1731D5BE" w14:textId="77777777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b/>
          <w:bCs/>
          <w:sz w:val="24"/>
          <w:szCs w:val="24"/>
        </w:rPr>
      </w:pPr>
      <w:r w:rsidRPr="006076F7">
        <w:rPr>
          <w:rFonts w:ascii="Helvetica" w:hAnsi="Helvetica" w:cs="Times New Roman"/>
          <w:b/>
          <w:bCs/>
          <w:sz w:val="24"/>
          <w:szCs w:val="24"/>
        </w:rPr>
        <w:t>Sub Category-3: Barriers</w:t>
      </w:r>
    </w:p>
    <w:p w14:paraId="318D38C9" w14:textId="62416E18" w:rsidR="00F368DC" w:rsidRPr="006076F7" w:rsidRDefault="00F368DC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</w:rPr>
      </w:pPr>
      <w:r w:rsidRPr="006076F7">
        <w:rPr>
          <w:rFonts w:ascii="Helvetica" w:hAnsi="Helvetica" w:cs="Times New Roman"/>
          <w:sz w:val="24"/>
          <w:szCs w:val="24"/>
        </w:rPr>
        <w:t xml:space="preserve">This category explores the Barriers participants encountered during the intervention, focusing on challenges or discomforts that may have impacted their experience. The responses are grouped into two subthemes: Presence of Barriers and Absence of Barriers. These themes highlight both the difficulties participants faced and instances where no significant barriers were reported. </w:t>
      </w:r>
    </w:p>
    <w:p w14:paraId="28DA3402" w14:textId="77777777" w:rsidR="00F15566" w:rsidRPr="006076F7" w:rsidRDefault="00F15566" w:rsidP="00F15566">
      <w:pPr>
        <w:jc w:val="both"/>
        <w:rPr>
          <w:rFonts w:ascii="Helvetica" w:hAnsi="Helvetica" w:cs="Times New Roman"/>
          <w:sz w:val="24"/>
          <w:szCs w:val="24"/>
        </w:rPr>
      </w:pPr>
      <w:r w:rsidRPr="006076F7">
        <w:rPr>
          <w:rFonts w:ascii="Helvetica" w:hAnsi="Helvetic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07412" wp14:editId="74F1BAB7">
                <wp:simplePos x="0" y="0"/>
                <wp:positionH relativeFrom="margin">
                  <wp:align>right</wp:align>
                </wp:positionH>
                <wp:positionV relativeFrom="paragraph">
                  <wp:posOffset>2772879</wp:posOffset>
                </wp:positionV>
                <wp:extent cx="5731510" cy="40005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FFC018-6D11-A003-2974-C4D7F3AF22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538E0" w14:textId="77777777" w:rsidR="00F15566" w:rsidRPr="001F5DA3" w:rsidRDefault="00F15566" w:rsidP="00F15566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F5DA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PSE: Physical sensation of Energy, MSE: Magnetic Sensation of Energy </w:t>
                            </w:r>
                          </w:p>
                          <w:p w14:paraId="48339B80" w14:textId="77777777" w:rsidR="00F15566" w:rsidRPr="001F5DA3" w:rsidRDefault="00F15566" w:rsidP="00F15566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F5DA3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TA: Temperature Awareness, APE: Awareness of Presence of Energy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80741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00.1pt;margin-top:218.35pt;width:451.3pt;height:31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" filled="f" stroked="f">
                <v:textbox style="mso-fit-shape-to-text:t">
                  <w:txbxContent>
                    <w:p w14:paraId="0B1538E0" w14:textId="77777777" w:rsidR="00F15566" w:rsidRPr="001F5DA3" w:rsidRDefault="00F15566" w:rsidP="00F15566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1F5DA3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PSE: Physical sensation of Energy, MSE: Magnetic Sensation of Energy </w:t>
                      </w:r>
                    </w:p>
                    <w:p w14:paraId="48339B80" w14:textId="77777777" w:rsidR="00F15566" w:rsidRPr="001F5DA3" w:rsidRDefault="00F15566" w:rsidP="00F15566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both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F5DA3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TA: Temperature Awareness, APE: Awareness of Presence of Energy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76F7">
        <w:rPr>
          <w:rFonts w:ascii="Helvetica" w:hAnsi="Helvetica" w:cs="Times New Roman"/>
          <w:noProof/>
          <w:sz w:val="24"/>
          <w:szCs w:val="24"/>
        </w:rPr>
        <w:drawing>
          <wp:inline distT="0" distB="0" distL="0" distR="0" wp14:anchorId="7894F90F" wp14:editId="0623BAF3">
            <wp:extent cx="5731510" cy="2688590"/>
            <wp:effectExtent l="0" t="0" r="2540" b="16510"/>
            <wp:docPr id="504025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01269C2-63A8-A3D1-32A8-09EEE9358B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609F848" w14:textId="77777777" w:rsidR="00F15566" w:rsidRPr="006076F7" w:rsidRDefault="00F15566" w:rsidP="00F15566">
      <w:pPr>
        <w:jc w:val="both"/>
        <w:rPr>
          <w:rFonts w:ascii="Helvetica" w:hAnsi="Helvetica" w:cs="Times New Roman"/>
          <w:sz w:val="24"/>
          <w:szCs w:val="24"/>
        </w:rPr>
      </w:pPr>
    </w:p>
    <w:p w14:paraId="5786CDE7" w14:textId="77777777" w:rsidR="00F15566" w:rsidRPr="006076F7" w:rsidRDefault="00F15566" w:rsidP="00F15566">
      <w:pPr>
        <w:jc w:val="both"/>
        <w:rPr>
          <w:rFonts w:ascii="Helvetica" w:hAnsi="Helvetica" w:cs="Times New Roman"/>
          <w:sz w:val="24"/>
          <w:szCs w:val="24"/>
          <w:lang w:val="en"/>
        </w:rPr>
      </w:pPr>
    </w:p>
    <w:p w14:paraId="6995F866" w14:textId="77777777" w:rsidR="00F15566" w:rsidRPr="006076F7" w:rsidRDefault="00F15566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  <w:lang w:val="en"/>
        </w:rPr>
      </w:pPr>
    </w:p>
    <w:p w14:paraId="396746F5" w14:textId="0364FD71" w:rsidR="00F15566" w:rsidRPr="006076F7" w:rsidRDefault="00F15566" w:rsidP="006076F7">
      <w:pPr>
        <w:spacing w:line="360" w:lineRule="auto"/>
        <w:jc w:val="both"/>
        <w:rPr>
          <w:rFonts w:ascii="Helvetica" w:hAnsi="Helvetica" w:cs="Times New Roman"/>
          <w:sz w:val="24"/>
          <w:szCs w:val="24"/>
          <w:lang w:val="en"/>
        </w:rPr>
      </w:pPr>
      <w:r w:rsidRPr="006076F7">
        <w:rPr>
          <w:rFonts w:ascii="Helvetica" w:hAnsi="Helvetica" w:cs="Times New Roman"/>
          <w:sz w:val="24"/>
          <w:szCs w:val="24"/>
        </w:rPr>
        <w:t>Supplementary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 Figure -</w:t>
      </w:r>
      <w:r w:rsidR="00415DAD" w:rsidRPr="006076F7">
        <w:rPr>
          <w:rFonts w:ascii="Helvetica" w:hAnsi="Helvetica" w:cs="Times New Roman"/>
          <w:sz w:val="24"/>
          <w:szCs w:val="24"/>
          <w:lang w:val="en"/>
        </w:rPr>
        <w:t>2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: Pranic Energy Experiences reported during the fourth and final sessions of MPH participants </w:t>
      </w:r>
    </w:p>
    <w:p w14:paraId="4A1A000B" w14:textId="467BC515" w:rsidR="00F15566" w:rsidRPr="006076F7" w:rsidRDefault="00F15566" w:rsidP="006076F7">
      <w:pPr>
        <w:spacing w:line="360" w:lineRule="auto"/>
        <w:ind w:firstLine="720"/>
        <w:jc w:val="both"/>
        <w:rPr>
          <w:rFonts w:ascii="Helvetica" w:hAnsi="Helvetica" w:cs="Times New Roman"/>
          <w:sz w:val="24"/>
          <w:szCs w:val="24"/>
          <w:lang w:val="en"/>
        </w:rPr>
      </w:pPr>
      <w:r w:rsidRPr="006076F7">
        <w:rPr>
          <w:rFonts w:ascii="Helvetica" w:hAnsi="Helvetica" w:cs="Times New Roman"/>
          <w:sz w:val="24"/>
          <w:szCs w:val="24"/>
          <w:lang w:val="en"/>
        </w:rPr>
        <w:t xml:space="preserve">In the MPH group, 11 participants reported energy experiences after the fourth session, compared to only one in the sham group. By the final session, 37 participants </w:t>
      </w:r>
      <w:r w:rsidRPr="006076F7">
        <w:rPr>
          <w:rFonts w:ascii="Helvetica" w:hAnsi="Helvetica" w:cs="Times New Roman"/>
          <w:sz w:val="24"/>
          <w:szCs w:val="24"/>
          <w:lang w:val="en"/>
        </w:rPr>
        <w:lastRenderedPageBreak/>
        <w:t>in the MPH group reported experiencing PES. The frequency of various energy-related sensations increased from the fourth session to the last session, including Physical Sensation of Energy (0.20%-90%), Magnetic Sensation of Energy (7%-15%), Temperature Awareness (0-45%), and Awareness of the Presence of Energy (2%-7%) (</w:t>
      </w:r>
      <w:r w:rsidRPr="006076F7">
        <w:rPr>
          <w:rFonts w:ascii="Helvetica" w:hAnsi="Helvetica" w:cs="Times New Roman"/>
          <w:sz w:val="24"/>
          <w:szCs w:val="24"/>
        </w:rPr>
        <w:t>Supplementary</w:t>
      </w:r>
      <w:r w:rsidRPr="006076F7">
        <w:rPr>
          <w:rFonts w:ascii="Helvetica" w:hAnsi="Helvetica" w:cs="Times New Roman"/>
          <w:sz w:val="24"/>
          <w:szCs w:val="24"/>
          <w:lang w:val="en"/>
        </w:rPr>
        <w:t xml:space="preserve"> Figure -4,). Among those reporting Physical Sensation of Energy, 21(52.5%) participants experienced tingling sensations, while 20(50%) reported temperature awareness (19-heat/warm, 1- experienced cold)</w:t>
      </w:r>
      <w:r w:rsidR="005F2A07" w:rsidRPr="006076F7">
        <w:rPr>
          <w:rFonts w:ascii="Helvetica" w:hAnsi="Helvetica" w:cs="Times New Roman"/>
          <w:sz w:val="24"/>
          <w:szCs w:val="24"/>
          <w:lang w:val="en"/>
        </w:rPr>
        <w:t xml:space="preserve"> (</w:t>
      </w:r>
      <w:r w:rsidR="005F2A07" w:rsidRPr="006076F7">
        <w:rPr>
          <w:rFonts w:ascii="Helvetica" w:hAnsi="Helvetica" w:cs="Times New Roman"/>
          <w:sz w:val="24"/>
          <w:szCs w:val="24"/>
        </w:rPr>
        <w:t>Supplementary</w:t>
      </w:r>
      <w:r w:rsidR="005F2A07" w:rsidRPr="006076F7">
        <w:rPr>
          <w:rFonts w:ascii="Helvetica" w:hAnsi="Helvetica" w:cs="Times New Roman"/>
          <w:sz w:val="24"/>
          <w:szCs w:val="24"/>
          <w:lang w:val="en"/>
        </w:rPr>
        <w:t xml:space="preserve"> Figure -2)</w:t>
      </w:r>
      <w:r w:rsidRPr="006076F7">
        <w:rPr>
          <w:rFonts w:ascii="Helvetica" w:hAnsi="Helvetica" w:cs="Times New Roman"/>
          <w:sz w:val="24"/>
          <w:szCs w:val="24"/>
          <w:lang w:val="en"/>
        </w:rPr>
        <w:t>.</w:t>
      </w:r>
    </w:p>
    <w:p w14:paraId="0D1778DB" w14:textId="77777777" w:rsidR="00C50490" w:rsidRPr="006076F7" w:rsidRDefault="00C50490" w:rsidP="00C50490">
      <w:pPr>
        <w:rPr>
          <w:rFonts w:ascii="Helvetica" w:hAnsi="Helvetica"/>
          <w:sz w:val="24"/>
          <w:szCs w:val="24"/>
        </w:rPr>
      </w:pPr>
    </w:p>
    <w:sectPr w:rsidR="00C50490" w:rsidRPr="00607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66"/>
    <w:rsid w:val="000068F5"/>
    <w:rsid w:val="000816DF"/>
    <w:rsid w:val="00162D95"/>
    <w:rsid w:val="00236FA4"/>
    <w:rsid w:val="00415DAD"/>
    <w:rsid w:val="00480C4D"/>
    <w:rsid w:val="00486B5F"/>
    <w:rsid w:val="005F1846"/>
    <w:rsid w:val="005F2A07"/>
    <w:rsid w:val="006076F7"/>
    <w:rsid w:val="006E6665"/>
    <w:rsid w:val="0072211D"/>
    <w:rsid w:val="007B05A1"/>
    <w:rsid w:val="007D5298"/>
    <w:rsid w:val="00906216"/>
    <w:rsid w:val="009C2045"/>
    <w:rsid w:val="00A269B1"/>
    <w:rsid w:val="00AA50BC"/>
    <w:rsid w:val="00B550ED"/>
    <w:rsid w:val="00B70301"/>
    <w:rsid w:val="00C50490"/>
    <w:rsid w:val="00C57854"/>
    <w:rsid w:val="00D22660"/>
    <w:rsid w:val="00DD4A40"/>
    <w:rsid w:val="00E04B76"/>
    <w:rsid w:val="00E50251"/>
    <w:rsid w:val="00E66616"/>
    <w:rsid w:val="00EF2AE4"/>
    <w:rsid w:val="00F15566"/>
    <w:rsid w:val="00F170E7"/>
    <w:rsid w:val="00F368DC"/>
    <w:rsid w:val="00F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58E3"/>
  <w15:chartTrackingRefBased/>
  <w15:docId w15:val="{9CC7833F-C470-42FB-BF17-A92B187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66"/>
  </w:style>
  <w:style w:type="paragraph" w:styleId="Heading1">
    <w:name w:val="heading 1"/>
    <w:basedOn w:val="Normal"/>
    <w:next w:val="Normal"/>
    <w:link w:val="Heading1Char"/>
    <w:uiPriority w:val="9"/>
    <w:qFormat/>
    <w:rsid w:val="00F1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5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6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8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VINU\FILES%20COPIED%2006-07-23\Paramedical\Manuscript\Qualitative\Qualitative%20New%20CAtegorisa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IN" sz="1400" b="0" i="0" u="none" strike="noStrike" kern="1200" spc="0" baseline="0" dirty="0">
                <a:solidFill>
                  <a:prstClr val="black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Frequency of Energy Experiences among MPH Group in different Sessions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'Tingling '!$I$5</c:f>
              <c:strCache>
                <c:ptCount val="1"/>
                <c:pt idx="0">
                  <c:v>PSE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'Tingling '!$J$4:$K$4</c:f>
              <c:strCache>
                <c:ptCount val="2"/>
                <c:pt idx="0">
                  <c:v>Session-4</c:v>
                </c:pt>
                <c:pt idx="1">
                  <c:v>Session-8</c:v>
                </c:pt>
              </c:strCache>
            </c:strRef>
          </c:cat>
          <c:val>
            <c:numRef>
              <c:f>'Tingling '!$J$5:$K$5</c:f>
              <c:numCache>
                <c:formatCode>General</c:formatCode>
                <c:ptCount val="2"/>
                <c:pt idx="0">
                  <c:v>8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2C-4AB9-B66A-CF35D816D134}"/>
            </c:ext>
          </c:extLst>
        </c:ser>
        <c:ser>
          <c:idx val="1"/>
          <c:order val="1"/>
          <c:tx>
            <c:strRef>
              <c:f>'Tingling '!$I$6</c:f>
              <c:strCache>
                <c:ptCount val="1"/>
                <c:pt idx="0">
                  <c:v>MSE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820075337912697E-2"/>
                  <c:y val="-2.9156918682283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2C-4AB9-B66A-CF35D816D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'Tingling '!$J$4:$K$4</c:f>
              <c:strCache>
                <c:ptCount val="2"/>
                <c:pt idx="0">
                  <c:v>Session-4</c:v>
                </c:pt>
                <c:pt idx="1">
                  <c:v>Session-8</c:v>
                </c:pt>
              </c:strCache>
            </c:strRef>
          </c:cat>
          <c:val>
            <c:numRef>
              <c:f>'Tingling '!$J$6:$K$6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2C-4AB9-B66A-CF35D816D134}"/>
            </c:ext>
          </c:extLst>
        </c:ser>
        <c:ser>
          <c:idx val="2"/>
          <c:order val="2"/>
          <c:tx>
            <c:strRef>
              <c:f>'Tingling '!$I$7</c:f>
              <c:strCache>
                <c:ptCount val="1"/>
                <c:pt idx="0">
                  <c:v>TA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0467538222911587E-2"/>
                  <c:y val="-5.538590859893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2C-4AB9-B66A-CF35D816D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'Tingling '!$J$4:$K$4</c:f>
              <c:strCache>
                <c:ptCount val="2"/>
                <c:pt idx="0">
                  <c:v>Session-4</c:v>
                </c:pt>
                <c:pt idx="1">
                  <c:v>Session-8</c:v>
                </c:pt>
              </c:strCache>
            </c:strRef>
          </c:cat>
          <c:val>
            <c:numRef>
              <c:f>'Tingling '!$J$7:$K$7</c:f>
              <c:numCache>
                <c:formatCode>General</c:formatCode>
                <c:ptCount val="2"/>
                <c:pt idx="0">
                  <c:v>0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22C-4AB9-B66A-CF35D816D134}"/>
            </c:ext>
          </c:extLst>
        </c:ser>
        <c:ser>
          <c:idx val="3"/>
          <c:order val="3"/>
          <c:tx>
            <c:strRef>
              <c:f>'Tingling '!$I$8</c:f>
              <c:strCache>
                <c:ptCount val="1"/>
                <c:pt idx="0">
                  <c:v>APE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274097052958121E-2"/>
                  <c:y val="-1.4985921988849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2C-4AB9-B66A-CF35D816D134}"/>
                </c:ext>
              </c:extLst>
            </c:dLbl>
            <c:dLbl>
              <c:idx val="1"/>
              <c:layout>
                <c:manualLayout>
                  <c:x val="-2.2299717016958567E-2"/>
                  <c:y val="-1.8449485607131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2C-4AB9-B66A-CF35D816D1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'Tingling '!$J$4:$K$4</c:f>
              <c:strCache>
                <c:ptCount val="2"/>
                <c:pt idx="0">
                  <c:v>Session-4</c:v>
                </c:pt>
                <c:pt idx="1">
                  <c:v>Session-8</c:v>
                </c:pt>
              </c:strCache>
            </c:strRef>
          </c:cat>
          <c:val>
            <c:numRef>
              <c:f>'Tingling '!$J$8:$K$8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22C-4AB9-B66A-CF35D816D13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3687535"/>
        <c:axId val="223684655"/>
      </c:lineChart>
      <c:catAx>
        <c:axId val="223687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3684655"/>
        <c:crosses val="autoZero"/>
        <c:auto val="1"/>
        <c:lblAlgn val="ctr"/>
        <c:lblOffset val="100"/>
        <c:noMultiLvlLbl val="0"/>
      </c:catAx>
      <c:valAx>
        <c:axId val="2236846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3687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Pranic Healing Foundation, India Research Centre</dc:creator>
  <cp:keywords/>
  <dc:description/>
  <cp:lastModifiedBy>Vinu V</cp:lastModifiedBy>
  <cp:revision>2</cp:revision>
  <dcterms:created xsi:type="dcterms:W3CDTF">2025-06-03T09:32:00Z</dcterms:created>
  <dcterms:modified xsi:type="dcterms:W3CDTF">2025-06-03T09:32:00Z</dcterms:modified>
</cp:coreProperties>
</file>