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B6EB46"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line="360" w:lineRule="auto"/>
        <w:ind w:firstLine="0"/>
        <w:textAlignment w:val="auto"/>
        <w:rPr>
          <w:rFonts w:eastAsiaTheme="minorEastAsia"/>
          <w:b/>
          <w:lang w:eastAsia="zh-CN"/>
        </w:rPr>
      </w:pPr>
      <w:r>
        <w:rPr>
          <w:b/>
        </w:rPr>
        <w:t>List of Supplementary Materials</w:t>
      </w:r>
    </w:p>
    <w:p w14:paraId="30A252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Fig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1 Fabrication process for the NARS</w:t>
      </w:r>
    </w:p>
    <w:p w14:paraId="7BA118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Fig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2 Schematic representation of arthrocentesis</w:t>
      </w:r>
    </w:p>
    <w:p w14:paraId="3558C6A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3 Schematic diagram showing manual reduction</w:t>
      </w:r>
    </w:p>
    <w:p w14:paraId="4D22DC7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Times New Roman" w:hAnsi="Times New Roman" w:cs="Times New Roman" w:eastAsiaTheme="majorEastAsia"/>
          <w:kern w:val="0"/>
          <w:sz w:val="24"/>
          <w:szCs w:val="24"/>
        </w:rPr>
      </w:pPr>
      <w:r>
        <w:rPr>
          <w:rFonts w:ascii="Times New Roman" w:hAnsi="Times New Roman" w:cs="Times New Roman" w:eastAsiaTheme="majorEastAsia"/>
          <w:kern w:val="0"/>
          <w:sz w:val="24"/>
          <w:szCs w:val="24"/>
        </w:rPr>
        <w:t>Table S</w:t>
      </w:r>
      <w:r>
        <w:rPr>
          <w:rFonts w:hint="eastAsia" w:ascii="Times New Roman" w:hAnsi="Times New Roman" w:cs="Times New Roman" w:eastAsiaTheme="majorEastAsia"/>
          <w:kern w:val="0"/>
          <w:sz w:val="24"/>
          <w:szCs w:val="24"/>
        </w:rPr>
        <w:t>1</w:t>
      </w:r>
      <w:r>
        <w:rPr>
          <w:rFonts w:ascii="Times New Roman" w:hAnsi="Times New Roman" w:cs="Times New Roman" w:eastAsiaTheme="majorEastAsia"/>
          <w:kern w:val="0"/>
          <w:sz w:val="24"/>
          <w:szCs w:val="24"/>
        </w:rPr>
        <w:t xml:space="preserve"> Comparison between the observation groups and control groups in terms of disc re-displacement within one week</w:t>
      </w:r>
    </w:p>
    <w:p w14:paraId="366601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ascii="Times New Roman" w:hAnsi="Times New Roman" w:cs="Times New Roman" w:eastAsiaTheme="majorEastAsia"/>
          <w:kern w:val="0"/>
          <w:sz w:val="24"/>
          <w:szCs w:val="24"/>
        </w:rPr>
      </w:pPr>
      <w:r>
        <w:rPr>
          <w:rFonts w:ascii="Times New Roman" w:hAnsi="Times New Roman" w:cs="Times New Roman" w:eastAsiaTheme="majorEastAsia"/>
          <w:kern w:val="0"/>
          <w:sz w:val="24"/>
          <w:szCs w:val="24"/>
        </w:rPr>
        <w:t xml:space="preserve">Table </w:t>
      </w:r>
      <w:r>
        <w:rPr>
          <w:rFonts w:ascii="Times New Roman" w:hAnsi="Times New Roman" w:cs="Times New Roman" w:eastAsiaTheme="majorEastAsia"/>
          <w:b w:val="0"/>
          <w:bCs w:val="0"/>
          <w:kern w:val="0"/>
          <w:sz w:val="24"/>
          <w:szCs w:val="24"/>
        </w:rPr>
        <w:t>S</w:t>
      </w:r>
      <w:r>
        <w:rPr>
          <w:rFonts w:hint="eastAsia" w:ascii="Times New Roman" w:hAnsi="Times New Roman" w:cs="Times New Roman" w:eastAsiaTheme="majorEastAsia"/>
          <w:kern w:val="0"/>
          <w:sz w:val="24"/>
          <w:szCs w:val="24"/>
        </w:rPr>
        <w:t>2</w:t>
      </w:r>
      <w:r>
        <w:rPr>
          <w:rFonts w:ascii="Times New Roman" w:hAnsi="Times New Roman" w:cs="Times New Roman" w:eastAsiaTheme="majorEastAsia"/>
          <w:kern w:val="0"/>
          <w:sz w:val="24"/>
          <w:szCs w:val="24"/>
        </w:rPr>
        <w:t xml:space="preserve"> Comparison of treatment efficacy between the observation groups and control groups</w:t>
      </w:r>
    </w:p>
    <w:p w14:paraId="0EEB3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2C326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367405"/>
            <wp:effectExtent l="0" t="0" r="9525" b="4445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AB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 Fabrication process for the NARS.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A</w:t>
      </w:r>
      <w:r>
        <w:rPr>
          <w:rFonts w:hint="eastAsia"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Transferring the occlusal relationship to the articulator. B</w:t>
      </w:r>
      <w:r>
        <w:rPr>
          <w:rFonts w:hint="eastAsia"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A 0# self-curing resin bond was used to fix the maxillary and mandibular retainers.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NARS</w:t>
      </w:r>
      <w:r>
        <w:rPr>
          <w:rFonts w:hint="eastAsia"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nighttime anterior repositioning splint</w:t>
      </w:r>
    </w:p>
    <w:p w14:paraId="5ABC286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eastAsiaTheme="minorEastAsia"/>
          <w:lang w:eastAsia="zh-CN"/>
        </w:rPr>
      </w:pPr>
    </w:p>
    <w:p w14:paraId="69F32C5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eastAsiaTheme="minorEastAsia"/>
          <w:lang w:eastAsia="zh-CN"/>
        </w:rPr>
      </w:pPr>
    </w:p>
    <w:p w14:paraId="1E32DC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278380"/>
            <wp:effectExtent l="0" t="0" r="9525" b="7620"/>
            <wp:docPr id="2" name="图片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109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2 Schematic representation of arthrocentesis</w:t>
      </w:r>
    </w:p>
    <w:p w14:paraId="138E60F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eastAsiaTheme="minorEastAsia"/>
          <w:lang w:eastAsia="zh-CN"/>
        </w:rPr>
      </w:pPr>
    </w:p>
    <w:p w14:paraId="61BD8A1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4349750"/>
            <wp:effectExtent l="0" t="0" r="9525" b="12700"/>
            <wp:docPr id="3" name="图片 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349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 Schematic diagram showing manual reduction.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hint="eastAsia"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hint="eastAsia"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muscles around the temporomandibular joint area were pressed and relaxed</w:t>
      </w:r>
      <w:r>
        <w:rPr>
          <w:rFonts w:hint="eastAsia"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hint="eastAsia"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Using the first molar as a fulcrum, force was applied to bring the mandible downwards</w:t>
      </w:r>
      <w:r>
        <w:rPr>
          <w:rFonts w:hint="eastAsia"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Then, the mandible was pulled forwards and to the opposite side</w:t>
      </w:r>
      <w:r>
        <w:rPr>
          <w:rFonts w:hint="eastAsia"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E.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Next, the mandible was pulled downwards</w:t>
      </w:r>
      <w:r>
        <w:rPr>
          <w:rFonts w:hint="eastAsia"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F.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articular disc was reduced and located above the condyle with wide mouth opening</w:t>
      </w:r>
      <w:r>
        <w:rPr>
          <w:rFonts w:hint="eastAsia"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G.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disc-condyle relationship was normal in the closed mouth position</w:t>
      </w:r>
      <w:r>
        <w:rPr>
          <w:rFonts w:hint="eastAsia"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H.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disc-condyle relationship was normal when the incisors were in the opposite edge position</w:t>
      </w:r>
      <w:r>
        <w:rPr>
          <w:rFonts w:hint="eastAsia"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I.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Position of the joint and disc before manual reduction</w:t>
      </w:r>
      <w:r>
        <w:rPr>
          <w:rFonts w:hint="eastAsia"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J.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Position of the joint and disc after manual reduction</w:t>
      </w:r>
      <w:r>
        <w:rPr>
          <w:rFonts w:hint="eastAsia"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hint="eastAsia"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disc-condylar relationship was maintained by the anterior repositioning splint</w:t>
      </w:r>
    </w:p>
    <w:p w14:paraId="783A0DB9">
      <w:pPr>
        <w:rPr>
          <w:rFonts w:hint="eastAsia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85732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Times New Roman" w:hAnsi="Times New Roman" w:cs="Times New Roman" w:eastAsiaTheme="majorEastAsia"/>
          <w:b/>
          <w:bCs/>
          <w:kern w:val="0"/>
          <w:sz w:val="24"/>
          <w:szCs w:val="24"/>
        </w:rPr>
      </w:pPr>
      <w:r>
        <w:rPr>
          <w:rFonts w:ascii="Times New Roman" w:hAnsi="Times New Roman" w:cs="Times New Roman" w:eastAsiaTheme="majorEastAsia"/>
          <w:b/>
          <w:bCs/>
          <w:kern w:val="0"/>
          <w:sz w:val="24"/>
          <w:szCs w:val="24"/>
        </w:rPr>
        <w:t>Table S</w:t>
      </w:r>
      <w:r>
        <w:rPr>
          <w:rFonts w:hint="eastAsia" w:ascii="Times New Roman" w:hAnsi="Times New Roman" w:cs="Times New Roman" w:eastAsiaTheme="majorEastAsia"/>
          <w:b/>
          <w:bCs/>
          <w:kern w:val="0"/>
          <w:sz w:val="24"/>
          <w:szCs w:val="24"/>
        </w:rPr>
        <w:t>1</w:t>
      </w:r>
      <w:r>
        <w:rPr>
          <w:rFonts w:ascii="Times New Roman" w:hAnsi="Times New Roman" w:cs="Times New Roman" w:eastAsiaTheme="majorEastAsia"/>
          <w:b/>
          <w:bCs/>
          <w:kern w:val="0"/>
          <w:sz w:val="24"/>
          <w:szCs w:val="24"/>
        </w:rPr>
        <w:t xml:space="preserve"> Comparison between the observation groups and control groups in terms of disc re-displacement within one week</w:t>
      </w:r>
    </w:p>
    <w:tbl>
      <w:tblPr>
        <w:tblStyle w:val="3"/>
        <w:tblW w:w="4997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1829"/>
        <w:gridCol w:w="1749"/>
        <w:gridCol w:w="1749"/>
        <w:gridCol w:w="757"/>
        <w:gridCol w:w="839"/>
      </w:tblGrid>
      <w:tr w14:paraId="6886AA6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56" w:hRule="atLeast"/>
        </w:trPr>
        <w:tc>
          <w:tcPr>
            <w:tcW w:w="977" w:type="pct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2AC29A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Group</w:t>
            </w:r>
          </w:p>
        </w:tc>
        <w:tc>
          <w:tcPr>
            <w:tcW w:w="992" w:type="pct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06B1CD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Re-displacement</w:t>
            </w:r>
          </w:p>
        </w:tc>
        <w:tc>
          <w:tcPr>
            <w:tcW w:w="1027" w:type="pct"/>
            <w:tcBorders>
              <w:top w:val="single" w:color="auto" w:sz="12" w:space="0"/>
              <w:bottom w:val="single" w:color="auto" w:sz="12" w:space="0"/>
            </w:tcBorders>
          </w:tcPr>
          <w:p w14:paraId="6E1733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Non re-displacement</w:t>
            </w:r>
          </w:p>
        </w:tc>
        <w:tc>
          <w:tcPr>
            <w:tcW w:w="1027" w:type="pct"/>
            <w:tcBorders>
              <w:top w:val="single" w:color="auto" w:sz="12" w:space="0"/>
              <w:bottom w:val="single" w:color="auto" w:sz="12" w:space="0"/>
            </w:tcBorders>
          </w:tcPr>
          <w:p w14:paraId="0B2EA7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Rate of re-displacement</w:t>
            </w:r>
          </w:p>
        </w:tc>
        <w:tc>
          <w:tcPr>
            <w:tcW w:w="444" w:type="pct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17ECA0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sym w:font="Symbol" w:char="F063"/>
            </w: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34" w:type="pct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6BC465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i/>
                <w:iCs/>
                <w:kern w:val="0"/>
                <w:sz w:val="24"/>
                <w:szCs w:val="24"/>
              </w:rPr>
              <w:t>P</w:t>
            </w:r>
          </w:p>
        </w:tc>
      </w:tr>
      <w:tr w14:paraId="0188B87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7" w:type="pct"/>
            <w:tcBorders>
              <w:top w:val="single" w:color="auto" w:sz="12" w:space="0"/>
              <w:bottom w:val="nil"/>
            </w:tcBorders>
          </w:tcPr>
          <w:p w14:paraId="11434C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Observation groups (A</w:t>
            </w:r>
            <w:r>
              <w:rPr>
                <w:rFonts w:hint="eastAsia" w:ascii="Times New Roman" w:hAnsi="Times New Roman" w:cs="Times New Roman" w:eastAsiaTheme="major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+</w:t>
            </w:r>
            <w:r>
              <w:rPr>
                <w:rFonts w:hint="eastAsia" w:ascii="Times New Roman" w:hAnsi="Times New Roman" w:cs="Times New Roman" w:eastAsiaTheme="major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B)</w:t>
            </w:r>
          </w:p>
        </w:tc>
        <w:tc>
          <w:tcPr>
            <w:tcW w:w="992" w:type="pct"/>
            <w:tcBorders>
              <w:top w:val="single" w:color="auto" w:sz="12" w:space="0"/>
              <w:bottom w:val="nil"/>
            </w:tcBorders>
            <w:vAlign w:val="center"/>
          </w:tcPr>
          <w:p w14:paraId="5DDA3D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1027" w:type="pct"/>
            <w:tcBorders>
              <w:top w:val="single" w:color="auto" w:sz="12" w:space="0"/>
              <w:bottom w:val="nil"/>
            </w:tcBorders>
            <w:vAlign w:val="center"/>
          </w:tcPr>
          <w:p w14:paraId="188600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52</w:t>
            </w:r>
          </w:p>
        </w:tc>
        <w:tc>
          <w:tcPr>
            <w:tcW w:w="1027" w:type="pct"/>
            <w:tcBorders>
              <w:top w:val="single" w:color="auto" w:sz="12" w:space="0"/>
              <w:bottom w:val="nil"/>
            </w:tcBorders>
            <w:vAlign w:val="center"/>
          </w:tcPr>
          <w:p w14:paraId="67BD5F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7.69%</w:t>
            </w:r>
          </w:p>
        </w:tc>
        <w:tc>
          <w:tcPr>
            <w:tcW w:w="444" w:type="pct"/>
            <w:vMerge w:val="restart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670B24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6.724</w:t>
            </w:r>
          </w:p>
        </w:tc>
        <w:tc>
          <w:tcPr>
            <w:tcW w:w="534" w:type="pct"/>
            <w:vMerge w:val="restart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317571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0.01</w:t>
            </w:r>
          </w:p>
        </w:tc>
      </w:tr>
      <w:tr w14:paraId="224FE37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7" w:type="pct"/>
            <w:tcBorders>
              <w:top w:val="nil"/>
              <w:bottom w:val="single" w:color="auto" w:sz="12" w:space="0"/>
            </w:tcBorders>
          </w:tcPr>
          <w:p w14:paraId="7518B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Control groups (C</w:t>
            </w:r>
            <w:r>
              <w:rPr>
                <w:rFonts w:hint="eastAsia" w:ascii="Times New Roman" w:hAnsi="Times New Roman" w:cs="Times New Roman" w:eastAsiaTheme="major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+</w:t>
            </w:r>
            <w:r>
              <w:rPr>
                <w:rFonts w:hint="eastAsia" w:ascii="Times New Roman" w:hAnsi="Times New Roman" w:cs="Times New Roman" w:eastAsiaTheme="major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D)</w:t>
            </w:r>
          </w:p>
        </w:tc>
        <w:tc>
          <w:tcPr>
            <w:tcW w:w="992" w:type="pct"/>
            <w:tcBorders>
              <w:top w:val="nil"/>
              <w:bottom w:val="single" w:color="auto" w:sz="12" w:space="0"/>
            </w:tcBorders>
            <w:vAlign w:val="center"/>
          </w:tcPr>
          <w:p w14:paraId="4F621F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13</w:t>
            </w:r>
          </w:p>
        </w:tc>
        <w:tc>
          <w:tcPr>
            <w:tcW w:w="1027" w:type="pct"/>
            <w:tcBorders>
              <w:top w:val="nil"/>
              <w:bottom w:val="single" w:color="auto" w:sz="12" w:space="0"/>
            </w:tcBorders>
            <w:vAlign w:val="center"/>
          </w:tcPr>
          <w:p w14:paraId="02657D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38</w:t>
            </w:r>
          </w:p>
        </w:tc>
        <w:tc>
          <w:tcPr>
            <w:tcW w:w="1027" w:type="pct"/>
            <w:tcBorders>
              <w:top w:val="nil"/>
              <w:bottom w:val="single" w:color="auto" w:sz="12" w:space="0"/>
            </w:tcBorders>
            <w:vAlign w:val="center"/>
          </w:tcPr>
          <w:p w14:paraId="0A7DE9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25.5%</w:t>
            </w:r>
          </w:p>
        </w:tc>
        <w:tc>
          <w:tcPr>
            <w:tcW w:w="444" w:type="pct"/>
            <w:vMerge w:val="continue"/>
            <w:tcBorders>
              <w:top w:val="nil"/>
              <w:bottom w:val="single" w:color="auto" w:sz="12" w:space="0"/>
            </w:tcBorders>
          </w:tcPr>
          <w:p w14:paraId="1B691D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</w:p>
        </w:tc>
        <w:tc>
          <w:tcPr>
            <w:tcW w:w="534" w:type="pct"/>
            <w:vMerge w:val="continue"/>
            <w:tcBorders>
              <w:top w:val="nil"/>
              <w:bottom w:val="single" w:color="auto" w:sz="12" w:space="0"/>
            </w:tcBorders>
          </w:tcPr>
          <w:p w14:paraId="2A9146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</w:p>
        </w:tc>
      </w:tr>
    </w:tbl>
    <w:p w14:paraId="68B05B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ascii="Times New Roman" w:hAnsi="Times New Roman" w:cs="Times New Roman" w:eastAsiaTheme="majorEastAsia"/>
          <w:b/>
          <w:bCs/>
          <w:kern w:val="0"/>
          <w:sz w:val="24"/>
          <w:szCs w:val="24"/>
        </w:rPr>
      </w:pPr>
      <w:r>
        <w:rPr>
          <w:rFonts w:ascii="Times New Roman" w:hAnsi="Times New Roman" w:cs="Times New Roman" w:eastAsiaTheme="majorEastAsia"/>
          <w:b/>
          <w:bCs/>
          <w:kern w:val="0"/>
          <w:sz w:val="24"/>
          <w:szCs w:val="24"/>
        </w:rPr>
        <w:t>Table S</w:t>
      </w:r>
      <w:r>
        <w:rPr>
          <w:rFonts w:hint="eastAsia" w:ascii="Times New Roman" w:hAnsi="Times New Roman" w:cs="Times New Roman" w:eastAsiaTheme="majorEastAsia"/>
          <w:b/>
          <w:bCs/>
          <w:kern w:val="0"/>
          <w:sz w:val="24"/>
          <w:szCs w:val="24"/>
        </w:rPr>
        <w:t>2</w:t>
      </w:r>
      <w:r>
        <w:rPr>
          <w:rFonts w:ascii="Times New Roman" w:hAnsi="Times New Roman" w:cs="Times New Roman" w:eastAsiaTheme="majorEastAsia"/>
          <w:b/>
          <w:bCs/>
          <w:kern w:val="0"/>
          <w:sz w:val="24"/>
          <w:szCs w:val="24"/>
        </w:rPr>
        <w:t xml:space="preserve"> Comparison of treatment efficacy between the observation groups and control groups</w:t>
      </w:r>
      <w:bookmarkStart w:id="0" w:name="_GoBack"/>
      <w:bookmarkEnd w:id="0"/>
    </w:p>
    <w:tbl>
      <w:tblPr>
        <w:tblStyle w:val="3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1347"/>
        <w:gridCol w:w="1736"/>
        <w:gridCol w:w="1237"/>
        <w:gridCol w:w="1210"/>
        <w:gridCol w:w="1183"/>
      </w:tblGrid>
      <w:tr w14:paraId="4E4C982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025425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Group</w:t>
            </w:r>
          </w:p>
        </w:tc>
        <w:tc>
          <w:tcPr>
            <w:tcW w:w="134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712C9A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Effective</w:t>
            </w:r>
          </w:p>
        </w:tc>
        <w:tc>
          <w:tcPr>
            <w:tcW w:w="1736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573384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Ineffective</w:t>
            </w:r>
          </w:p>
        </w:tc>
        <w:tc>
          <w:tcPr>
            <w:tcW w:w="123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6E6D08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Rate of efficacy</w:t>
            </w:r>
          </w:p>
        </w:tc>
        <w:tc>
          <w:tcPr>
            <w:tcW w:w="1210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67E8C6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sym w:font="Symbol" w:char="F063"/>
            </w: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83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680621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i/>
                <w:iCs/>
                <w:kern w:val="0"/>
                <w:sz w:val="24"/>
                <w:szCs w:val="24"/>
              </w:rPr>
              <w:t>P</w:t>
            </w:r>
          </w:p>
        </w:tc>
      </w:tr>
      <w:tr w14:paraId="0CD1722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tcBorders>
              <w:top w:val="single" w:color="auto" w:sz="12" w:space="0"/>
              <w:bottom w:val="nil"/>
            </w:tcBorders>
          </w:tcPr>
          <w:p w14:paraId="6B7718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Observation groups (A</w:t>
            </w:r>
            <w:r>
              <w:rPr>
                <w:rFonts w:hint="eastAsia" w:ascii="Times New Roman" w:hAnsi="Times New Roman" w:cs="Times New Roman" w:eastAsiaTheme="major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+</w:t>
            </w:r>
            <w:r>
              <w:rPr>
                <w:rFonts w:hint="eastAsia" w:ascii="Times New Roman" w:hAnsi="Times New Roman" w:cs="Times New Roman" w:eastAsiaTheme="major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B)</w:t>
            </w:r>
          </w:p>
        </w:tc>
        <w:tc>
          <w:tcPr>
            <w:tcW w:w="1347" w:type="dxa"/>
            <w:tcBorders>
              <w:top w:val="single" w:color="auto" w:sz="12" w:space="0"/>
              <w:bottom w:val="nil"/>
            </w:tcBorders>
            <w:vAlign w:val="center"/>
          </w:tcPr>
          <w:p w14:paraId="52F656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50</w:t>
            </w:r>
          </w:p>
        </w:tc>
        <w:tc>
          <w:tcPr>
            <w:tcW w:w="1736" w:type="dxa"/>
            <w:tcBorders>
              <w:top w:val="single" w:color="auto" w:sz="12" w:space="0"/>
              <w:bottom w:val="nil"/>
            </w:tcBorders>
            <w:vAlign w:val="center"/>
          </w:tcPr>
          <w:p w14:paraId="4F5504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color="auto" w:sz="12" w:space="0"/>
              <w:bottom w:val="nil"/>
            </w:tcBorders>
            <w:vAlign w:val="center"/>
          </w:tcPr>
          <w:p w14:paraId="0BAB70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89.3%</w:t>
            </w:r>
          </w:p>
        </w:tc>
        <w:tc>
          <w:tcPr>
            <w:tcW w:w="1210" w:type="dxa"/>
            <w:vMerge w:val="restart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4B0444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3.990</w:t>
            </w:r>
          </w:p>
        </w:tc>
        <w:tc>
          <w:tcPr>
            <w:tcW w:w="1183" w:type="dxa"/>
            <w:vMerge w:val="restart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7DBE69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0.046</w:t>
            </w:r>
          </w:p>
        </w:tc>
      </w:tr>
      <w:tr w14:paraId="59C74E6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tcBorders>
              <w:top w:val="nil"/>
              <w:bottom w:val="single" w:color="auto" w:sz="12" w:space="0"/>
            </w:tcBorders>
          </w:tcPr>
          <w:p w14:paraId="5A1495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Control groups</w:t>
            </w:r>
            <w:r>
              <w:rPr>
                <w:rFonts w:hint="eastAsia" w:ascii="Times New Roman" w:hAnsi="Times New Roman" w:cs="Times New Roman" w:eastAsiaTheme="majorEastAsia"/>
                <w:kern w:val="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C</w:t>
            </w:r>
            <w:r>
              <w:rPr>
                <w:rFonts w:hint="eastAsia" w:ascii="Times New Roman" w:hAnsi="Times New Roman" w:cs="Times New Roman" w:eastAsiaTheme="major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+</w:t>
            </w:r>
            <w:r>
              <w:rPr>
                <w:rFonts w:hint="eastAsia" w:ascii="Times New Roman" w:hAnsi="Times New Roman" w:cs="Times New Roman" w:eastAsiaTheme="major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D)</w:t>
            </w:r>
          </w:p>
        </w:tc>
        <w:tc>
          <w:tcPr>
            <w:tcW w:w="1347" w:type="dxa"/>
            <w:tcBorders>
              <w:top w:val="nil"/>
              <w:bottom w:val="single" w:color="auto" w:sz="12" w:space="0"/>
            </w:tcBorders>
            <w:vAlign w:val="center"/>
          </w:tcPr>
          <w:p w14:paraId="62AA33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38</w:t>
            </w:r>
          </w:p>
        </w:tc>
        <w:tc>
          <w:tcPr>
            <w:tcW w:w="1736" w:type="dxa"/>
            <w:tcBorders>
              <w:top w:val="nil"/>
              <w:bottom w:val="single" w:color="auto" w:sz="12" w:space="0"/>
            </w:tcBorders>
            <w:vAlign w:val="center"/>
          </w:tcPr>
          <w:p w14:paraId="367A79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13</w:t>
            </w:r>
          </w:p>
        </w:tc>
        <w:tc>
          <w:tcPr>
            <w:tcW w:w="1237" w:type="dxa"/>
            <w:tcBorders>
              <w:top w:val="nil"/>
              <w:bottom w:val="single" w:color="auto" w:sz="12" w:space="0"/>
            </w:tcBorders>
            <w:vAlign w:val="center"/>
          </w:tcPr>
          <w:p w14:paraId="138A6A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  <w:t>74.5%</w:t>
            </w:r>
          </w:p>
        </w:tc>
        <w:tc>
          <w:tcPr>
            <w:tcW w:w="1210" w:type="dxa"/>
            <w:vMerge w:val="continue"/>
            <w:tcBorders>
              <w:top w:val="nil"/>
              <w:bottom w:val="single" w:color="auto" w:sz="12" w:space="0"/>
            </w:tcBorders>
            <w:vAlign w:val="center"/>
          </w:tcPr>
          <w:p w14:paraId="402AAA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</w:p>
        </w:tc>
        <w:tc>
          <w:tcPr>
            <w:tcW w:w="1183" w:type="dxa"/>
            <w:vMerge w:val="continue"/>
            <w:tcBorders>
              <w:top w:val="nil"/>
              <w:bottom w:val="single" w:color="auto" w:sz="12" w:space="0"/>
            </w:tcBorders>
            <w:vAlign w:val="center"/>
          </w:tcPr>
          <w:p w14:paraId="3FCDEB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both"/>
              <w:textAlignment w:val="auto"/>
              <w:rPr>
                <w:rFonts w:ascii="Times New Roman" w:hAnsi="Times New Roman" w:cs="Times New Roman" w:eastAsiaTheme="majorEastAsia"/>
                <w:kern w:val="0"/>
                <w:sz w:val="24"/>
                <w:szCs w:val="24"/>
              </w:rPr>
            </w:pPr>
          </w:p>
        </w:tc>
      </w:tr>
    </w:tbl>
    <w:p w14:paraId="4038B9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A72B2"/>
    <w:rsid w:val="44903B5E"/>
    <w:rsid w:val="4B4B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Paragraph"/>
    <w:basedOn w:val="6"/>
    <w:qFormat/>
    <w:uiPriority w:val="0"/>
    <w:pPr>
      <w:ind w:firstLine="720"/>
    </w:pPr>
  </w:style>
  <w:style w:type="paragraph" w:customStyle="1" w:styleId="6">
    <w:name w:val="Base_Text"/>
    <w:qFormat/>
    <w:uiPriority w:val="0"/>
    <w:pPr>
      <w:spacing w:before="1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306</Words>
  <Characters>1672</Characters>
  <Lines>0</Lines>
  <Paragraphs>0</Paragraphs>
  <TotalTime>1</TotalTime>
  <ScaleCrop>false</ScaleCrop>
  <LinksUpToDate>false</LinksUpToDate>
  <CharactersWithSpaces>1935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2025-06-13T01:10:00Z</dcterms:created>
  <dc:creator>PC</dc:creator>
  <cp:lastModifiedBy>PC</cp:lastModifiedBy>
  <dcterms:modified xsi:type="dcterms:W3CDTF">2025-06-20T07:25:30Z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eyJoZGlkIjoiM2ZlMDZkNTc1NzY3NzlmNDMzYjdlZjAzZTI3MTc4MTQiLCJ1c2VySWQiOiIzNTYwMzYwODEifQ==</vt:lpwstr>
  </property>
  <property fmtid="{D5CDD505-2E9C-101B-9397-08002B2CF9AE}" pid="4" name="ICV">
    <vt:lpwstr>5BDA2E27F3DE44879B4CC6A498202FA0_12</vt:lpwstr>
  </property>
</Properties>
</file>