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B4CE" w14:textId="77777777" w:rsidR="00F10817" w:rsidRPr="00361D04" w:rsidRDefault="00F10817" w:rsidP="00F10817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361D04">
        <w:rPr>
          <w:rFonts w:ascii="Times New Roman" w:hAnsi="Times New Roman" w:cs="Times New Roman" w:hint="eastAsia"/>
          <w:b/>
          <w:bCs/>
          <w:sz w:val="28"/>
          <w:szCs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8"/>
          <w:szCs w:val="24"/>
        </w:rPr>
        <w:t xml:space="preserve"> Tables</w:t>
      </w:r>
    </w:p>
    <w:p w14:paraId="2182066C" w14:textId="77777777" w:rsidR="00F10817" w:rsidRDefault="00F10817" w:rsidP="00F10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Supplementary Table S1 Univariate analysis: the estimated odds ratio by simple logistic regression.</w:t>
      </w:r>
    </w:p>
    <w:tbl>
      <w:tblPr>
        <w:tblW w:w="147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0"/>
        <w:gridCol w:w="1900"/>
        <w:gridCol w:w="900"/>
        <w:gridCol w:w="1900"/>
        <w:gridCol w:w="900"/>
        <w:gridCol w:w="1900"/>
        <w:gridCol w:w="900"/>
        <w:gridCol w:w="1900"/>
        <w:gridCol w:w="1280"/>
      </w:tblGrid>
      <w:tr w:rsidR="00F10817" w:rsidRPr="00361D04" w14:paraId="1FA27745" w14:textId="77777777" w:rsidTr="00BC251B">
        <w:trPr>
          <w:trHeight w:val="360"/>
        </w:trPr>
        <w:tc>
          <w:tcPr>
            <w:tcW w:w="314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D30E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F02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pre hospital</w:t>
            </w:r>
            <w:proofErr w:type="gramEnd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ROSC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E6C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Survival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over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hours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765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Survival to discharge</w:t>
            </w:r>
          </w:p>
        </w:tc>
        <w:tc>
          <w:tcPr>
            <w:tcW w:w="31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EDF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Good CPC</w:t>
            </w:r>
          </w:p>
        </w:tc>
      </w:tr>
      <w:tr w:rsidR="00F10817" w:rsidRPr="00361D04" w14:paraId="64EA5058" w14:textId="77777777" w:rsidTr="00BC251B">
        <w:trPr>
          <w:trHeight w:val="340"/>
        </w:trPr>
        <w:tc>
          <w:tcPr>
            <w:tcW w:w="314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64C70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F2B44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OR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(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95%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CI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BD3F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-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value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5F020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OR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(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95%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CI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E481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-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value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FBFD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OR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(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95%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CI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F8B2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-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value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9134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OR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(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95%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CI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6788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>-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value</w:t>
            </w:r>
          </w:p>
        </w:tc>
      </w:tr>
      <w:tr w:rsidR="00F10817" w:rsidRPr="00361D04" w14:paraId="1A7856F3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92B7F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Treatment group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D5A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419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647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34C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8B8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E1E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9963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7FE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10817" w:rsidRPr="00361D04" w14:paraId="2FAB43DA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C6B31" w14:textId="77777777" w:rsidR="00F10817" w:rsidRPr="00361D04" w:rsidRDefault="00F10817" w:rsidP="00BC251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667D8">
              <w:rPr>
                <w:rFonts w:ascii="Times New Roman" w:hAnsi="Times New Roman" w:cs="Times New Roman"/>
              </w:rPr>
              <w:t>o access attempt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F22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Ref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erence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E49E4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5824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Ref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erence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2C4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796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Ref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erence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6DE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696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Ref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erence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3B2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F10817" w:rsidRPr="00361D04" w14:paraId="60876F08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CABA" w14:textId="77777777" w:rsidR="00F10817" w:rsidRPr="00361D04" w:rsidRDefault="00F10817" w:rsidP="00BC251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14D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1.83(1.38-2.41)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7683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530F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1.43(1.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7-1.7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3AC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E5F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1.83(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1.43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.3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717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F80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1.40(1.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03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228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0.033 </w:t>
            </w:r>
          </w:p>
        </w:tc>
      </w:tr>
      <w:tr w:rsidR="00F10817" w:rsidRPr="00361D04" w14:paraId="1D1C46D1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B6584" w14:textId="77777777" w:rsidR="00F10817" w:rsidRPr="00361D04" w:rsidRDefault="00F10817" w:rsidP="00BC251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4A1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1.47(1.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966C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0.001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71F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1.16(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1A0C" w14:textId="77777777" w:rsidR="00F10817" w:rsidRPr="00D64FA7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64FA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0.043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FCA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5DCB" w14:textId="77777777" w:rsidR="00F10817" w:rsidRPr="00D64FA7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64FA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0.032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079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1.05(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B0E3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0.735 </w:t>
            </w:r>
          </w:p>
        </w:tc>
      </w:tr>
      <w:tr w:rsidR="00F10817" w:rsidRPr="00361D04" w14:paraId="367D4631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591AC" w14:textId="77777777" w:rsidR="00F10817" w:rsidRPr="00361D04" w:rsidRDefault="00F10817" w:rsidP="00BC251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E667D8">
              <w:rPr>
                <w:rFonts w:ascii="Times New Roman" w:hAnsi="Times New Roman" w:cs="Times New Roman"/>
              </w:rPr>
              <w:t>ailed IV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53D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0.59(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32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86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4F9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0.086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869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0.85(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.1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CB7B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0.318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6F7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0.80(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8BE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0.358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2A2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0.49(0.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-0.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97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7296E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0.040 </w:t>
            </w:r>
          </w:p>
        </w:tc>
      </w:tr>
      <w:tr w:rsidR="00F10817" w:rsidRPr="00361D04" w14:paraId="162A45EF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A887C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w/ Epinephrine vs. w/o 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F03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1.43(1.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15-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78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288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0.001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8B1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1.09(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F45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0.262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27D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7171B" w14:textId="77777777" w:rsidR="00F10817" w:rsidRPr="008009B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8009B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0.021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42E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96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92E1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</w:tc>
      </w:tr>
      <w:tr w:rsidR="00F10817" w:rsidRPr="00361D04" w14:paraId="06F11B39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94FF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5FD2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0.98(0.9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-0.99)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DF7E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CD0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0.99(0.98-0.99)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A3D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4E1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0.98(0.97-0.98)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DAE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01D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0.97(0.96-0.98)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8AF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</w:tr>
      <w:tr w:rsidR="00F10817" w:rsidRPr="00361D04" w14:paraId="4262920E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05FD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Gender (F vs. M)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B08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1.00(0.80-1.24)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96F6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0.982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ABD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0.99(0.86-1.15)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6CD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0.944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6FD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0.98(0.80-1.19)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542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0.823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4607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0.82(0.64-1.05)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56CF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0.112 </w:t>
            </w:r>
          </w:p>
        </w:tc>
      </w:tr>
      <w:tr w:rsidR="00F10817" w:rsidRPr="00361D04" w14:paraId="7C5C6F97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F7C1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Witness (Y vs. N)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8AB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3.42(2.76-4.24)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917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B63E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2.68(2.32-3.09)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1AB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F1FE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3.22(2.64-3.92)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80BC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742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3.18(2.50-4.04)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DD6C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</w:tr>
      <w:tr w:rsidR="00F10817" w:rsidRPr="00361D04" w14:paraId="6B4ADD3A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201A0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Public vs. Residential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FDB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0.96(0.77-1.20)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61DDE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0.729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4782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1.06(0.92-1.23)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89D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0.404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F79E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0.98(0.80-1.20)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651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0.852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A93B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0.90(0.71-1.16)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EEE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0.424 </w:t>
            </w:r>
          </w:p>
        </w:tc>
      </w:tr>
      <w:tr w:rsidR="00F10817" w:rsidRPr="00361D04" w14:paraId="3046A8EE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DFD3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CAC vs. non-CAC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6EE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1.96(1.35-2.85)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782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60B2C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1.26(0.94-1.71)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731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0.126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5C7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1.90(1.33-2.70)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5244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ADE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2.18(1.47-3.25)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6CE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</w:tr>
      <w:tr w:rsidR="00F10817" w:rsidRPr="00361D04" w14:paraId="04C220BD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8DF3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BVM vs.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SGA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74C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1.93(2.39-1.56)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A7E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059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1.88(2.19-1.61)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56A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243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2.42(2.95-1.99)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CF2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4F07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2.77(3.50-2.19)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B868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&lt;0.001</w:t>
            </w:r>
          </w:p>
        </w:tc>
      </w:tr>
      <w:tr w:rsidR="00F10817" w:rsidRPr="00361D04" w14:paraId="5E942C4C" w14:textId="77777777" w:rsidTr="00BC251B">
        <w:trPr>
          <w:trHeight w:val="3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938E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AED use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  <w14:ligatures w14:val="none"/>
              </w:rPr>
              <w:t xml:space="preserve"> (Y vs. N)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7E7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0.51(0.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36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-0.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71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4079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  <w:t>&lt;0.001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201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0.84(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64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442A3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0.210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2781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0.61(0.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44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-0.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85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53D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  <w:t xml:space="preserve">0.003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EA2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0.47(0.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33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-0.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67</w:t>
            </w:r>
            <w:r w:rsidRPr="00361D04">
              <w:rPr>
                <w:rFonts w:ascii="Times New Roman" w:eastAsia="新細明體" w:hAnsi="Times New Roman" w:cs="Times New Roman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9BBC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14:ligatures w14:val="none"/>
              </w:rPr>
              <w:t>&lt;0.001</w:t>
            </w:r>
          </w:p>
        </w:tc>
      </w:tr>
      <w:tr w:rsidR="00F10817" w:rsidRPr="00361D04" w14:paraId="11C1F2D9" w14:textId="77777777" w:rsidTr="00BC251B">
        <w:trPr>
          <w:trHeight w:val="350"/>
        </w:trPr>
        <w:tc>
          <w:tcPr>
            <w:tcW w:w="3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57457DE" w14:textId="77777777" w:rsidR="00F10817" w:rsidRPr="00361D04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Shockable vs. </w:t>
            </w:r>
            <w:proofErr w:type="gramStart"/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Non-shockable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14:ligatures w14:val="none"/>
              </w:rPr>
              <w:t xml:space="preserve"> rhythm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B5BCDF2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1.57(1.07-2.31)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BF87EC6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724652B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1.21(0.90-1.63)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A4A0A65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0.195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57DB47D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1.23(0.84-1.82)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281D330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0.291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98F9F9F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1.71(1.13-2.60)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5EB5FAA" w14:textId="77777777" w:rsidR="00F10817" w:rsidRPr="00361D04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61D0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0.012 </w:t>
            </w:r>
          </w:p>
        </w:tc>
      </w:tr>
    </w:tbl>
    <w:p w14:paraId="588E2C7F" w14:textId="77777777" w:rsidR="00F10817" w:rsidRDefault="00F10817" w:rsidP="00F10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ignificance </w:t>
      </w:r>
      <w:proofErr w:type="gramStart"/>
      <w:r>
        <w:rPr>
          <w:rFonts w:ascii="Times New Roman" w:hAnsi="Times New Roman" w:cs="Times New Roman" w:hint="eastAsia"/>
        </w:rPr>
        <w:t>are</w:t>
      </w:r>
      <w:proofErr w:type="gramEnd"/>
      <w:r>
        <w:rPr>
          <w:rFonts w:ascii="Times New Roman" w:hAnsi="Times New Roman" w:cs="Times New Roman" w:hint="eastAsia"/>
        </w:rPr>
        <w:t xml:space="preserve"> shown in bold.</w:t>
      </w:r>
    </w:p>
    <w:p w14:paraId="614DF0C8" w14:textId="77777777" w:rsidR="00F10817" w:rsidRDefault="00F10817" w:rsidP="00F10817">
      <w:pPr>
        <w:rPr>
          <w:rFonts w:ascii="Times New Roman" w:hAnsi="Times New Roman" w:cs="Times New Roman"/>
        </w:rPr>
      </w:pPr>
    </w:p>
    <w:p w14:paraId="061B1109" w14:textId="77777777" w:rsidR="00F10817" w:rsidRDefault="00F10817" w:rsidP="00F10817">
      <w:pPr>
        <w:rPr>
          <w:rFonts w:ascii="Times New Roman" w:hAnsi="Times New Roman" w:cs="Times New Roman"/>
        </w:rPr>
      </w:pPr>
    </w:p>
    <w:p w14:paraId="57693AB8" w14:textId="77777777" w:rsidR="00F10817" w:rsidRDefault="00F10817" w:rsidP="00F10817">
      <w:pPr>
        <w:rPr>
          <w:rFonts w:ascii="Times New Roman" w:hAnsi="Times New Roman" w:cs="Times New Roman"/>
        </w:rPr>
        <w:sectPr w:rsidR="00F10817" w:rsidSect="00F10817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7AFE8460" w14:textId="77777777" w:rsidR="00F10817" w:rsidRDefault="00F10817" w:rsidP="00F10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Supplementary Table S2</w:t>
      </w:r>
    </w:p>
    <w:tbl>
      <w:tblPr>
        <w:tblW w:w="83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0"/>
        <w:gridCol w:w="1933"/>
        <w:gridCol w:w="1407"/>
        <w:gridCol w:w="1380"/>
        <w:gridCol w:w="1340"/>
      </w:tblGrid>
      <w:tr w:rsidR="00F10817" w:rsidRPr="00D30125" w14:paraId="2EEBFE0E" w14:textId="77777777" w:rsidTr="00BC251B">
        <w:trPr>
          <w:trHeight w:val="360"/>
        </w:trPr>
        <w:tc>
          <w:tcPr>
            <w:tcW w:w="232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29476C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Outcome</w:t>
            </w:r>
          </w:p>
        </w:tc>
        <w:tc>
          <w:tcPr>
            <w:tcW w:w="1933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A5A71D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Group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08FC2C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Estimated probability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E88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95% CI for </w:t>
            </w:r>
            <w:proofErr w:type="spellStart"/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est.prob</w:t>
            </w:r>
            <w:proofErr w:type="spellEnd"/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.</w:t>
            </w:r>
          </w:p>
        </w:tc>
      </w:tr>
      <w:tr w:rsidR="00F10817" w:rsidRPr="00D30125" w14:paraId="0111064C" w14:textId="77777777" w:rsidTr="00BC251B">
        <w:trPr>
          <w:trHeight w:val="350"/>
        </w:trPr>
        <w:tc>
          <w:tcPr>
            <w:tcW w:w="2320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7E2598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750F23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28029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BABE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LB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F162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UB</w:t>
            </w:r>
          </w:p>
        </w:tc>
      </w:tr>
      <w:tr w:rsidR="00F10817" w:rsidRPr="00D30125" w14:paraId="3950939D" w14:textId="77777777" w:rsidTr="00BC251B">
        <w:trPr>
          <w:trHeight w:val="350"/>
        </w:trPr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537A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Pre-hospital ROSC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E15D5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667D8">
              <w:rPr>
                <w:rFonts w:ascii="Times New Roman" w:hAnsi="Times New Roman" w:cs="Times New Roman"/>
              </w:rPr>
              <w:t>o access attempt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7FA8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7.54%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FA24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6.51%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A141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8.71%</w:t>
            </w:r>
          </w:p>
        </w:tc>
      </w:tr>
      <w:tr w:rsidR="00F10817" w:rsidRPr="00D30125" w14:paraId="11AE7475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B3C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D50B6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010C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12.80%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2CA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10.27%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25A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15.84%</w:t>
            </w:r>
          </w:p>
        </w:tc>
      </w:tr>
      <w:tr w:rsidR="00F10817" w:rsidRPr="00D30125" w14:paraId="0C4235C7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663B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AB64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E67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13.26%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DDA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10.22%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B81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17.03%</w:t>
            </w:r>
          </w:p>
        </w:tc>
      </w:tr>
      <w:tr w:rsidR="00F10817" w:rsidRPr="00D30125" w14:paraId="35D7C5A6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5BF5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B20A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D1B60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10.56%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0016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8.69%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18EF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12.77%</w:t>
            </w:r>
          </w:p>
        </w:tc>
      </w:tr>
      <w:tr w:rsidR="00F10817" w:rsidRPr="00D30125" w14:paraId="24A5ED52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3245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3470D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8A3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10.94%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980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8.80%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3C66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13.54%</w:t>
            </w:r>
          </w:p>
        </w:tc>
      </w:tr>
      <w:tr w:rsidR="00F10817" w:rsidRPr="00D30125" w14:paraId="1266A95E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8E3B95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907FF8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E667D8">
              <w:rPr>
                <w:rFonts w:ascii="Times New Roman" w:hAnsi="Times New Roman" w:cs="Times New Roman"/>
              </w:rPr>
              <w:t>ailed IV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D8A39D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4.60%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D8CFE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2.63%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ACCDF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7.92%</w:t>
            </w:r>
          </w:p>
        </w:tc>
      </w:tr>
      <w:tr w:rsidR="00F10817" w:rsidRPr="00D30125" w14:paraId="3493872E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C41CF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Survival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over</w:t>
            </w: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 2 hours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60B0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667D8">
              <w:rPr>
                <w:rFonts w:ascii="Times New Roman" w:hAnsi="Times New Roman" w:cs="Times New Roman"/>
              </w:rPr>
              <w:t>o access attempt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B2C8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21.45%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58A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19.79%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1DC8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23.20%</w:t>
            </w:r>
          </w:p>
        </w:tc>
      </w:tr>
      <w:tr w:rsidR="00F10817" w:rsidRPr="00D30125" w14:paraId="22974783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BD90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60C96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DB71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26.80%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32E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23.31%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EFAC6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30.60%</w:t>
            </w:r>
          </w:p>
        </w:tc>
      </w:tr>
      <w:tr w:rsidR="00F10817" w:rsidRPr="00D30125" w14:paraId="44ACC90B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2E4E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02547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DE74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30.48%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CAA74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26.09%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42BA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35.27%</w:t>
            </w:r>
          </w:p>
        </w:tc>
      </w:tr>
      <w:tr w:rsidR="00F10817" w:rsidRPr="00D30125" w14:paraId="0D335A53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7720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CF16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24E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22.71%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8AEAC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20.06%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1E6E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25.60%</w:t>
            </w:r>
          </w:p>
        </w:tc>
      </w:tr>
      <w:tr w:rsidR="00F10817" w:rsidRPr="00D30125" w14:paraId="46E9D6CB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CDD0D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E65C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1876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26.04%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933D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22.83%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5C7A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29.52%</w:t>
            </w:r>
          </w:p>
        </w:tc>
      </w:tr>
      <w:tr w:rsidR="00F10817" w:rsidRPr="00D30125" w14:paraId="51C7C907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044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4200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E667D8">
              <w:rPr>
                <w:rFonts w:ascii="Times New Roman" w:hAnsi="Times New Roman" w:cs="Times New Roman"/>
              </w:rPr>
              <w:t>ailed IV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D4A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18.78%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4F5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14.49%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287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23.98%</w:t>
            </w:r>
          </w:p>
        </w:tc>
      </w:tr>
      <w:tr w:rsidR="00F10817" w:rsidRPr="00D30125" w14:paraId="0E928618" w14:textId="77777777" w:rsidTr="00BC251B">
        <w:trPr>
          <w:trHeight w:val="340"/>
        </w:trPr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0348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Survival to discharge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D705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667D8">
              <w:rPr>
                <w:rFonts w:ascii="Times New Roman" w:hAnsi="Times New Roman" w:cs="Times New Roman"/>
              </w:rPr>
              <w:t>o access attempt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FAA0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9.83%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351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8.66%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B04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11.13%</w:t>
            </w:r>
          </w:p>
        </w:tc>
      </w:tr>
      <w:tr w:rsidR="00F10817" w:rsidRPr="00D30125" w14:paraId="50F04917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ED75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77D2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96B7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13.75%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7EC2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11.16%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C8AA8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16.83%</w:t>
            </w:r>
          </w:p>
        </w:tc>
      </w:tr>
      <w:tr w:rsidR="00F10817" w:rsidRPr="00D30125" w14:paraId="6131F870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CD1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23F3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7F725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22.18%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1266C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18.02%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BF13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27.00%</w:t>
            </w:r>
          </w:p>
        </w:tc>
      </w:tr>
      <w:tr w:rsidR="00F10817" w:rsidRPr="00D30125" w14:paraId="07266D22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CDA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19DBD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D25FE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7.72%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3BF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6.20%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36F0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9.58%</w:t>
            </w:r>
          </w:p>
        </w:tc>
      </w:tr>
      <w:tr w:rsidR="00F10817" w:rsidRPr="00D30125" w14:paraId="063B1DC5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56D0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62DF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E1C5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13.02%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3DD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10.68%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F99C6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15.79%</w:t>
            </w:r>
          </w:p>
        </w:tc>
      </w:tr>
      <w:tr w:rsidR="00F10817" w:rsidRPr="00D30125" w14:paraId="6CF29B88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F1C411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FB8E2D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E667D8">
              <w:rPr>
                <w:rFonts w:ascii="Times New Roman" w:hAnsi="Times New Roman" w:cs="Times New Roman"/>
              </w:rPr>
              <w:t>ailed IV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8A318E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8.05%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9C134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5.30%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09CDDB8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12.03%</w:t>
            </w:r>
          </w:p>
        </w:tc>
      </w:tr>
      <w:tr w:rsidR="00F10817" w:rsidRPr="00D30125" w14:paraId="1666D7CD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9962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Good CPC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0A83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667D8">
              <w:rPr>
                <w:rFonts w:ascii="Times New Roman" w:hAnsi="Times New Roman" w:cs="Times New Roman"/>
              </w:rPr>
              <w:t>o access attempt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092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6.82%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D9A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5.84%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C5DF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7.94%</w:t>
            </w:r>
          </w:p>
        </w:tc>
      </w:tr>
      <w:tr w:rsidR="00F10817" w:rsidRPr="00D30125" w14:paraId="7A6D8AFB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9A82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2832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FDE2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7.68%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9246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5.79%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D4BB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10.12%</w:t>
            </w:r>
          </w:p>
        </w:tc>
      </w:tr>
      <w:tr w:rsidR="00F10817" w:rsidRPr="00D30125" w14:paraId="415BC0BB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BC8A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CFA0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IO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410A1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12.44%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ED2B7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9.33%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6BBB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16.42%</w:t>
            </w:r>
          </w:p>
        </w:tc>
      </w:tr>
      <w:tr w:rsidR="00F10817" w:rsidRPr="00D30125" w14:paraId="399FD03B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DA5C4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D3641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w/o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744BD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5.61%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4DA6E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4.31%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C8AA5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7.28%</w:t>
            </w:r>
          </w:p>
        </w:tc>
      </w:tr>
      <w:tr w:rsidR="00F10817" w:rsidRPr="00D30125" w14:paraId="18A33F61" w14:textId="77777777" w:rsidTr="00BC251B">
        <w:trPr>
          <w:trHeight w:val="34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3DAD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F250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IV w/ 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A014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9.22%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4283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7.23%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86123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11.69%</w:t>
            </w:r>
          </w:p>
        </w:tc>
      </w:tr>
      <w:tr w:rsidR="00F10817" w:rsidRPr="00D30125" w14:paraId="14119565" w14:textId="77777777" w:rsidTr="00BC251B">
        <w:trPr>
          <w:trHeight w:val="350"/>
        </w:trPr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9C3208A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DC41FBA" w14:textId="77777777" w:rsidR="00F10817" w:rsidRPr="00D30125" w:rsidRDefault="00F10817" w:rsidP="00BC25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E667D8">
              <w:rPr>
                <w:rFonts w:ascii="Times New Roman" w:hAnsi="Times New Roman" w:cs="Times New Roman"/>
              </w:rPr>
              <w:t>ailed IV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8021B5B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3.45%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3E04468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1.80%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AD1529" w14:textId="77777777" w:rsidR="00F10817" w:rsidRPr="00D30125" w:rsidRDefault="00F10817" w:rsidP="00BC251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D3012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14:ligatures w14:val="none"/>
              </w:rPr>
              <w:t>6.49%</w:t>
            </w:r>
          </w:p>
        </w:tc>
      </w:tr>
    </w:tbl>
    <w:p w14:paraId="019D12D2" w14:textId="77777777" w:rsidR="00F10817" w:rsidRPr="00755E0B" w:rsidRDefault="00F10817" w:rsidP="00F10817">
      <w:pPr>
        <w:rPr>
          <w:rFonts w:ascii="Times New Roman" w:hAnsi="Times New Roman" w:cs="Times New Roman"/>
        </w:rPr>
      </w:pPr>
      <w:r w:rsidRPr="00755E0B">
        <w:rPr>
          <w:rFonts w:ascii="Times New Roman" w:eastAsia="新細明體" w:hAnsi="Times New Roman" w:cs="Times New Roman"/>
          <w:color w:val="000000"/>
          <w:kern w:val="0"/>
          <w:szCs w:val="24"/>
          <w14:ligatures w14:val="none"/>
        </w:rPr>
        <w:t>Abbreviation: est. prob., estimate probability</w:t>
      </w:r>
    </w:p>
    <w:p w14:paraId="191743F0" w14:textId="77777777" w:rsidR="00DE5B9E" w:rsidRDefault="00DE5B9E"/>
    <w:sectPr w:rsidR="00DE5B9E" w:rsidSect="00F10817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7"/>
    <w:rsid w:val="000004C4"/>
    <w:rsid w:val="00001015"/>
    <w:rsid w:val="00002B54"/>
    <w:rsid w:val="00011A2F"/>
    <w:rsid w:val="00026D9E"/>
    <w:rsid w:val="000276E6"/>
    <w:rsid w:val="00052CD1"/>
    <w:rsid w:val="0005720F"/>
    <w:rsid w:val="00066ED7"/>
    <w:rsid w:val="0006785E"/>
    <w:rsid w:val="000916E0"/>
    <w:rsid w:val="00095ABC"/>
    <w:rsid w:val="000B27AA"/>
    <w:rsid w:val="000C0499"/>
    <w:rsid w:val="000C4CC6"/>
    <w:rsid w:val="000C5278"/>
    <w:rsid w:val="000D3B2A"/>
    <w:rsid w:val="000D6069"/>
    <w:rsid w:val="000D6B2E"/>
    <w:rsid w:val="00136026"/>
    <w:rsid w:val="00155AD0"/>
    <w:rsid w:val="00157D8F"/>
    <w:rsid w:val="001663EE"/>
    <w:rsid w:val="00167FCF"/>
    <w:rsid w:val="00173321"/>
    <w:rsid w:val="00176F5C"/>
    <w:rsid w:val="0018714E"/>
    <w:rsid w:val="001873A5"/>
    <w:rsid w:val="00197F50"/>
    <w:rsid w:val="001B2F6F"/>
    <w:rsid w:val="001B7624"/>
    <w:rsid w:val="001C3CFA"/>
    <w:rsid w:val="001C4A0E"/>
    <w:rsid w:val="001C5909"/>
    <w:rsid w:val="00207EAA"/>
    <w:rsid w:val="002137E2"/>
    <w:rsid w:val="00227FC1"/>
    <w:rsid w:val="0023715A"/>
    <w:rsid w:val="00262209"/>
    <w:rsid w:val="00290C86"/>
    <w:rsid w:val="002923C6"/>
    <w:rsid w:val="002B37DD"/>
    <w:rsid w:val="002B3E31"/>
    <w:rsid w:val="002B582B"/>
    <w:rsid w:val="002B6D4E"/>
    <w:rsid w:val="002B7E47"/>
    <w:rsid w:val="002D2375"/>
    <w:rsid w:val="002E4F0F"/>
    <w:rsid w:val="002F1F91"/>
    <w:rsid w:val="0034793D"/>
    <w:rsid w:val="00350267"/>
    <w:rsid w:val="00364FB1"/>
    <w:rsid w:val="00376EEE"/>
    <w:rsid w:val="00382DE3"/>
    <w:rsid w:val="0038551C"/>
    <w:rsid w:val="00386480"/>
    <w:rsid w:val="003C1D3B"/>
    <w:rsid w:val="003C6189"/>
    <w:rsid w:val="003F31A9"/>
    <w:rsid w:val="003F4FA9"/>
    <w:rsid w:val="0041137A"/>
    <w:rsid w:val="0041443D"/>
    <w:rsid w:val="00423657"/>
    <w:rsid w:val="00423BA6"/>
    <w:rsid w:val="00425EA3"/>
    <w:rsid w:val="0048438F"/>
    <w:rsid w:val="00486CE4"/>
    <w:rsid w:val="00492B3E"/>
    <w:rsid w:val="004A1854"/>
    <w:rsid w:val="004B7CC0"/>
    <w:rsid w:val="004E0B3B"/>
    <w:rsid w:val="00520DE1"/>
    <w:rsid w:val="005568D2"/>
    <w:rsid w:val="00562442"/>
    <w:rsid w:val="0057472E"/>
    <w:rsid w:val="00575B9A"/>
    <w:rsid w:val="005C52BC"/>
    <w:rsid w:val="005C6F77"/>
    <w:rsid w:val="005D0153"/>
    <w:rsid w:val="005E1C06"/>
    <w:rsid w:val="005F15A1"/>
    <w:rsid w:val="005F676A"/>
    <w:rsid w:val="0061000C"/>
    <w:rsid w:val="006154EF"/>
    <w:rsid w:val="00632897"/>
    <w:rsid w:val="00651674"/>
    <w:rsid w:val="00657B53"/>
    <w:rsid w:val="006E6891"/>
    <w:rsid w:val="007100B9"/>
    <w:rsid w:val="00721CED"/>
    <w:rsid w:val="00723BA8"/>
    <w:rsid w:val="007273BA"/>
    <w:rsid w:val="007347DF"/>
    <w:rsid w:val="00770B8D"/>
    <w:rsid w:val="00772324"/>
    <w:rsid w:val="007766A1"/>
    <w:rsid w:val="007768A7"/>
    <w:rsid w:val="00783B8A"/>
    <w:rsid w:val="00790D42"/>
    <w:rsid w:val="007A2CE2"/>
    <w:rsid w:val="007B103A"/>
    <w:rsid w:val="007B2A38"/>
    <w:rsid w:val="007B3571"/>
    <w:rsid w:val="007C14D5"/>
    <w:rsid w:val="007C58E2"/>
    <w:rsid w:val="007D7089"/>
    <w:rsid w:val="007D7E91"/>
    <w:rsid w:val="007E1CDB"/>
    <w:rsid w:val="00800B44"/>
    <w:rsid w:val="008025B5"/>
    <w:rsid w:val="0080525D"/>
    <w:rsid w:val="00811DB4"/>
    <w:rsid w:val="00813730"/>
    <w:rsid w:val="00821B80"/>
    <w:rsid w:val="00823D98"/>
    <w:rsid w:val="00835381"/>
    <w:rsid w:val="0088449A"/>
    <w:rsid w:val="008B4F65"/>
    <w:rsid w:val="008B7ECA"/>
    <w:rsid w:val="008C1753"/>
    <w:rsid w:val="008C66CD"/>
    <w:rsid w:val="008D0042"/>
    <w:rsid w:val="008D2A74"/>
    <w:rsid w:val="008D628B"/>
    <w:rsid w:val="008F378B"/>
    <w:rsid w:val="009011FF"/>
    <w:rsid w:val="0090142D"/>
    <w:rsid w:val="0092298A"/>
    <w:rsid w:val="00930C33"/>
    <w:rsid w:val="009367FA"/>
    <w:rsid w:val="009420A5"/>
    <w:rsid w:val="009453B7"/>
    <w:rsid w:val="00956241"/>
    <w:rsid w:val="00960A5E"/>
    <w:rsid w:val="00993329"/>
    <w:rsid w:val="009A2D3B"/>
    <w:rsid w:val="009B006C"/>
    <w:rsid w:val="009F5887"/>
    <w:rsid w:val="00A12845"/>
    <w:rsid w:val="00A12893"/>
    <w:rsid w:val="00A262D7"/>
    <w:rsid w:val="00A4335B"/>
    <w:rsid w:val="00A70F2E"/>
    <w:rsid w:val="00A77F18"/>
    <w:rsid w:val="00A85204"/>
    <w:rsid w:val="00A85AEF"/>
    <w:rsid w:val="00A876CF"/>
    <w:rsid w:val="00AC4FF8"/>
    <w:rsid w:val="00AF7CA2"/>
    <w:rsid w:val="00B22EB1"/>
    <w:rsid w:val="00B27232"/>
    <w:rsid w:val="00B338B3"/>
    <w:rsid w:val="00B40D79"/>
    <w:rsid w:val="00B60416"/>
    <w:rsid w:val="00B63446"/>
    <w:rsid w:val="00B71E17"/>
    <w:rsid w:val="00B74191"/>
    <w:rsid w:val="00B76014"/>
    <w:rsid w:val="00B7609F"/>
    <w:rsid w:val="00B77688"/>
    <w:rsid w:val="00B81908"/>
    <w:rsid w:val="00B81D35"/>
    <w:rsid w:val="00BA4AD4"/>
    <w:rsid w:val="00BA6FD5"/>
    <w:rsid w:val="00BB31AB"/>
    <w:rsid w:val="00BB37DD"/>
    <w:rsid w:val="00BD5518"/>
    <w:rsid w:val="00BE5D02"/>
    <w:rsid w:val="00C00373"/>
    <w:rsid w:val="00C24821"/>
    <w:rsid w:val="00C61735"/>
    <w:rsid w:val="00C73608"/>
    <w:rsid w:val="00CA5D40"/>
    <w:rsid w:val="00CB2444"/>
    <w:rsid w:val="00CC3C13"/>
    <w:rsid w:val="00CE0E7B"/>
    <w:rsid w:val="00CF5A5F"/>
    <w:rsid w:val="00D13066"/>
    <w:rsid w:val="00D15F72"/>
    <w:rsid w:val="00D5106A"/>
    <w:rsid w:val="00D6365A"/>
    <w:rsid w:val="00D65C35"/>
    <w:rsid w:val="00D70AF0"/>
    <w:rsid w:val="00D84608"/>
    <w:rsid w:val="00D85B84"/>
    <w:rsid w:val="00D87C79"/>
    <w:rsid w:val="00D94316"/>
    <w:rsid w:val="00DA2D6D"/>
    <w:rsid w:val="00DA3F49"/>
    <w:rsid w:val="00DB65F9"/>
    <w:rsid w:val="00DC3B00"/>
    <w:rsid w:val="00DC4A58"/>
    <w:rsid w:val="00DE5B9E"/>
    <w:rsid w:val="00E00591"/>
    <w:rsid w:val="00E21BBA"/>
    <w:rsid w:val="00E22881"/>
    <w:rsid w:val="00E363A6"/>
    <w:rsid w:val="00E600A9"/>
    <w:rsid w:val="00E72191"/>
    <w:rsid w:val="00E84635"/>
    <w:rsid w:val="00E959CF"/>
    <w:rsid w:val="00EB7BE8"/>
    <w:rsid w:val="00F008CA"/>
    <w:rsid w:val="00F0541E"/>
    <w:rsid w:val="00F1016C"/>
    <w:rsid w:val="00F10817"/>
    <w:rsid w:val="00F16948"/>
    <w:rsid w:val="00F173A7"/>
    <w:rsid w:val="00F1768F"/>
    <w:rsid w:val="00F2543D"/>
    <w:rsid w:val="00F34197"/>
    <w:rsid w:val="00F3531B"/>
    <w:rsid w:val="00F619AF"/>
    <w:rsid w:val="00F801BB"/>
    <w:rsid w:val="00F8042F"/>
    <w:rsid w:val="00F93BC3"/>
    <w:rsid w:val="00FA00B8"/>
    <w:rsid w:val="00FA23FC"/>
    <w:rsid w:val="00FB2460"/>
    <w:rsid w:val="00FB487E"/>
    <w:rsid w:val="00FC564A"/>
    <w:rsid w:val="00FF0AC6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18D15"/>
  <w15:chartTrackingRefBased/>
  <w15:docId w15:val="{3893296D-55D7-9B4E-B4EB-B63FCCA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17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1081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817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817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817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817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817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817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08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0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081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0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081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081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081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081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08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8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81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0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817"/>
    <w:pPr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F10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817"/>
    <w:pPr>
      <w:spacing w:after="160" w:line="278" w:lineRule="auto"/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F108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鮮明引文 字元"/>
    <w:basedOn w:val="a0"/>
    <w:link w:val="ab"/>
    <w:uiPriority w:val="30"/>
    <w:rsid w:val="00F108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0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振宇 簡</dc:creator>
  <cp:keywords/>
  <dc:description/>
  <cp:lastModifiedBy>振宇 簡</cp:lastModifiedBy>
  <cp:revision>1</cp:revision>
  <dcterms:created xsi:type="dcterms:W3CDTF">2025-07-10T17:13:00Z</dcterms:created>
  <dcterms:modified xsi:type="dcterms:W3CDTF">2025-07-10T17:14:00Z</dcterms:modified>
</cp:coreProperties>
</file>