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442DE" w14:textId="77777777" w:rsidR="00C82975" w:rsidRDefault="00C82975" w:rsidP="00C82975">
      <w:pPr>
        <w:suppressLineNumbers/>
        <w:rPr>
          <w:rFonts w:ascii="Arial" w:hAnsi="Arial" w:cs="Arial"/>
          <w:sz w:val="22"/>
          <w:szCs w:val="22"/>
        </w:rPr>
      </w:pPr>
      <w:r>
        <w:rPr>
          <w:rFonts w:ascii="Arial" w:hAnsi="Arial" w:cs="Arial"/>
          <w:b/>
          <w:bCs/>
          <w:sz w:val="22"/>
          <w:szCs w:val="22"/>
        </w:rPr>
        <w:t>Table 1.</w:t>
      </w:r>
      <w:r>
        <w:rPr>
          <w:rFonts w:ascii="Arial" w:hAnsi="Arial" w:cs="Arial"/>
          <w:sz w:val="22"/>
          <w:szCs w:val="22"/>
        </w:rPr>
        <w:t xml:space="preserve"> </w:t>
      </w:r>
      <w:r>
        <w:rPr>
          <w:rFonts w:ascii="Arial" w:hAnsi="Arial" w:cs="Arial"/>
          <w:b/>
          <w:bCs/>
          <w:sz w:val="22"/>
          <w:szCs w:val="22"/>
        </w:rPr>
        <w:t>Phenome-wide association studies (</w:t>
      </w:r>
      <w:proofErr w:type="spellStart"/>
      <w:r>
        <w:rPr>
          <w:rFonts w:ascii="Arial" w:hAnsi="Arial" w:cs="Arial"/>
          <w:b/>
          <w:bCs/>
          <w:sz w:val="22"/>
          <w:szCs w:val="22"/>
        </w:rPr>
        <w:t>PheWAS</w:t>
      </w:r>
      <w:proofErr w:type="spellEnd"/>
      <w:r>
        <w:rPr>
          <w:rFonts w:ascii="Arial" w:hAnsi="Arial" w:cs="Arial"/>
          <w:b/>
          <w:bCs/>
          <w:sz w:val="22"/>
          <w:szCs w:val="22"/>
        </w:rPr>
        <w:t>) significant results of the four cognitive capacity GPSs with the cognitive/behavioral phenotypes.</w:t>
      </w:r>
      <w:r>
        <w:rPr>
          <w:rFonts w:ascii="Arial" w:hAnsi="Arial" w:cs="Arial"/>
          <w:sz w:val="22"/>
          <w:szCs w:val="22"/>
        </w:rPr>
        <w:t xml:space="preserve"> The table presents only the phenotypes significantly associated with all four cognitive capacity GPSs (Educational attainment (EA), Cognitive Performance (CP), Math Ability (MA), Highest Math Class (HM)). The strongest cognitive capacity GPS-phenotype associations were presented from the full </w:t>
      </w:r>
      <w:proofErr w:type="spellStart"/>
      <w:r>
        <w:rPr>
          <w:rFonts w:ascii="Arial" w:hAnsi="Arial" w:cs="Arial"/>
          <w:sz w:val="22"/>
          <w:szCs w:val="22"/>
        </w:rPr>
        <w:t>PheWAS</w:t>
      </w:r>
      <w:proofErr w:type="spellEnd"/>
      <w:r>
        <w:rPr>
          <w:rFonts w:ascii="Arial" w:hAnsi="Arial" w:cs="Arial"/>
          <w:sz w:val="22"/>
          <w:szCs w:val="22"/>
        </w:rPr>
        <w:t xml:space="preserve"> results (available in </w:t>
      </w:r>
      <w:r>
        <w:rPr>
          <w:rFonts w:ascii="Arial" w:hAnsi="Arial" w:cs="Arial"/>
          <w:b/>
          <w:bCs/>
          <w:i/>
          <w:iCs/>
          <w:sz w:val="22"/>
          <w:szCs w:val="22"/>
        </w:rPr>
        <w:t>Supplementary Table 1</w:t>
      </w:r>
      <w:r>
        <w:rPr>
          <w:rFonts w:ascii="Arial" w:hAnsi="Arial" w:cs="Arial"/>
          <w:sz w:val="22"/>
          <w:szCs w:val="22"/>
        </w:rPr>
        <w:t xml:space="preserve">). Positive beta (effect size) indicates that genetic contribution to cognitive capacities </w:t>
      </w:r>
      <w:proofErr w:type="gramStart"/>
      <w:r>
        <w:rPr>
          <w:rFonts w:ascii="Arial" w:hAnsi="Arial" w:cs="Arial"/>
          <w:sz w:val="22"/>
          <w:szCs w:val="22"/>
        </w:rPr>
        <w:t>are</w:t>
      </w:r>
      <w:proofErr w:type="gramEnd"/>
      <w:r>
        <w:rPr>
          <w:rFonts w:ascii="Arial" w:hAnsi="Arial" w:cs="Arial"/>
          <w:sz w:val="22"/>
          <w:szCs w:val="22"/>
        </w:rPr>
        <w:t xml:space="preserve"> positively correlated to higher scores of each measurement module.  </w:t>
      </w:r>
    </w:p>
    <w:p w14:paraId="1396187E" w14:textId="77777777" w:rsidR="00C82975" w:rsidRDefault="00C82975" w:rsidP="00C82975">
      <w:pPr>
        <w:suppressLineNumbers/>
        <w:rPr>
          <w:rFonts w:ascii="Arial" w:hAnsi="Arial" w:cs="Arial"/>
        </w:rPr>
      </w:pPr>
    </w:p>
    <w:p w14:paraId="00364516" w14:textId="332986F4" w:rsidR="00C82975" w:rsidRDefault="00C82975" w:rsidP="00C82975">
      <w:pPr>
        <w:suppressLineNumbers/>
        <w:rPr>
          <w:rFonts w:ascii="Arial" w:hAnsi="Arial" w:cs="Arial"/>
        </w:rPr>
      </w:pPr>
      <w:r>
        <w:rPr>
          <w:rFonts w:ascii="Arial" w:hAnsi="Arial" w:cs="Arial"/>
          <w:noProof/>
        </w:rPr>
        <w:drawing>
          <wp:inline distT="0" distB="0" distL="0" distR="0" wp14:anchorId="2022CA22" wp14:editId="1BF578D7">
            <wp:extent cx="6400800" cy="50387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400800" cy="5038725"/>
                    </a:xfrm>
                    <a:prstGeom prst="rect">
                      <a:avLst/>
                    </a:prstGeom>
                    <a:noFill/>
                    <a:ln>
                      <a:noFill/>
                    </a:ln>
                  </pic:spPr>
                </pic:pic>
              </a:graphicData>
            </a:graphic>
          </wp:inline>
        </w:drawing>
      </w:r>
    </w:p>
    <w:p w14:paraId="3D051005" w14:textId="77777777" w:rsidR="00C82975" w:rsidRDefault="00C82975" w:rsidP="00C82975">
      <w:pPr>
        <w:suppressLineNumbers/>
        <w:rPr>
          <w:rFonts w:ascii="Arial" w:hAnsi="Arial" w:cs="Arial"/>
          <w:sz w:val="21"/>
          <w:szCs w:val="21"/>
        </w:rPr>
      </w:pPr>
    </w:p>
    <w:p w14:paraId="06445E0C" w14:textId="77777777" w:rsidR="00C82975" w:rsidRDefault="00C82975" w:rsidP="00C82975">
      <w:pPr>
        <w:suppressLineNumbers/>
        <w:rPr>
          <w:rFonts w:ascii="Arial" w:hAnsi="Arial" w:cs="Arial"/>
          <w:sz w:val="21"/>
          <w:szCs w:val="21"/>
        </w:rPr>
      </w:pPr>
      <w:r>
        <w:rPr>
          <w:rFonts w:ascii="Arial" w:hAnsi="Arial" w:cs="Arial"/>
          <w:sz w:val="21"/>
          <w:szCs w:val="21"/>
        </w:rPr>
        <w:t xml:space="preserve">* CI = Confidence interval </w:t>
      </w:r>
    </w:p>
    <w:p w14:paraId="07D8A623" w14:textId="77777777" w:rsidR="00C82975" w:rsidRDefault="00C82975" w:rsidP="00C82975">
      <w:pPr>
        <w:suppressLineNumbers/>
        <w:rPr>
          <w:rFonts w:ascii="Arial" w:hAnsi="Arial" w:cs="Arial"/>
          <w:sz w:val="21"/>
          <w:szCs w:val="21"/>
        </w:rPr>
      </w:pPr>
      <w:r>
        <w:rPr>
          <w:rFonts w:ascii="Arial" w:hAnsi="Arial" w:cs="Arial"/>
          <w:sz w:val="21"/>
          <w:szCs w:val="21"/>
        </w:rPr>
        <w:t xml:space="preserve">* Only for </w:t>
      </w:r>
      <w:r>
        <w:rPr>
          <w:rFonts w:ascii="Arial" w:hAnsi="Arial" w:cs="Arial"/>
          <w:i/>
          <w:iCs/>
          <w:sz w:val="21"/>
          <w:szCs w:val="21"/>
        </w:rPr>
        <w:t>HUI3 Cognition Level</w:t>
      </w:r>
      <w:r>
        <w:rPr>
          <w:rFonts w:ascii="Arial" w:hAnsi="Arial" w:cs="Arial"/>
          <w:sz w:val="21"/>
          <w:szCs w:val="21"/>
        </w:rPr>
        <w:t xml:space="preserve"> module, lower score indicates better cognition level.  </w:t>
      </w:r>
    </w:p>
    <w:p w14:paraId="1D6A53E6" w14:textId="77777777" w:rsidR="00C82975" w:rsidRDefault="00C82975" w:rsidP="00C82975">
      <w:pPr>
        <w:suppressLineNumbers/>
        <w:rPr>
          <w:rFonts w:ascii="Arial" w:hAnsi="Arial" w:cs="Arial"/>
          <w:sz w:val="21"/>
          <w:szCs w:val="21"/>
        </w:rPr>
      </w:pPr>
      <w:r>
        <w:rPr>
          <w:rFonts w:ascii="Arial" w:hAnsi="Arial" w:cs="Arial"/>
          <w:sz w:val="21"/>
          <w:szCs w:val="21"/>
        </w:rPr>
        <w:t>*</w:t>
      </w:r>
      <w:r>
        <w:rPr>
          <w:rFonts w:ascii="Arial" w:hAnsi="Arial" w:cs="Arial"/>
          <w:i/>
          <w:iCs/>
          <w:sz w:val="21"/>
          <w:szCs w:val="21"/>
        </w:rPr>
        <w:t xml:space="preserve"> Bonferroni significance = 0.05 / (48 phenotypes * 4 GPSs) = 2.60E-04</w:t>
      </w:r>
    </w:p>
    <w:p w14:paraId="13216777" w14:textId="77777777" w:rsidR="00C82975" w:rsidRDefault="00C82975" w:rsidP="00C82975">
      <w:pPr>
        <w:suppressLineNumbers/>
        <w:rPr>
          <w:rFonts w:ascii="Arial" w:hAnsi="Arial" w:cs="Arial"/>
        </w:rPr>
      </w:pPr>
    </w:p>
    <w:p w14:paraId="038AE998" w14:textId="77777777" w:rsidR="00C82975" w:rsidRDefault="00C82975" w:rsidP="00C82975">
      <w:pPr>
        <w:suppressLineNumbers/>
        <w:rPr>
          <w:rFonts w:ascii="Arial" w:hAnsi="Arial" w:cs="Arial"/>
        </w:rPr>
      </w:pPr>
    </w:p>
    <w:p w14:paraId="033029E4" w14:textId="77777777" w:rsidR="00C82975" w:rsidRDefault="00C82975" w:rsidP="00C82975">
      <w:pPr>
        <w:suppressLineNumbers/>
        <w:rPr>
          <w:rFonts w:ascii="Arial" w:hAnsi="Arial" w:cs="Arial"/>
        </w:rPr>
      </w:pPr>
    </w:p>
    <w:p w14:paraId="69C3AFBF" w14:textId="77777777" w:rsidR="00C82975" w:rsidRDefault="00C82975" w:rsidP="00C82975">
      <w:pPr>
        <w:suppressLineNumbers/>
        <w:rPr>
          <w:rFonts w:ascii="Arial" w:hAnsi="Arial" w:cs="Arial"/>
        </w:rPr>
      </w:pPr>
    </w:p>
    <w:p w14:paraId="133A1AC4" w14:textId="77777777" w:rsidR="00C82975" w:rsidRDefault="00C82975" w:rsidP="00C82975">
      <w:pPr>
        <w:suppressLineNumbers/>
        <w:rPr>
          <w:rFonts w:ascii="Arial" w:hAnsi="Arial" w:cs="Arial"/>
        </w:rPr>
      </w:pPr>
    </w:p>
    <w:p w14:paraId="37219CA8" w14:textId="77777777" w:rsidR="00C82975" w:rsidRDefault="00C82975" w:rsidP="00C82975">
      <w:pPr>
        <w:rPr>
          <w:rFonts w:ascii="Arial" w:hAnsi="Arial" w:cs="Arial"/>
        </w:rPr>
        <w:sectPr w:rsidR="00C82975">
          <w:pgSz w:w="12240" w:h="15840"/>
          <w:pgMar w:top="1440" w:right="1080" w:bottom="1440" w:left="1080" w:header="720" w:footer="720" w:gutter="0"/>
          <w:cols w:space="720"/>
        </w:sectPr>
      </w:pPr>
    </w:p>
    <w:p w14:paraId="1F83AF80" w14:textId="77777777" w:rsidR="00C82975" w:rsidRDefault="00C82975" w:rsidP="00C82975">
      <w:pPr>
        <w:suppressLineNumbers/>
        <w:rPr>
          <w:rFonts w:ascii="Arial" w:hAnsi="Arial" w:cs="Arial"/>
        </w:rPr>
      </w:pPr>
    </w:p>
    <w:p w14:paraId="19F08C82" w14:textId="77777777" w:rsidR="00C82975" w:rsidRDefault="00C82975" w:rsidP="00C82975">
      <w:pPr>
        <w:suppressLineNumbers/>
        <w:rPr>
          <w:rFonts w:ascii="Arial" w:hAnsi="Arial" w:cs="Arial"/>
          <w:sz w:val="22"/>
          <w:szCs w:val="22"/>
        </w:rPr>
      </w:pPr>
      <w:r>
        <w:rPr>
          <w:rFonts w:ascii="Arial" w:hAnsi="Arial" w:cs="Arial"/>
          <w:b/>
          <w:bCs/>
          <w:sz w:val="22"/>
          <w:szCs w:val="22"/>
        </w:rPr>
        <w:t>Table 2.</w:t>
      </w:r>
      <w:r>
        <w:rPr>
          <w:rFonts w:ascii="Arial" w:hAnsi="Arial" w:cs="Arial"/>
          <w:sz w:val="22"/>
          <w:szCs w:val="22"/>
        </w:rPr>
        <w:t xml:space="preserve"> Results of the linear mixed effects model analysis explaining the temporal changes of </w:t>
      </w:r>
      <w:r>
        <w:rPr>
          <w:rFonts w:ascii="Arial" w:hAnsi="Arial" w:cs="Arial"/>
          <w:i/>
          <w:iCs/>
          <w:sz w:val="22"/>
          <w:szCs w:val="22"/>
        </w:rPr>
        <w:t>immediate recall</w:t>
      </w:r>
      <w:r>
        <w:rPr>
          <w:rFonts w:ascii="Arial" w:hAnsi="Arial" w:cs="Arial"/>
          <w:sz w:val="22"/>
          <w:szCs w:val="22"/>
        </w:rPr>
        <w:t xml:space="preserve"> assessment score of the WLS participants by the GPSs of Educational attainment (EA), Cognitive Performance (CP), Math Ability (MA), Highest Math Class (HM) with age interaction effect. Effect size of each variable were presented with 95% confidence interval within the parentheses. </w:t>
      </w:r>
    </w:p>
    <w:p w14:paraId="3C4B03E2" w14:textId="77777777" w:rsidR="00C82975" w:rsidRDefault="00C82975" w:rsidP="00C82975">
      <w:pPr>
        <w:suppressLineNumbers/>
        <w:rPr>
          <w:rFonts w:ascii="Arial" w:hAnsi="Arial" w:cs="Arial"/>
          <w:sz w:val="22"/>
          <w:szCs w:val="22"/>
        </w:rPr>
      </w:pPr>
    </w:p>
    <w:p w14:paraId="24E0D8D5" w14:textId="77777777" w:rsidR="00C82975" w:rsidRDefault="00C82975" w:rsidP="00C82975">
      <w:pPr>
        <w:suppressLineNumbers/>
        <w:jc w:val="center"/>
        <w:rPr>
          <w:rFonts w:ascii="Arial" w:hAnsi="Arial" w:cs="Arial"/>
          <w:sz w:val="22"/>
          <w:szCs w:val="22"/>
        </w:rPr>
      </w:pPr>
    </w:p>
    <w:p w14:paraId="60EB3426" w14:textId="7EB7BF4D" w:rsidR="00C82975" w:rsidRDefault="00C82975" w:rsidP="00C82975">
      <w:pPr>
        <w:suppressLineNumbers/>
        <w:jc w:val="center"/>
        <w:rPr>
          <w:rFonts w:ascii="Arial" w:hAnsi="Arial" w:cs="Arial"/>
          <w:sz w:val="22"/>
          <w:szCs w:val="22"/>
        </w:rPr>
      </w:pPr>
      <w:r>
        <w:rPr>
          <w:rFonts w:ascii="Arial" w:hAnsi="Arial" w:cs="Arial"/>
          <w:noProof/>
          <w:sz w:val="22"/>
          <w:szCs w:val="22"/>
        </w:rPr>
        <w:drawing>
          <wp:inline distT="0" distB="0" distL="0" distR="0" wp14:anchorId="71B14295" wp14:editId="05D2B007">
            <wp:extent cx="6400800" cy="4362450"/>
            <wp:effectExtent l="0" t="0" r="0" b="0"/>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abl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00800" cy="4362450"/>
                    </a:xfrm>
                    <a:prstGeom prst="rect">
                      <a:avLst/>
                    </a:prstGeom>
                    <a:noFill/>
                    <a:ln>
                      <a:noFill/>
                    </a:ln>
                  </pic:spPr>
                </pic:pic>
              </a:graphicData>
            </a:graphic>
          </wp:inline>
        </w:drawing>
      </w:r>
    </w:p>
    <w:p w14:paraId="3A3C8EAA" w14:textId="77777777" w:rsidR="00C82975" w:rsidRDefault="00C82975" w:rsidP="00C82975">
      <w:pPr>
        <w:suppressLineNumbers/>
        <w:jc w:val="center"/>
        <w:rPr>
          <w:rFonts w:ascii="Arial" w:hAnsi="Arial" w:cs="Arial"/>
          <w:sz w:val="22"/>
          <w:szCs w:val="22"/>
        </w:rPr>
      </w:pPr>
    </w:p>
    <w:p w14:paraId="4039E913" w14:textId="77777777" w:rsidR="00C82975" w:rsidRDefault="00C82975" w:rsidP="00C82975">
      <w:pPr>
        <w:suppressLineNumbers/>
        <w:rPr>
          <w:rFonts w:ascii="Arial" w:hAnsi="Arial" w:cs="Arial"/>
          <w:i/>
          <w:iCs/>
          <w:color w:val="000000"/>
          <w:sz w:val="20"/>
          <w:szCs w:val="20"/>
        </w:rPr>
      </w:pPr>
      <w:r>
        <w:rPr>
          <w:rFonts w:ascii="Arial" w:hAnsi="Arial" w:cs="Arial"/>
          <w:i/>
          <w:iCs/>
          <w:color w:val="000000"/>
          <w:sz w:val="20"/>
          <w:szCs w:val="20"/>
        </w:rPr>
        <w:t>*SE=Standard Error</w:t>
      </w:r>
    </w:p>
    <w:p w14:paraId="4760D79A" w14:textId="77777777" w:rsidR="00680122" w:rsidRDefault="00680122"/>
    <w:sectPr w:rsidR="006801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975"/>
    <w:rsid w:val="00680122"/>
    <w:rsid w:val="006B7D9D"/>
    <w:rsid w:val="00C829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96CDE"/>
  <w15:chartTrackingRefBased/>
  <w15:docId w15:val="{8AE34703-0D24-4314-9664-647ACE1B9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2975"/>
    <w:pPr>
      <w:spacing w:after="0" w:line="240" w:lineRule="auto"/>
    </w:pPr>
    <w:rPr>
      <w:rFonts w:ascii="Times New Roman" w:eastAsia="Times New Roman" w:hAnsi="Times New Roman" w:cs="Times New Roman"/>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4445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190</Words>
  <Characters>1085</Characters>
  <Application>Microsoft Office Word</Application>
  <DocSecurity>0</DocSecurity>
  <Lines>9</Lines>
  <Paragraphs>2</Paragraphs>
  <ScaleCrop>false</ScaleCrop>
  <Company/>
  <LinksUpToDate>false</LinksUpToDate>
  <CharactersWithSpaces>1273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2021-07-30T22:23:00Z</dcterms:created>
  <dcterms:modified xsi:type="dcterms:W3CDTF">2021-07-30T22:23:00Z</dcterms:modified>
</cp:coreProperties>
</file>