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24" w:type="dxa"/>
        <w:tblLayout w:type="fixed"/>
        <w:tblLook w:val="04A0" w:firstRow="1" w:lastRow="0" w:firstColumn="1" w:lastColumn="0" w:noHBand="0" w:noVBand="1"/>
      </w:tblPr>
      <w:tblGrid>
        <w:gridCol w:w="1002"/>
        <w:gridCol w:w="4056"/>
        <w:gridCol w:w="1647"/>
        <w:gridCol w:w="1611"/>
        <w:gridCol w:w="1536"/>
        <w:gridCol w:w="1300"/>
        <w:gridCol w:w="1572"/>
      </w:tblGrid>
      <w:tr w:rsidR="00865184" w:rsidRPr="005D60C7" w14:paraId="4DAA9763" w14:textId="77777777" w:rsidTr="00C43B59">
        <w:trPr>
          <w:trHeight w:val="426"/>
        </w:trPr>
        <w:tc>
          <w:tcPr>
            <w:tcW w:w="12616" w:type="dxa"/>
            <w:gridSpan w:val="7"/>
            <w:tcBorders>
              <w:top w:val="nil"/>
              <w:left w:val="nil"/>
            </w:tcBorders>
            <w:shd w:val="clear" w:color="auto" w:fill="auto"/>
            <w:noWrap/>
          </w:tcPr>
          <w:p w14:paraId="0CB66E1A" w14:textId="57C06C1F" w:rsidR="00865184" w:rsidRPr="00C43B59" w:rsidRDefault="00865184" w:rsidP="00C43B59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Table 3</w:t>
            </w:r>
            <w:r w:rsidR="00C43B59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. </w:t>
            </w:r>
            <w:r w:rsidRPr="00C43B59">
              <w:rPr>
                <w:color w:val="000000"/>
                <w:sz w:val="20"/>
                <w:szCs w:val="20"/>
                <w:lang w:val="en-AU" w:eastAsia="en-AU"/>
              </w:rPr>
              <w:t>Comparison of Cochrane and CogTale Effect Size Magnitudes and Certainty in the Estimate Ratings with Z-Scored Differences</w:t>
            </w:r>
          </w:p>
        </w:tc>
      </w:tr>
      <w:tr w:rsidR="00865184" w:rsidRPr="005D60C7" w14:paraId="6952A137" w14:textId="77777777" w:rsidTr="00103D03">
        <w:trPr>
          <w:trHeight w:val="264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96CB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Review</w:t>
            </w:r>
          </w:p>
        </w:tc>
        <w:tc>
          <w:tcPr>
            <w:tcW w:w="4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BBDD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Outcome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5DCD1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z-score (p-value)</w:t>
            </w:r>
          </w:p>
        </w:tc>
        <w:tc>
          <w:tcPr>
            <w:tcW w:w="15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3021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Cochrane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>ES Magnitude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C31DEC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CogTale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>ES Magnitude</w:t>
            </w:r>
          </w:p>
        </w:tc>
        <w:tc>
          <w:tcPr>
            <w:tcW w:w="12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F8EBE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Cochrane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 xml:space="preserve">Certainty in </w:t>
            </w:r>
          </w:p>
          <w:p w14:paraId="3EF40F1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the estimate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F3361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CogTale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 xml:space="preserve">Certainty in </w:t>
            </w:r>
          </w:p>
          <w:p w14:paraId="146E5F8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the estimate</w:t>
            </w:r>
          </w:p>
        </w:tc>
      </w:tr>
      <w:tr w:rsidR="00865184" w:rsidRPr="005D60C7" w14:paraId="14BAEB1C" w14:textId="77777777" w:rsidTr="00103D0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B48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CST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CF74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Cognition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66678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0.409 (0.682)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DB97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293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0D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16B217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492E7AFC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40F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bottom"/>
          </w:tcPr>
          <w:p w14:paraId="0CFB8C5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Quality of Life (PR)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</w:tcPr>
          <w:p w14:paraId="2942BC9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-0.597 (0.551)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</w:tcPr>
          <w:p w14:paraId="0048E8E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noWrap/>
            <w:vAlign w:val="bottom"/>
          </w:tcPr>
          <w:p w14:paraId="081BEB25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</w:tcPr>
          <w:p w14:paraId="32189C45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1D1D1"/>
            <w:noWrap/>
            <w:vAlign w:val="bottom"/>
          </w:tcPr>
          <w:p w14:paraId="752FE34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21B1CFFF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0FE8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1208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Communication and social interaction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92685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-1.163 (0.245)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897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840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12C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E9781E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40335DA3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52CD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bottom"/>
          </w:tcPr>
          <w:p w14:paraId="3916580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Mood: (PR)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</w:tcPr>
          <w:p w14:paraId="293CAEA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-0.122 (0.903)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</w:tcPr>
          <w:p w14:paraId="18063FC0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noWrap/>
            <w:vAlign w:val="bottom"/>
          </w:tcPr>
          <w:p w14:paraId="42C869D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</w:tcPr>
          <w:p w14:paraId="1D921735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1D1D1"/>
            <w:noWrap/>
            <w:vAlign w:val="bottom"/>
          </w:tcPr>
          <w:p w14:paraId="0891108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2FA48F5E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C0D3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37FAC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Mood: (IR)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5C60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-0.642 (0.521)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A942B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141B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72B9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50539E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1852FC16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E11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right w:val="nil"/>
            </w:tcBorders>
            <w:shd w:val="clear" w:color="auto" w:fill="D1D1D1"/>
            <w:vAlign w:val="bottom"/>
            <w:hideMark/>
          </w:tcPr>
          <w:p w14:paraId="09F4F8D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Instrumental ADL</w:t>
            </w:r>
          </w:p>
        </w:tc>
        <w:tc>
          <w:tcPr>
            <w:tcW w:w="1633" w:type="dxa"/>
            <w:tcBorders>
              <w:top w:val="nil"/>
              <w:left w:val="nil"/>
              <w:right w:val="single" w:sz="4" w:space="0" w:color="auto"/>
            </w:tcBorders>
            <w:shd w:val="clear" w:color="auto" w:fill="D1D1D1"/>
          </w:tcPr>
          <w:p w14:paraId="15FA374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0.371 (0.710)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3B267D7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4EA8620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2CC55C9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D1D1D1"/>
            <w:noWrap/>
            <w:vAlign w:val="bottom"/>
            <w:hideMark/>
          </w:tcPr>
          <w:p w14:paraId="2A7CFF1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</w:tr>
      <w:tr w:rsidR="00865184" w:rsidRPr="005D60C7" w14:paraId="48D1C819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D8C9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276A5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Behaviour that challenges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6DA7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-0.185 (0.853)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9767FB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123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301EB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166947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5F293147" w14:textId="77777777" w:rsidTr="00103D03">
        <w:trPr>
          <w:trHeight w:val="593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631F0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CT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/>
            <w:vAlign w:val="bottom"/>
            <w:hideMark/>
          </w:tcPr>
          <w:p w14:paraId="29E6894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 xml:space="preserve">Change in a global measure of cognition </w:t>
            </w:r>
          </w:p>
          <w:p w14:paraId="0C2D080B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(composite)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1D1D1"/>
          </w:tcPr>
          <w:p w14:paraId="369A37A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-0.463 (0.643)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556019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5F871A3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D05006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D1D1D1"/>
            <w:noWrap/>
            <w:vAlign w:val="bottom"/>
            <w:hideMark/>
          </w:tcPr>
          <w:p w14:paraId="23ED3C2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62926293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468D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666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Change in a global measure of cognition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3720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1.222 (0.222)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827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74A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584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86706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32FA195D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C8EB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bottom"/>
          </w:tcPr>
          <w:p w14:paraId="3C5C299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Change in delayed memory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</w:tcPr>
          <w:p w14:paraId="36B3A220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-0.181 (0.857)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</w:tcPr>
          <w:p w14:paraId="245F888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noWrap/>
            <w:vAlign w:val="bottom"/>
          </w:tcPr>
          <w:p w14:paraId="00059A4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</w:tcPr>
          <w:p w14:paraId="71FB891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Very 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1D1D1"/>
            <w:noWrap/>
            <w:vAlign w:val="bottom"/>
          </w:tcPr>
          <w:p w14:paraId="59C6997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Moderate†</w:t>
            </w:r>
          </w:p>
        </w:tc>
      </w:tr>
      <w:tr w:rsidR="00865184" w:rsidRPr="005D60C7" w14:paraId="43956B2F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BC1E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3B835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Change in participants' mood</w:t>
            </w:r>
          </w:p>
        </w:tc>
        <w:tc>
          <w:tcPr>
            <w:tcW w:w="1633" w:type="dxa"/>
            <w:tcBorders>
              <w:top w:val="nil"/>
              <w:left w:val="nil"/>
              <w:right w:val="single" w:sz="4" w:space="0" w:color="auto"/>
            </w:tcBorders>
          </w:tcPr>
          <w:p w14:paraId="752A0C5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1.211 (0.226)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299710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5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391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BB55D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Very Low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BD8B49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Moderate†</w:t>
            </w:r>
          </w:p>
        </w:tc>
      </w:tr>
      <w:tr w:rsidR="00865184" w:rsidRPr="005D60C7" w14:paraId="334B15BC" w14:textId="77777777" w:rsidTr="00103D03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DD1D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</w:tcPr>
          <w:p w14:paraId="1CA861A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Change in capacity for activities of daily living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02B61145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0.484 (0.628)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</w:tcPr>
          <w:p w14:paraId="1DC124E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bottom"/>
          </w:tcPr>
          <w:p w14:paraId="15B0E160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</w:tcPr>
          <w:p w14:paraId="3DC2E03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D1D1D1"/>
            <w:noWrap/>
            <w:vAlign w:val="bottom"/>
          </w:tcPr>
          <w:p w14:paraId="78215F1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High†</w:t>
            </w:r>
          </w:p>
        </w:tc>
      </w:tr>
      <w:tr w:rsidR="00865184" w:rsidRPr="005D60C7" w14:paraId="1BCABA1A" w14:textId="77777777" w:rsidTr="00103D03">
        <w:trPr>
          <w:trHeight w:val="635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D8F4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CR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FA48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Functional ability in targeted activities: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>personal goals - performance (PR)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171520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2.832 (0.005)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6E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2FCE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B20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2969C0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</w:tr>
      <w:tr w:rsidR="00865184" w:rsidRPr="005D60C7" w14:paraId="4D2123B1" w14:textId="77777777" w:rsidTr="00103D03">
        <w:trPr>
          <w:trHeight w:val="547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238A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bottom"/>
            <w:hideMark/>
          </w:tcPr>
          <w:p w14:paraId="2C5379BE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 xml:space="preserve">Functional ability in targeted activities: </w:t>
            </w:r>
            <w:r w:rsidRPr="005D60C7">
              <w:rPr>
                <w:color w:val="000000"/>
                <w:sz w:val="20"/>
                <w:szCs w:val="20"/>
                <w:lang w:val="en-AU" w:eastAsia="en-AU"/>
              </w:rPr>
              <w:br/>
              <w:t>personal goals - performance (IR)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</w:tcPr>
          <w:p w14:paraId="19722E2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0.643 (0.520)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C61C75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5E2841E5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974D55E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1D1D1"/>
            <w:noWrap/>
            <w:vAlign w:val="bottom"/>
            <w:hideMark/>
          </w:tcPr>
          <w:p w14:paraId="222A558F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</w:tr>
      <w:tr w:rsidR="00865184" w:rsidRPr="005D60C7" w14:paraId="1929216B" w14:textId="77777777" w:rsidTr="00103D03">
        <w:trPr>
          <w:trHeight w:val="271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6327D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C94E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General functional ability (IR)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89C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0.224 (0.823)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AC8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4A7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95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5B571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High†</w:t>
            </w:r>
          </w:p>
        </w:tc>
      </w:tr>
      <w:tr w:rsidR="00865184" w:rsidRPr="005D60C7" w14:paraId="2ACEAB27" w14:textId="77777777" w:rsidTr="00103D03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F3B65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bottom"/>
            <w:hideMark/>
          </w:tcPr>
          <w:p w14:paraId="75A7622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Mood: depression (PT)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</w:tcPr>
          <w:p w14:paraId="316E3D2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1.220 (0.222)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D2BDA4D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4662A87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Small‡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1E5DE0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Very 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1D1D1"/>
            <w:noWrap/>
            <w:vAlign w:val="bottom"/>
            <w:hideMark/>
          </w:tcPr>
          <w:p w14:paraId="7A83BBF5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Moderate†</w:t>
            </w:r>
          </w:p>
        </w:tc>
      </w:tr>
      <w:tr w:rsidR="00865184" w:rsidRPr="005D60C7" w14:paraId="034EC6B6" w14:textId="77777777" w:rsidTr="00103D03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8C877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F5A23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Quality of life (PR)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1F9E8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-0.523 (0.601)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2999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722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B8A6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219D00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</w:tr>
      <w:tr w:rsidR="00865184" w:rsidRPr="005D60C7" w14:paraId="33F71F9C" w14:textId="77777777" w:rsidTr="00103D03">
        <w:trPr>
          <w:trHeight w:val="228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29D4A4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  <w:hideMark/>
          </w:tcPr>
          <w:p w14:paraId="5FCF449C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Quality of life: psychological (PR)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2D880BE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0.546 (0.585)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573C7FF1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47052C26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2C7B815A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Moderate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191E217B" w14:textId="77777777" w:rsidR="00865184" w:rsidRPr="005D60C7" w:rsidRDefault="00865184" w:rsidP="00103D03">
            <w:pPr>
              <w:widowControl/>
              <w:autoSpaceDE/>
              <w:autoSpaceDN/>
              <w:spacing w:line="276" w:lineRule="auto"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High</w:t>
            </w:r>
          </w:p>
        </w:tc>
      </w:tr>
    </w:tbl>
    <w:p w14:paraId="19C563CD" w14:textId="76133E76" w:rsidR="00FD7F87" w:rsidRPr="00C43B59" w:rsidRDefault="00865184" w:rsidP="00C43B59">
      <w:pPr>
        <w:widowControl/>
        <w:autoSpaceDE/>
        <w:autoSpaceDN/>
        <w:spacing w:after="160" w:line="276" w:lineRule="auto"/>
        <w:rPr>
          <w:rFonts w:eastAsia="Aptos"/>
          <w:i/>
          <w:iCs/>
          <w:kern w:val="2"/>
          <w:sz w:val="20"/>
          <w:szCs w:val="20"/>
          <w:lang w:val="en-AU"/>
          <w14:ligatures w14:val="standardContextual"/>
        </w:rPr>
      </w:pPr>
      <w:r w:rsidRPr="005D60C7">
        <w:rPr>
          <w:i/>
          <w:iCs/>
          <w:color w:val="000000"/>
          <w:sz w:val="20"/>
          <w:szCs w:val="20"/>
          <w:lang w:val="en-AU" w:eastAsia="en-AU"/>
        </w:rPr>
        <w:t>Note.</w:t>
      </w:r>
      <w:r w:rsidRPr="005D60C7">
        <w:rPr>
          <w:rFonts w:eastAsia="Aptos"/>
          <w:kern w:val="2"/>
          <w:sz w:val="20"/>
          <w:szCs w:val="20"/>
          <w:lang w:val="en-AU"/>
          <w14:ligatures w14:val="standardContextual"/>
        </w:rPr>
        <w:t xml:space="preserve"> </w:t>
      </w:r>
      <w:r w:rsidRPr="005D60C7">
        <w:rPr>
          <w:i/>
          <w:iCs/>
          <w:color w:val="000000"/>
          <w:sz w:val="20"/>
          <w:szCs w:val="20"/>
          <w:lang w:val="en-AU" w:eastAsia="en-AU"/>
        </w:rPr>
        <w:t>‡ Substantial differences in effect size magnitude of two or more categories (e.g., small vs. large)</w:t>
      </w:r>
      <w:r>
        <w:rPr>
          <w:i/>
          <w:iCs/>
          <w:color w:val="000000"/>
          <w:sz w:val="20"/>
          <w:szCs w:val="20"/>
          <w:lang w:val="en-AU" w:eastAsia="en-AU"/>
        </w:rPr>
        <w:t xml:space="preserve"> </w:t>
      </w:r>
      <w:r w:rsidRPr="005D60C7">
        <w:rPr>
          <w:i/>
          <w:iCs/>
          <w:color w:val="000000"/>
          <w:sz w:val="20"/>
          <w:szCs w:val="20"/>
          <w:lang w:val="en-AU" w:eastAsia="en-AU"/>
        </w:rPr>
        <w:t>† Substantial differences in certainty in the evidence ratings of two or more categories (e.g., very low vs. moderate).</w:t>
      </w:r>
      <w:r>
        <w:rPr>
          <w:i/>
          <w:iCs/>
          <w:color w:val="000000"/>
          <w:sz w:val="20"/>
          <w:szCs w:val="20"/>
          <w:lang w:val="en-AU" w:eastAsia="en-AU"/>
        </w:rPr>
        <w:t xml:space="preserve"> </w:t>
      </w:r>
      <w:r w:rsidRPr="005D60C7">
        <w:rPr>
          <w:i/>
          <w:iCs/>
          <w:color w:val="000000"/>
          <w:sz w:val="20"/>
          <w:szCs w:val="20"/>
          <w:lang w:val="en-AU" w:eastAsia="en-AU"/>
        </w:rPr>
        <w:t xml:space="preserve">Italicised text highlights differences of one category (e.g., small vs. moderate). Bold text indicates evidence of </w:t>
      </w:r>
      <w:proofErr w:type="spellStart"/>
      <w:r w:rsidRPr="005D60C7">
        <w:rPr>
          <w:i/>
          <w:iCs/>
          <w:color w:val="000000"/>
          <w:sz w:val="20"/>
          <w:szCs w:val="20"/>
          <w:lang w:val="en-AU" w:eastAsia="en-AU"/>
        </w:rPr>
        <w:t>nonreplication</w:t>
      </w:r>
      <w:proofErr w:type="spellEnd"/>
      <w:r w:rsidRPr="005D60C7">
        <w:rPr>
          <w:i/>
          <w:iCs/>
          <w:color w:val="000000"/>
          <w:sz w:val="20"/>
          <w:szCs w:val="20"/>
          <w:lang w:val="en-AU" w:eastAsia="en-AU"/>
        </w:rPr>
        <w:t>.</w:t>
      </w:r>
      <w:r>
        <w:rPr>
          <w:i/>
          <w:iCs/>
          <w:color w:val="000000"/>
          <w:sz w:val="20"/>
          <w:szCs w:val="20"/>
          <w:lang w:val="en-AU" w:eastAsia="en-AU"/>
        </w:rPr>
        <w:t xml:space="preserve"> </w:t>
      </w:r>
      <w:r w:rsidRPr="005D60C7">
        <w:rPr>
          <w:i/>
          <w:iCs/>
          <w:color w:val="000000"/>
          <w:sz w:val="20"/>
          <w:szCs w:val="20"/>
          <w:lang w:val="en-AU" w:eastAsia="en-AU"/>
        </w:rPr>
        <w:t xml:space="preserve">***p &lt; .001, **p &lt; .01, *p &lt; .05. </w:t>
      </w:r>
      <w:r w:rsidRPr="005D60C7">
        <w:rPr>
          <w:i/>
          <w:iCs/>
          <w:color w:val="000000"/>
          <w:sz w:val="20"/>
          <w:szCs w:val="20"/>
          <w:lang w:val="en-AU" w:eastAsia="en-AU"/>
        </w:rPr>
        <w:br/>
        <w:t xml:space="preserve">ES = Effect size. </w:t>
      </w:r>
      <w:r w:rsidRPr="005D60C7">
        <w:rPr>
          <w:rFonts w:eastAsia="Aptos"/>
          <w:i/>
          <w:iCs/>
          <w:kern w:val="2"/>
          <w:sz w:val="20"/>
          <w:szCs w:val="20"/>
          <w:lang w:val="en-AU"/>
          <w14:ligatures w14:val="standardContextual"/>
        </w:rPr>
        <w:t xml:space="preserve">PR = Participant self-report. IR = Informant report of participant. </w:t>
      </w:r>
    </w:p>
    <w:sectPr w:rsidR="00FD7F87" w:rsidRPr="00C43B59" w:rsidSect="008651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84"/>
    <w:rsid w:val="00044DCB"/>
    <w:rsid w:val="00062E7C"/>
    <w:rsid w:val="000849E6"/>
    <w:rsid w:val="000D4F22"/>
    <w:rsid w:val="00120665"/>
    <w:rsid w:val="0018762A"/>
    <w:rsid w:val="001E01F9"/>
    <w:rsid w:val="002307A6"/>
    <w:rsid w:val="0023248A"/>
    <w:rsid w:val="00262F5D"/>
    <w:rsid w:val="003247D9"/>
    <w:rsid w:val="003E78D4"/>
    <w:rsid w:val="003F4251"/>
    <w:rsid w:val="00401F59"/>
    <w:rsid w:val="00426BB6"/>
    <w:rsid w:val="0048725D"/>
    <w:rsid w:val="004E5CBA"/>
    <w:rsid w:val="00513581"/>
    <w:rsid w:val="00525EF1"/>
    <w:rsid w:val="005A528F"/>
    <w:rsid w:val="005B45B9"/>
    <w:rsid w:val="005E496A"/>
    <w:rsid w:val="00625648"/>
    <w:rsid w:val="00637F7E"/>
    <w:rsid w:val="00651423"/>
    <w:rsid w:val="00653D18"/>
    <w:rsid w:val="0066164D"/>
    <w:rsid w:val="00672D64"/>
    <w:rsid w:val="006900BF"/>
    <w:rsid w:val="00712477"/>
    <w:rsid w:val="00715611"/>
    <w:rsid w:val="00754705"/>
    <w:rsid w:val="00757921"/>
    <w:rsid w:val="007A2544"/>
    <w:rsid w:val="007F54AF"/>
    <w:rsid w:val="00825809"/>
    <w:rsid w:val="00865184"/>
    <w:rsid w:val="008D4072"/>
    <w:rsid w:val="008D5DDE"/>
    <w:rsid w:val="00937466"/>
    <w:rsid w:val="00941DB5"/>
    <w:rsid w:val="009514EE"/>
    <w:rsid w:val="009863A2"/>
    <w:rsid w:val="009B65A8"/>
    <w:rsid w:val="009B7ADD"/>
    <w:rsid w:val="009E4CB0"/>
    <w:rsid w:val="00A019CF"/>
    <w:rsid w:val="00A83734"/>
    <w:rsid w:val="00A90581"/>
    <w:rsid w:val="00AE2FE0"/>
    <w:rsid w:val="00AE4486"/>
    <w:rsid w:val="00AF41EF"/>
    <w:rsid w:val="00B33839"/>
    <w:rsid w:val="00B61C15"/>
    <w:rsid w:val="00BB6138"/>
    <w:rsid w:val="00BF275E"/>
    <w:rsid w:val="00C302F7"/>
    <w:rsid w:val="00C322F7"/>
    <w:rsid w:val="00C43B59"/>
    <w:rsid w:val="00C637D6"/>
    <w:rsid w:val="00C63CA1"/>
    <w:rsid w:val="00D01CE0"/>
    <w:rsid w:val="00D04F49"/>
    <w:rsid w:val="00D82970"/>
    <w:rsid w:val="00E51C18"/>
    <w:rsid w:val="00F3036B"/>
    <w:rsid w:val="00F37160"/>
    <w:rsid w:val="00F42CBE"/>
    <w:rsid w:val="00FB2901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A5362"/>
  <w15:chartTrackingRefBased/>
  <w15:docId w15:val="{29B39441-FDD2-2940-882B-6F01379B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8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18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18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18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18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18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18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18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18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18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1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18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184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184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1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95A26693C19498B54AD12F93ADD6E" ma:contentTypeVersion="16" ma:contentTypeDescription="Create a new document." ma:contentTypeScope="" ma:versionID="fc316962c886772dcd3c5b4d8f6119fe">
  <xsd:schema xmlns:xsd="http://www.w3.org/2001/XMLSchema" xmlns:xs="http://www.w3.org/2001/XMLSchema" xmlns:p="http://schemas.microsoft.com/office/2006/metadata/properties" xmlns:ns2="ade97373-1b2a-43ca-83da-84d6a3c06362" xmlns:ns3="26569c83-f1d5-4923-bdc1-96387fcf22ca" targetNamespace="http://schemas.microsoft.com/office/2006/metadata/properties" ma:root="true" ma:fieldsID="c876d56d72c6ffb50797e0122f3d271c" ns2:_="" ns3:_="">
    <xsd:import namespace="ade97373-1b2a-43ca-83da-84d6a3c06362"/>
    <xsd:import namespace="26569c83-f1d5-4923-bdc1-96387fcf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97373-1b2a-43ca-83da-84d6a3c06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9c83-f1d5-4923-bdc1-96387fcf22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f7578f-ff3c-43c9-86bf-cd1c6deba293}" ma:internalName="TaxCatchAll" ma:showField="CatchAllData" ma:web="26569c83-f1d5-4923-bdc1-96387fcf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97373-1b2a-43ca-83da-84d6a3c06362">
      <Terms xmlns="http://schemas.microsoft.com/office/infopath/2007/PartnerControls"/>
    </lcf76f155ced4ddcb4097134ff3c332f>
    <TaxCatchAll xmlns="26569c83-f1d5-4923-bdc1-96387fcf22ca" xsi:nil="true"/>
  </documentManagement>
</p:properties>
</file>

<file path=customXml/itemProps1.xml><?xml version="1.0" encoding="utf-8"?>
<ds:datastoreItem xmlns:ds="http://schemas.openxmlformats.org/officeDocument/2006/customXml" ds:itemID="{5FC5E4C3-6A1A-49F1-BC69-1330463F4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B6129-A51F-46B4-B2C1-E8FBFEE6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97373-1b2a-43ca-83da-84d6a3c06362"/>
    <ds:schemaRef ds:uri="26569c83-f1d5-4923-bdc1-96387fcf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2DD6D-C29C-4AE5-90CF-2FEBE4F0BEE1}">
  <ds:schemaRefs>
    <ds:schemaRef ds:uri="http://schemas.microsoft.com/office/2006/metadata/properties"/>
    <ds:schemaRef ds:uri="http://schemas.microsoft.com/office/infopath/2007/PartnerControls"/>
    <ds:schemaRef ds:uri="ade97373-1b2a-43ca-83da-84d6a3c06362"/>
    <ds:schemaRef ds:uri="26569c83-f1d5-4923-bdc1-96387fcf2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Chesser</dc:creator>
  <cp:keywords/>
  <dc:description/>
  <cp:lastModifiedBy>Courtney Chesser</cp:lastModifiedBy>
  <cp:revision>2</cp:revision>
  <dcterms:created xsi:type="dcterms:W3CDTF">2025-07-08T03:20:00Z</dcterms:created>
  <dcterms:modified xsi:type="dcterms:W3CDTF">2025-07-08T03:26:00Z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0x0101006F895A26693C19498B54AD12F93ADD6E</vt:lpwstr>
  </property>
  <property fmtid="{D5CDD505-2E9C-101B-9397-08002B2CF9AE}" pid="3" name="MediaServiceImageTags">
    <vt:lpwstr/>
  </property>
</Properties>
</file>