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EDB" w:rsidRDefault="00246B92" w:rsidP="00B42EDB">
      <w:pPr>
        <w:adjustRightInd w:val="0"/>
        <w:snapToGrid w:val="0"/>
        <w:spacing w:line="480" w:lineRule="auto"/>
        <w:rPr>
          <w:rFonts w:ascii="Times New Roman" w:eastAsia="Lucida Sans Typewriter" w:hAnsi="Times New Roman"/>
          <w:color w:val="000000"/>
          <w:kern w:val="0"/>
          <w:sz w:val="24"/>
          <w:szCs w:val="24"/>
        </w:rPr>
      </w:pPr>
      <w:r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 xml:space="preserve">Article </w:t>
      </w:r>
      <w:r w:rsidR="00B42EDB" w:rsidRPr="00B42EDB"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 xml:space="preserve">Title: </w:t>
      </w:r>
      <w:r w:rsidR="00B42EDB"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Serum HBV RNA predicts HBeAg clearance and seroconversion in chronic hepatitis B patients treated with </w:t>
      </w:r>
      <w:proofErr w:type="gramStart"/>
      <w:r w:rsidR="00B42EDB"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nucleos(</w:t>
      </w:r>
      <w:proofErr w:type="gramEnd"/>
      <w:r w:rsidR="00B42EDB"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t)ide analogues</w:t>
      </w:r>
    </w:p>
    <w:p w:rsidR="00246B92" w:rsidRDefault="00246B92" w:rsidP="00B42EDB">
      <w:pPr>
        <w:adjustRightInd w:val="0"/>
        <w:snapToGrid w:val="0"/>
        <w:spacing w:line="480" w:lineRule="auto"/>
        <w:rPr>
          <w:rFonts w:ascii="Times New Roman" w:eastAsia="Lucida Sans Typewriter" w:hAnsi="Times New Roman"/>
          <w:bCs/>
          <w:color w:val="000000"/>
          <w:kern w:val="0"/>
          <w:sz w:val="24"/>
          <w:szCs w:val="24"/>
        </w:rPr>
      </w:pPr>
      <w:r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>Journal N</w:t>
      </w:r>
      <w:r w:rsidRPr="00246B92"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>ame</w:t>
      </w:r>
      <w:r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 xml:space="preserve">: </w:t>
      </w:r>
      <w:r w:rsidRPr="00246B92">
        <w:rPr>
          <w:rFonts w:ascii="Times New Roman" w:eastAsia="Lucida Sans Typewriter" w:hAnsi="Times New Roman"/>
          <w:bCs/>
          <w:color w:val="000000"/>
          <w:kern w:val="0"/>
          <w:sz w:val="24"/>
          <w:szCs w:val="24"/>
        </w:rPr>
        <w:t>Hepatology International</w:t>
      </w:r>
    </w:p>
    <w:p w:rsidR="00246B92" w:rsidRPr="00246B92" w:rsidRDefault="00246B92" w:rsidP="00B42EDB">
      <w:pPr>
        <w:adjustRightInd w:val="0"/>
        <w:snapToGrid w:val="0"/>
        <w:spacing w:line="480" w:lineRule="auto"/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>Author N</w:t>
      </w:r>
      <w:r w:rsidRPr="00246B92"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>ames</w:t>
      </w:r>
      <w:r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>:</w:t>
      </w:r>
    </w:p>
    <w:p w:rsidR="00B42EDB" w:rsidRDefault="00B42EDB" w:rsidP="00B42EDB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Lucida Sans Typewriter" w:hAnsi="Times New Roman"/>
          <w:color w:val="000000"/>
          <w:sz w:val="24"/>
          <w:szCs w:val="24"/>
          <w:vertAlign w:val="superscript"/>
        </w:rPr>
      </w:pP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Yang Wang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1,2</w:t>
      </w:r>
      <w:r w:rsidRPr="00B42EDB">
        <w:rPr>
          <w:rFonts w:ascii="Times New Roman" w:eastAsia="Lucida Sans Typewriter" w:hAnsi="Times New Roman"/>
          <w:color w:val="000000"/>
          <w:sz w:val="24"/>
          <w:szCs w:val="24"/>
          <w:vertAlign w:val="superscript"/>
        </w:rPr>
        <w:t>†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Hao</w:t>
      </w:r>
      <w:proofErr w:type="spellEnd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 Liao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3,4</w:t>
      </w:r>
      <w:r w:rsidRPr="00B42EDB">
        <w:rPr>
          <w:rFonts w:ascii="Times New Roman" w:eastAsia="Lucida Sans Typewriter" w:hAnsi="Times New Roman"/>
          <w:color w:val="000000"/>
          <w:sz w:val="24"/>
          <w:szCs w:val="24"/>
          <w:vertAlign w:val="superscript"/>
        </w:rPr>
        <w:t>†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Zhongping</w:t>
      </w:r>
      <w:proofErr w:type="spellEnd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 Deng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5,6</w:t>
      </w:r>
      <w:r w:rsidRPr="00B42EDB">
        <w:rPr>
          <w:rFonts w:ascii="Times New Roman" w:eastAsia="Lucida Sans Typewriter" w:hAnsi="Times New Roman"/>
          <w:color w:val="000000"/>
          <w:sz w:val="24"/>
          <w:szCs w:val="24"/>
          <w:vertAlign w:val="superscript"/>
        </w:rPr>
        <w:t>†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,</w:t>
      </w:r>
      <w:r w:rsidRPr="00B42EDB">
        <w:rPr>
          <w:rFonts w:ascii="Times New Roman" w:eastAsia="Lucida Sans Typewriter" w:hAnsi="Times New Roman"/>
          <w:color w:val="000000"/>
          <w:sz w:val="24"/>
          <w:szCs w:val="24"/>
          <w:vertAlign w:val="superscript"/>
        </w:rPr>
        <w:t xml:space="preserve"> </w:t>
      </w:r>
      <w:proofErr w:type="spellStart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Yanna</w:t>
      </w:r>
      <w:proofErr w:type="spellEnd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 Liu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3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Dandan</w:t>
      </w:r>
      <w:proofErr w:type="spellEnd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 Bian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1,2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, Yan Ren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1,2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Guangxin</w:t>
      </w:r>
      <w:proofErr w:type="spellEnd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 Yu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3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Yingying</w:t>
      </w:r>
      <w:proofErr w:type="spellEnd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 Jiang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1,2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, Li Bai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1,2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Shuang</w:t>
      </w:r>
      <w:proofErr w:type="spellEnd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 Liu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1,2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, Mei Liu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1,2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,</w:t>
      </w:r>
      <w:r w:rsidRPr="00B42EDB">
        <w:rPr>
          <w:rFonts w:ascii="Times New Roman" w:eastAsia="Lucida Sans Typewriter" w:hAnsi="Times New Roman"/>
          <w:color w:val="FF0000"/>
          <w:kern w:val="0"/>
          <w:sz w:val="24"/>
          <w:szCs w:val="24"/>
        </w:rPr>
        <w:t xml:space="preserve"> 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Li Zhou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1,2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,</w:t>
      </w:r>
      <w:r w:rsidRPr="00B42EDB">
        <w:rPr>
          <w:rFonts w:ascii="Times New Roman" w:eastAsia="Lucida Sans Typewriter" w:hAnsi="Times New Roman"/>
          <w:color w:val="FF0000"/>
          <w:kern w:val="0"/>
          <w:sz w:val="24"/>
          <w:szCs w:val="24"/>
        </w:rPr>
        <w:t xml:space="preserve"> 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Yu Chen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1,2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Zhongping</w:t>
      </w:r>
      <w:proofErr w:type="spellEnd"/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 Duan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1,2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, Sujun Zheng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1,2</w:t>
      </w:r>
      <w:r w:rsidRPr="00B42EDB">
        <w:rPr>
          <w:rFonts w:ascii="Times New Roman" w:eastAsia="Lucida Sans Typewriter" w:hAnsi="Times New Roman"/>
          <w:color w:val="000000"/>
          <w:sz w:val="24"/>
          <w:szCs w:val="24"/>
          <w:vertAlign w:val="superscript"/>
        </w:rPr>
        <w:t>‡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, Fengmin Lu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  <w:vertAlign w:val="superscript"/>
        </w:rPr>
        <w:t>3</w:t>
      </w:r>
      <w:r w:rsidRPr="00B42EDB">
        <w:rPr>
          <w:rFonts w:ascii="Times New Roman" w:eastAsia="Lucida Sans Typewriter" w:hAnsi="Times New Roman"/>
          <w:color w:val="000000"/>
          <w:sz w:val="24"/>
          <w:szCs w:val="24"/>
          <w:vertAlign w:val="superscript"/>
        </w:rPr>
        <w:t>‡</w:t>
      </w:r>
    </w:p>
    <w:p w:rsidR="00246B92" w:rsidRPr="00246B92" w:rsidRDefault="00246B92" w:rsidP="00246B92">
      <w:pPr>
        <w:adjustRightInd w:val="0"/>
        <w:snapToGrid w:val="0"/>
        <w:spacing w:line="480" w:lineRule="auto"/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>Affi</w:t>
      </w:r>
      <w:r w:rsidRPr="00246B92"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>li</w:t>
      </w:r>
      <w:r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>a</w:t>
      </w:r>
      <w:r w:rsidRPr="00246B92"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>tion</w:t>
      </w:r>
      <w:r>
        <w:rPr>
          <w:rFonts w:ascii="Times New Roman" w:eastAsia="Lucida Sans Typewriter" w:hAnsi="Times New Roman"/>
          <w:b/>
          <w:bCs/>
          <w:color w:val="000000"/>
          <w:kern w:val="0"/>
          <w:sz w:val="24"/>
          <w:szCs w:val="24"/>
        </w:rPr>
        <w:t>:</w:t>
      </w:r>
    </w:p>
    <w:p w:rsidR="00B42EDB" w:rsidRPr="00B42EDB" w:rsidRDefault="00B42EDB" w:rsidP="00B42EDB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480" w:lineRule="auto"/>
        <w:rPr>
          <w:rFonts w:ascii="Times New Roman" w:eastAsia="Lucida Sans Typewriter" w:hAnsi="Times New Roman"/>
          <w:color w:val="000000"/>
          <w:kern w:val="0"/>
          <w:sz w:val="24"/>
          <w:szCs w:val="24"/>
        </w:rPr>
      </w:pP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Liver disease center, Beijing YouAn Hospital, Capital Medical University, Beijing 100069, </w:t>
      </w:r>
      <w:r w:rsidRPr="00B42EDB">
        <w:rPr>
          <w:rFonts w:ascii="Times New Roman" w:eastAsia="Calibri Light" w:hAnsi="Times New Roman"/>
          <w:sz w:val="24"/>
          <w:szCs w:val="24"/>
        </w:rPr>
        <w:t>China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 </w:t>
      </w:r>
    </w:p>
    <w:p w:rsidR="00B42EDB" w:rsidRPr="00B42EDB" w:rsidRDefault="00B42EDB" w:rsidP="00B42EDB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480" w:lineRule="auto"/>
        <w:rPr>
          <w:rFonts w:ascii="Times New Roman" w:eastAsia="Lucida Sans Typewriter" w:hAnsi="Times New Roman"/>
          <w:color w:val="000000"/>
          <w:kern w:val="0"/>
          <w:sz w:val="24"/>
          <w:szCs w:val="24"/>
        </w:rPr>
      </w:pP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Beijing Municipal Key Laboratory of Liver Failure and Artificial Liver Treatment &amp; Research, Beijing YouAn Hospital, Capital Medical University, Beijing 100069, </w:t>
      </w:r>
      <w:r w:rsidRPr="00B42EDB">
        <w:rPr>
          <w:rFonts w:ascii="Times New Roman" w:eastAsia="Calibri Light" w:hAnsi="Times New Roman"/>
          <w:sz w:val="24"/>
          <w:szCs w:val="24"/>
        </w:rPr>
        <w:t>China</w:t>
      </w: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 xml:space="preserve"> </w:t>
      </w:r>
    </w:p>
    <w:p w:rsidR="00B42EDB" w:rsidRPr="00B42EDB" w:rsidRDefault="00B42EDB" w:rsidP="00B42EDB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480" w:lineRule="auto"/>
        <w:rPr>
          <w:rFonts w:ascii="Times New Roman" w:eastAsia="Lucida Sans Typewriter" w:hAnsi="Times New Roman"/>
          <w:color w:val="000000"/>
          <w:kern w:val="0"/>
          <w:sz w:val="24"/>
          <w:szCs w:val="24"/>
        </w:rPr>
      </w:pPr>
      <w:r w:rsidRPr="00B42EDB">
        <w:rPr>
          <w:rFonts w:ascii="Times New Roman" w:eastAsia="Calibri Light" w:hAnsi="Times New Roman"/>
          <w:sz w:val="24"/>
          <w:szCs w:val="24"/>
        </w:rPr>
        <w:t>Department of Microbiology and Infectious Disease Center, Peking University Health Science Center, Beijing 100191, China</w:t>
      </w:r>
    </w:p>
    <w:p w:rsidR="00B42EDB" w:rsidRPr="00B42EDB" w:rsidRDefault="00B42EDB" w:rsidP="00B42EDB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480" w:lineRule="auto"/>
        <w:rPr>
          <w:rFonts w:ascii="Times New Roman" w:eastAsia="Lucida Sans Typewriter" w:hAnsi="Times New Roman"/>
          <w:color w:val="000000"/>
          <w:kern w:val="0"/>
          <w:sz w:val="24"/>
          <w:szCs w:val="24"/>
        </w:rPr>
      </w:pPr>
      <w:r w:rsidRPr="00B42EDB">
        <w:rPr>
          <w:rFonts w:ascii="Times New Roman" w:eastAsia="Calibri Light" w:hAnsi="Times New Roman"/>
          <w:bCs/>
          <w:kern w:val="0"/>
          <w:sz w:val="23"/>
          <w:szCs w:val="23"/>
        </w:rPr>
        <w:t>Intervention and Cell Therapy Center, Peking University Shenzhen Hospital, Shenzhen Peking University-The Hong Kong University of Science and Technology Medical Center, Shenzhen, Guangdong province 518035, China.</w:t>
      </w:r>
    </w:p>
    <w:p w:rsidR="00B42EDB" w:rsidRPr="00B42EDB" w:rsidRDefault="00B42EDB" w:rsidP="00B42EDB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480" w:lineRule="auto"/>
        <w:rPr>
          <w:rFonts w:ascii="Times New Roman" w:eastAsia="Lucida Sans Typewriter" w:hAnsi="Times New Roman"/>
          <w:color w:val="000000"/>
          <w:kern w:val="0"/>
          <w:sz w:val="24"/>
          <w:szCs w:val="24"/>
        </w:rPr>
      </w:pPr>
      <w:r w:rsidRPr="00B42EDB">
        <w:rPr>
          <w:rFonts w:ascii="Times New Roman" w:eastAsia="Lucida Sans Typewriter" w:hAnsi="Times New Roman"/>
          <w:color w:val="000000"/>
          <w:kern w:val="0"/>
          <w:sz w:val="24"/>
          <w:szCs w:val="24"/>
        </w:rPr>
        <w:t>Academy for Advanced Interdisciplinary Studies,</w:t>
      </w:r>
      <w:r w:rsidRPr="00B42EDB">
        <w:rPr>
          <w:rFonts w:ascii="Times New Roman" w:eastAsia="Calibri Light" w:hAnsi="Times New Roman"/>
          <w:sz w:val="24"/>
          <w:szCs w:val="24"/>
        </w:rPr>
        <w:t xml:space="preserve"> Peking University, Beijing 100871, China </w:t>
      </w:r>
    </w:p>
    <w:p w:rsidR="00B42EDB" w:rsidRPr="00246B92" w:rsidRDefault="00B42EDB" w:rsidP="00B42EDB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480" w:lineRule="auto"/>
        <w:rPr>
          <w:rFonts w:ascii="Times New Roman" w:eastAsia="Lucida Sans Typewriter" w:hAnsi="Times New Roman"/>
          <w:color w:val="000000"/>
          <w:kern w:val="0"/>
          <w:sz w:val="24"/>
          <w:szCs w:val="24"/>
        </w:rPr>
      </w:pPr>
      <w:r w:rsidRPr="00B42EDB">
        <w:rPr>
          <w:rFonts w:ascii="Times New Roman" w:eastAsia="Calibri Light" w:hAnsi="Times New Roman"/>
          <w:sz w:val="24"/>
          <w:szCs w:val="24"/>
        </w:rPr>
        <w:t>Hunan Provincial Key Laboratory of Gene Diagnostic Technology</w:t>
      </w:r>
      <w:r w:rsidRPr="00B42EDB">
        <w:rPr>
          <w:rFonts w:ascii="微软雅黑" w:eastAsia="微软雅黑" w:hAnsi="微软雅黑" w:cs="微软雅黑" w:hint="eastAsia"/>
          <w:sz w:val="24"/>
          <w:szCs w:val="24"/>
        </w:rPr>
        <w:t>，</w:t>
      </w:r>
      <w:r w:rsidRPr="00B42EDB">
        <w:rPr>
          <w:rFonts w:ascii="Times New Roman" w:eastAsia="Calibri Light" w:hAnsi="Times New Roman"/>
          <w:sz w:val="24"/>
          <w:szCs w:val="24"/>
        </w:rPr>
        <w:t>Changsha</w:t>
      </w:r>
      <w:r w:rsidRPr="00B42EDB">
        <w:rPr>
          <w:rFonts w:ascii="微软雅黑" w:eastAsia="微软雅黑" w:hAnsi="微软雅黑" w:cs="微软雅黑" w:hint="eastAsia"/>
          <w:sz w:val="24"/>
          <w:szCs w:val="24"/>
        </w:rPr>
        <w:t>，</w:t>
      </w:r>
      <w:r w:rsidRPr="00B42EDB">
        <w:rPr>
          <w:rFonts w:ascii="Times New Roman" w:eastAsia="Calibri Light" w:hAnsi="Times New Roman"/>
          <w:sz w:val="24"/>
          <w:szCs w:val="24"/>
        </w:rPr>
        <w:t xml:space="preserve">410205, China </w:t>
      </w:r>
    </w:p>
    <w:p w:rsidR="00246B92" w:rsidRPr="007F2385" w:rsidRDefault="00246B92" w:rsidP="00246B92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MinionPro-It" w:hAnsi="Times New Roman" w:cs="AdvP7DA6"/>
          <w:b/>
          <w:color w:val="000000"/>
          <w:kern w:val="0"/>
          <w:sz w:val="24"/>
          <w:szCs w:val="24"/>
        </w:rPr>
      </w:pPr>
      <w:r>
        <w:rPr>
          <w:rFonts w:ascii="Times New Roman" w:eastAsia="MinionPro-It" w:hAnsi="Times New Roman" w:cs="AdvP7DA6"/>
          <w:b/>
          <w:color w:val="000000"/>
          <w:kern w:val="0"/>
          <w:sz w:val="24"/>
          <w:szCs w:val="24"/>
        </w:rPr>
        <w:t>E</w:t>
      </w:r>
      <w:r w:rsidRPr="007F2385">
        <w:rPr>
          <w:rFonts w:ascii="Times New Roman" w:eastAsia="MinionPro-It" w:hAnsi="Times New Roman" w:cs="AdvP7DA6"/>
          <w:b/>
          <w:color w:val="000000"/>
          <w:kern w:val="0"/>
          <w:sz w:val="24"/>
          <w:szCs w:val="24"/>
        </w:rPr>
        <w:t>-mail address</w:t>
      </w:r>
      <w:r w:rsidR="00564F63">
        <w:rPr>
          <w:rFonts w:ascii="Times New Roman" w:eastAsia="MinionPro-It" w:hAnsi="Times New Roman" w:cs="AdvP7DA6"/>
          <w:b/>
          <w:color w:val="000000"/>
          <w:kern w:val="0"/>
          <w:sz w:val="24"/>
          <w:szCs w:val="24"/>
        </w:rPr>
        <w:t xml:space="preserve"> </w:t>
      </w:r>
      <w:r w:rsidR="00564F63" w:rsidRPr="00564F63">
        <w:rPr>
          <w:rFonts w:ascii="Times New Roman" w:eastAsia="MinionPro-It" w:hAnsi="Times New Roman" w:cs="AdvP7DA6"/>
          <w:b/>
          <w:color w:val="000000"/>
          <w:kern w:val="0"/>
          <w:sz w:val="24"/>
          <w:szCs w:val="24"/>
        </w:rPr>
        <w:t>of the corresponding author</w:t>
      </w:r>
      <w:r>
        <w:rPr>
          <w:rFonts w:ascii="Times New Roman" w:eastAsia="MinionPro-It" w:hAnsi="Times New Roman" w:cs="AdvP7DA6"/>
          <w:b/>
          <w:color w:val="000000"/>
          <w:kern w:val="0"/>
          <w:sz w:val="24"/>
          <w:szCs w:val="24"/>
        </w:rPr>
        <w:t>:</w:t>
      </w:r>
    </w:p>
    <w:p w:rsidR="004E12C5" w:rsidRDefault="00246B92" w:rsidP="00246B92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MinionPro-It" w:hAnsi="Times New Roman"/>
          <w:color w:val="000000"/>
          <w:kern w:val="0"/>
          <w:sz w:val="24"/>
          <w:szCs w:val="24"/>
        </w:rPr>
      </w:pPr>
      <w:hyperlink r:id="rId9" w:history="1">
        <w:r>
          <w:rPr>
            <w:rStyle w:val="a7"/>
            <w:rFonts w:ascii="Times New Roman" w:eastAsia="MinionPro-It" w:hAnsi="Times New Roman"/>
            <w:kern w:val="0"/>
            <w:sz w:val="24"/>
            <w:szCs w:val="24"/>
          </w:rPr>
          <w:t>zhengsujun003@126.com</w:t>
        </w:r>
      </w:hyperlink>
      <w:r>
        <w:rPr>
          <w:rFonts w:ascii="Times New Roman" w:eastAsia="MinionPro-It" w:hAnsi="Times New Roman"/>
          <w:color w:val="000000"/>
          <w:kern w:val="0"/>
          <w:sz w:val="24"/>
          <w:szCs w:val="24"/>
        </w:rPr>
        <w:t xml:space="preserve"> (Sujun Zheng); </w:t>
      </w:r>
    </w:p>
    <w:bookmarkStart w:id="0" w:name="_GoBack"/>
    <w:bookmarkEnd w:id="0"/>
    <w:p w:rsidR="00246B92" w:rsidRPr="00246B92" w:rsidRDefault="00246B92" w:rsidP="00246B9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hint="eastAsia"/>
          <w:sz w:val="24"/>
          <w:szCs w:val="24"/>
        </w:rPr>
      </w:pPr>
      <w:r>
        <w:fldChar w:fldCharType="begin"/>
      </w:r>
      <w:r>
        <w:instrText xml:space="preserve"> HYPERLINK "mailto:lu.fengmin@hsc.pku.edu.cn" </w:instrText>
      </w:r>
      <w:r>
        <w:fldChar w:fldCharType="separate"/>
      </w:r>
      <w:r>
        <w:rPr>
          <w:rStyle w:val="a7"/>
          <w:rFonts w:ascii="Times New Roman" w:eastAsia="MinionPro-It" w:hAnsi="Times New Roman"/>
          <w:kern w:val="0"/>
        </w:rPr>
        <w:t>l</w:t>
      </w:r>
      <w:r>
        <w:rPr>
          <w:rStyle w:val="a7"/>
          <w:rFonts w:ascii="Times New Roman" w:eastAsia="MinionPro-It" w:hAnsi="Times New Roman"/>
          <w:kern w:val="0"/>
          <w:sz w:val="24"/>
          <w:szCs w:val="24"/>
        </w:rPr>
        <w:t>u.fengmin@hsc.pku.edu.cn</w:t>
      </w:r>
      <w:r>
        <w:rPr>
          <w:rStyle w:val="a7"/>
          <w:rFonts w:ascii="Times New Roman" w:eastAsia="MinionPro-It" w:hAnsi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/>
          <w:sz w:val="24"/>
          <w:szCs w:val="24"/>
        </w:rPr>
        <w:t xml:space="preserve"> (Fengmin Lu).</w:t>
      </w:r>
    </w:p>
    <w:p w:rsidR="00B42EDB" w:rsidRPr="00B42EDB" w:rsidRDefault="00B42EDB" w:rsidP="00B42EDB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Lucida Sans Typewriter" w:hAnsi="Times New Roman"/>
          <w:color w:val="000000"/>
          <w:sz w:val="24"/>
          <w:szCs w:val="24"/>
        </w:rPr>
      </w:pPr>
      <w:r w:rsidRPr="00B42EDB">
        <w:rPr>
          <w:rFonts w:ascii="Times New Roman" w:eastAsia="Calibri Light" w:hAnsi="Times New Roman"/>
          <w:color w:val="000000"/>
          <w:sz w:val="24"/>
          <w:szCs w:val="24"/>
        </w:rPr>
        <w:lastRenderedPageBreak/>
        <w:t>†</w:t>
      </w:r>
      <w:r w:rsidRPr="00B42EDB">
        <w:rPr>
          <w:rFonts w:ascii="Times New Roman" w:eastAsia="Lucida Sans Typewriter" w:hAnsi="Times New Roman"/>
          <w:color w:val="000000"/>
          <w:sz w:val="24"/>
          <w:szCs w:val="24"/>
        </w:rPr>
        <w:t>These authors contribute equally to this work.</w:t>
      </w:r>
    </w:p>
    <w:p w:rsidR="00B42EDB" w:rsidRPr="00635B7A" w:rsidRDefault="00B42EDB" w:rsidP="00B42EDB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B42EDB">
        <w:rPr>
          <w:rFonts w:ascii="Times New Roman" w:eastAsia="Calibri Light" w:hAnsi="Times New Roman"/>
          <w:color w:val="000000"/>
          <w:sz w:val="24"/>
          <w:szCs w:val="24"/>
        </w:rPr>
        <w:t>‡</w:t>
      </w:r>
      <w:r w:rsidRPr="00B42EDB">
        <w:rPr>
          <w:rFonts w:ascii="Times New Roman" w:eastAsia="Lucida Sans Typewriter" w:hAnsi="Times New Roman"/>
          <w:color w:val="000000"/>
          <w:sz w:val="24"/>
          <w:szCs w:val="24"/>
        </w:rPr>
        <w:t>Corresponding author</w:t>
      </w:r>
    </w:p>
    <w:p w:rsidR="00C82356" w:rsidRPr="00B42EDB" w:rsidRDefault="00B42EDB" w:rsidP="00B42EDB">
      <w:pPr>
        <w:pStyle w:val="1"/>
        <w:keepNext w:val="0"/>
        <w:keepLines w:val="0"/>
        <w:wordWrap w:val="0"/>
        <w:topLinePunct/>
        <w:spacing w:before="0" w:after="0"/>
        <w:rPr>
          <w:rFonts w:ascii="Times New Roman" w:hAnsi="Times New Roman"/>
          <w:b w:val="0"/>
          <w:sz w:val="24"/>
          <w:szCs w:val="24"/>
          <w:lang w:eastAsia="en-US"/>
        </w:rPr>
      </w:pPr>
      <w:r w:rsidRPr="00635B7A">
        <w:rPr>
          <w:rFonts w:ascii="Times New Roman" w:hAnsi="Times New Roman"/>
          <w:b w:val="0"/>
          <w:bCs w:val="0"/>
          <w:sz w:val="24"/>
          <w:szCs w:val="24"/>
        </w:rPr>
        <w:br w:type="page"/>
      </w:r>
      <w:r w:rsidR="00B20B55" w:rsidRPr="00B42EDB">
        <w:rPr>
          <w:rFonts w:ascii="Times New Roman" w:hAnsi="Times New Roman"/>
          <w:sz w:val="24"/>
          <w:szCs w:val="24"/>
          <w:lang w:eastAsia="en-US"/>
        </w:rPr>
        <w:lastRenderedPageBreak/>
        <w:t>Methods</w:t>
      </w:r>
    </w:p>
    <w:p w:rsidR="00C82356" w:rsidRPr="00B20B55" w:rsidRDefault="00B20B55" w:rsidP="00B20B55">
      <w:pPr>
        <w:pStyle w:val="2"/>
        <w:keepNext w:val="0"/>
        <w:keepLines w:val="0"/>
        <w:spacing w:before="0" w:after="0" w:line="415" w:lineRule="auto"/>
        <w:rPr>
          <w:rFonts w:ascii="Times New Roman" w:hAnsi="Times New Roman" w:cs="Times New Roman"/>
          <w:sz w:val="24"/>
          <w:szCs w:val="24"/>
        </w:rPr>
      </w:pPr>
      <w:r w:rsidRPr="00B20B55">
        <w:rPr>
          <w:rFonts w:ascii="Times New Roman" w:hAnsi="Times New Roman" w:cs="Times New Roman"/>
          <w:sz w:val="24"/>
          <w:szCs w:val="24"/>
        </w:rPr>
        <w:t>HBV RNA Assay</w:t>
      </w:r>
    </w:p>
    <w:p w:rsidR="00C82356" w:rsidRDefault="00267577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FD1906">
        <w:rPr>
          <w:rFonts w:ascii="Times New Roman" w:hAnsi="Times New Roman"/>
          <w:sz w:val="24"/>
          <w:szCs w:val="24"/>
        </w:rPr>
        <w:t>HBV RNA was isolated with the nucleic acid extraction or purification kit (</w:t>
      </w:r>
      <w:proofErr w:type="spellStart"/>
      <w:r w:rsidRPr="00FD1906">
        <w:rPr>
          <w:rFonts w:ascii="Times New Roman" w:hAnsi="Times New Roman"/>
          <w:sz w:val="24"/>
          <w:szCs w:val="24"/>
        </w:rPr>
        <w:t>Sansure</w:t>
      </w:r>
      <w:proofErr w:type="spellEnd"/>
      <w:r w:rsidRPr="00FD1906">
        <w:rPr>
          <w:rFonts w:ascii="Times New Roman" w:hAnsi="Times New Roman"/>
          <w:sz w:val="24"/>
          <w:szCs w:val="24"/>
        </w:rPr>
        <w:t xml:space="preserve"> Biotech, Changsha, China) and treated with DNase I (</w:t>
      </w:r>
      <w:proofErr w:type="spellStart"/>
      <w:r w:rsidRPr="00FD1906">
        <w:rPr>
          <w:rFonts w:ascii="Times New Roman" w:hAnsi="Times New Roman"/>
          <w:sz w:val="24"/>
          <w:szCs w:val="24"/>
        </w:rPr>
        <w:t>Thermo</w:t>
      </w:r>
      <w:proofErr w:type="spellEnd"/>
      <w:r w:rsidRPr="00FD1906">
        <w:rPr>
          <w:rFonts w:ascii="Times New Roman" w:hAnsi="Times New Roman"/>
          <w:sz w:val="24"/>
          <w:szCs w:val="24"/>
        </w:rPr>
        <w:t xml:space="preserve"> Fisher Scientific, Waltham, MA, USA). </w:t>
      </w:r>
      <w:r w:rsidR="00B20B55">
        <w:rPr>
          <w:rFonts w:ascii="Times New Roman" w:hAnsi="Times New Roman"/>
          <w:sz w:val="24"/>
          <w:szCs w:val="24"/>
        </w:rPr>
        <w:t xml:space="preserve">The specially modified super-cis </w:t>
      </w:r>
      <w:proofErr w:type="spellStart"/>
      <w:r w:rsidR="00B20B55">
        <w:rPr>
          <w:rFonts w:ascii="Times New Roman" w:hAnsi="Times New Roman"/>
          <w:sz w:val="24"/>
          <w:szCs w:val="24"/>
        </w:rPr>
        <w:t>nano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-magnetic beads efficiently adsorbed and enriched nucleic acids from 200 µL serum. For DNase I treatment, every reaction mixture comprised 2 µL of DNase I Reaction Buffer (10×), 2 µL of </w:t>
      </w:r>
      <w:proofErr w:type="spellStart"/>
      <w:r w:rsidR="00B20B55">
        <w:rPr>
          <w:rFonts w:ascii="Times New Roman" w:hAnsi="Times New Roman"/>
          <w:sz w:val="24"/>
          <w:szCs w:val="24"/>
        </w:rPr>
        <w:t>DNAse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I (RNase-free), and 16 µL of total nucleic acids. The reaction was carried out at 37°C for 30 min. Next, each mixture was incubated at 75°C for 10 min to inactivate DNase I. Finally, DNase-I-treated HBV RNA was one-step of reverse-transcribed and real-time fluorescent quantitative PCR using the HBV pgRNA high-sensitivity quantitative kit (</w:t>
      </w:r>
      <w:proofErr w:type="spellStart"/>
      <w:r w:rsidR="00B20B55">
        <w:rPr>
          <w:rFonts w:ascii="Times New Roman" w:hAnsi="Times New Roman"/>
          <w:sz w:val="24"/>
          <w:szCs w:val="24"/>
        </w:rPr>
        <w:t>Sansure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Biotech, Changsha, China). Serum HBV RNA levels were measured using SLAN-96P Real-Time PCR Systems (Shanghai </w:t>
      </w:r>
      <w:proofErr w:type="spellStart"/>
      <w:r w:rsidR="00B20B55">
        <w:rPr>
          <w:rFonts w:ascii="Times New Roman" w:hAnsi="Times New Roman"/>
          <w:sz w:val="24"/>
          <w:szCs w:val="24"/>
        </w:rPr>
        <w:t>Hongshi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Medical Technology Co., Ltd, Shanghai, China), with the following amplification profile: an initial denaturation cycle of 1min at 95 °C, an reverse-transcription cycle of 30min at 60 °C, 95 °C for 1 min denaturation, followed by 45 cycles of denaturation for 30 s at 94 °C, annealing for 60 s at 62 °C (the fluorescence signal was collected). The amplification results were automatically analyzed. The </w:t>
      </w:r>
      <w:bookmarkStart w:id="1" w:name="OLE_LINK34"/>
      <w:bookmarkStart w:id="2" w:name="OLE_LINK35"/>
      <w:proofErr w:type="spellStart"/>
      <w:r w:rsidR="00B20B55">
        <w:rPr>
          <w:rFonts w:ascii="Times New Roman" w:hAnsi="Times New Roman"/>
          <w:sz w:val="24"/>
          <w:szCs w:val="24"/>
        </w:rPr>
        <w:t>LOD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</w:t>
      </w:r>
      <w:bookmarkEnd w:id="1"/>
      <w:bookmarkEnd w:id="2"/>
      <w:r w:rsidR="00B20B55">
        <w:rPr>
          <w:rFonts w:ascii="Times New Roman" w:hAnsi="Times New Roman"/>
          <w:sz w:val="24"/>
          <w:szCs w:val="24"/>
        </w:rPr>
        <w:t>of the assay was 200 copies/</w:t>
      </w:r>
      <w:proofErr w:type="spellStart"/>
      <w:r w:rsidR="00B20B55">
        <w:rPr>
          <w:rFonts w:ascii="Times New Roman" w:hAnsi="Times New Roman"/>
          <w:sz w:val="24"/>
          <w:szCs w:val="24"/>
        </w:rPr>
        <w:t>mL.</w:t>
      </w:r>
      <w:proofErr w:type="spellEnd"/>
    </w:p>
    <w:p w:rsidR="00C82356" w:rsidRPr="00B20B55" w:rsidRDefault="00B20B55" w:rsidP="00B20B55">
      <w:pPr>
        <w:pStyle w:val="2"/>
        <w:keepNext w:val="0"/>
        <w:keepLines w:val="0"/>
        <w:spacing w:before="0" w:after="0" w:line="415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Quantitation of intrahepatic HBV DNA and cccDNA</w:t>
      </w:r>
    </w:p>
    <w:p w:rsidR="00C82356" w:rsidRDefault="00267577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8B3315">
        <w:rPr>
          <w:rFonts w:ascii="Times New Roman" w:hAnsi="Times New Roman"/>
          <w:sz w:val="24"/>
          <w:szCs w:val="24"/>
        </w:rPr>
        <w:t xml:space="preserve">About 30 </w:t>
      </w:r>
      <w:proofErr w:type="spellStart"/>
      <w:r w:rsidRPr="008B3315">
        <w:rPr>
          <w:rFonts w:ascii="Times New Roman" w:hAnsi="Times New Roman"/>
          <w:sz w:val="24"/>
          <w:szCs w:val="24"/>
        </w:rPr>
        <w:t>μm</w:t>
      </w:r>
      <w:proofErr w:type="spellEnd"/>
      <w:r w:rsidRPr="008B331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3315">
        <w:rPr>
          <w:rFonts w:ascii="Times New Roman" w:hAnsi="Times New Roman"/>
          <w:sz w:val="24"/>
          <w:szCs w:val="24"/>
        </w:rPr>
        <w:t>FFPE</w:t>
      </w:r>
      <w:proofErr w:type="spellEnd"/>
      <w:r w:rsidRPr="008B3315">
        <w:rPr>
          <w:rFonts w:ascii="Times New Roman" w:hAnsi="Times New Roman"/>
          <w:sz w:val="24"/>
          <w:szCs w:val="24"/>
        </w:rPr>
        <w:t xml:space="preserve"> liver biopsy tissue in sections of 6 </w:t>
      </w:r>
      <w:proofErr w:type="spellStart"/>
      <w:r w:rsidRPr="008B3315">
        <w:rPr>
          <w:rFonts w:ascii="Times New Roman" w:hAnsi="Times New Roman"/>
          <w:sz w:val="24"/>
          <w:szCs w:val="24"/>
        </w:rPr>
        <w:t>μm</w:t>
      </w:r>
      <w:proofErr w:type="spellEnd"/>
      <w:r w:rsidRPr="008B3315">
        <w:rPr>
          <w:rFonts w:ascii="Times New Roman" w:hAnsi="Times New Roman"/>
          <w:sz w:val="24"/>
          <w:szCs w:val="24"/>
        </w:rPr>
        <w:t xml:space="preserve"> each was used for DNA extraction. To prevent contamination, disposable tweezers, brush and </w:t>
      </w:r>
      <w:proofErr w:type="spellStart"/>
      <w:r w:rsidRPr="008B3315">
        <w:rPr>
          <w:rFonts w:ascii="Times New Roman" w:hAnsi="Times New Roman"/>
          <w:sz w:val="24"/>
          <w:szCs w:val="24"/>
        </w:rPr>
        <w:t>interleaver</w:t>
      </w:r>
      <w:proofErr w:type="spellEnd"/>
      <w:r w:rsidRPr="008B3315">
        <w:rPr>
          <w:rFonts w:ascii="Times New Roman" w:hAnsi="Times New Roman"/>
          <w:sz w:val="24"/>
          <w:szCs w:val="24"/>
        </w:rPr>
        <w:t xml:space="preserve"> were used and sectioning blades were carefully cleaned with 70% ethanol after every sampling. The DNA was extracted using </w:t>
      </w:r>
      <w:proofErr w:type="spellStart"/>
      <w:r w:rsidRPr="008B3315">
        <w:rPr>
          <w:rFonts w:ascii="Times New Roman" w:hAnsi="Times New Roman"/>
          <w:sz w:val="24"/>
          <w:szCs w:val="24"/>
        </w:rPr>
        <w:t>QIAamp</w:t>
      </w:r>
      <w:proofErr w:type="spellEnd"/>
      <w:r w:rsidRPr="008B331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3315">
        <w:rPr>
          <w:rFonts w:ascii="Times New Roman" w:hAnsi="Times New Roman"/>
          <w:sz w:val="24"/>
          <w:szCs w:val="24"/>
        </w:rPr>
        <w:t>FFPE</w:t>
      </w:r>
      <w:proofErr w:type="spellEnd"/>
      <w:r w:rsidRPr="008B3315">
        <w:rPr>
          <w:rFonts w:ascii="Times New Roman" w:hAnsi="Times New Roman"/>
          <w:sz w:val="24"/>
          <w:szCs w:val="24"/>
        </w:rPr>
        <w:t xml:space="preserve"> DNA Mini Kit (</w:t>
      </w:r>
      <w:proofErr w:type="spellStart"/>
      <w:r w:rsidRPr="008B3315">
        <w:rPr>
          <w:rFonts w:ascii="Times New Roman" w:hAnsi="Times New Roman"/>
          <w:sz w:val="24"/>
          <w:szCs w:val="24"/>
        </w:rPr>
        <w:t>QIAGEN</w:t>
      </w:r>
      <w:proofErr w:type="spellEnd"/>
      <w:r w:rsidRPr="008B3315">
        <w:rPr>
          <w:rFonts w:ascii="Times New Roman" w:hAnsi="Times New Roman"/>
          <w:sz w:val="24"/>
          <w:szCs w:val="24"/>
        </w:rPr>
        <w:t xml:space="preserve">, GmbH, </w:t>
      </w:r>
      <w:proofErr w:type="gramStart"/>
      <w:r w:rsidRPr="008B3315">
        <w:rPr>
          <w:rFonts w:ascii="Times New Roman" w:hAnsi="Times New Roman"/>
          <w:sz w:val="24"/>
          <w:szCs w:val="24"/>
        </w:rPr>
        <w:t>Hilden</w:t>
      </w:r>
      <w:proofErr w:type="gramEnd"/>
      <w:r w:rsidRPr="008B3315">
        <w:rPr>
          <w:rFonts w:ascii="Times New Roman" w:hAnsi="Times New Roman"/>
          <w:sz w:val="24"/>
          <w:szCs w:val="24"/>
        </w:rPr>
        <w:t xml:space="preserve">, Germany) according to the instructions of the manufacturer. T5 Exonuclease (New England </w:t>
      </w:r>
      <w:proofErr w:type="spellStart"/>
      <w:r w:rsidRPr="008B3315">
        <w:rPr>
          <w:rFonts w:ascii="Times New Roman" w:hAnsi="Times New Roman"/>
          <w:sz w:val="24"/>
          <w:szCs w:val="24"/>
        </w:rPr>
        <w:t>Biolabs</w:t>
      </w:r>
      <w:proofErr w:type="spellEnd"/>
      <w:r w:rsidRPr="008B3315">
        <w:rPr>
          <w:rFonts w:ascii="Times New Roman" w:hAnsi="Times New Roman"/>
          <w:sz w:val="24"/>
          <w:szCs w:val="24"/>
        </w:rPr>
        <w:t xml:space="preserve">, USA) was used to digest HBV </w:t>
      </w:r>
      <w:proofErr w:type="spellStart"/>
      <w:r w:rsidRPr="008B3315">
        <w:rPr>
          <w:rFonts w:ascii="Times New Roman" w:hAnsi="Times New Roman"/>
          <w:sz w:val="24"/>
          <w:szCs w:val="24"/>
        </w:rPr>
        <w:t>rcDNA</w:t>
      </w:r>
      <w:proofErr w:type="spellEnd"/>
      <w:r w:rsidRPr="008B3315">
        <w:rPr>
          <w:rFonts w:ascii="Times New Roman" w:hAnsi="Times New Roman"/>
          <w:sz w:val="24"/>
          <w:szCs w:val="24"/>
        </w:rPr>
        <w:t xml:space="preserve">, replicative dsDNA and ssDNA. </w:t>
      </w:r>
      <w:r w:rsidR="00B20B55">
        <w:rPr>
          <w:rFonts w:ascii="Times New Roman" w:hAnsi="Times New Roman"/>
          <w:sz w:val="24"/>
          <w:szCs w:val="24"/>
        </w:rPr>
        <w:t xml:space="preserve">The reaction mixture contained 100 ng extracted DNA, 0.5 µL (10 units) T5 Exonuclease, 1 µL </w:t>
      </w:r>
      <w:proofErr w:type="spellStart"/>
      <w:r w:rsidR="00B20B55">
        <w:rPr>
          <w:rFonts w:ascii="Times New Roman" w:hAnsi="Times New Roman"/>
          <w:sz w:val="24"/>
          <w:szCs w:val="24"/>
        </w:rPr>
        <w:t>NEBuffer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4 (10×) with Nuclease-free H2O to a final volume of 10 </w:t>
      </w:r>
      <w:proofErr w:type="spellStart"/>
      <w:r w:rsidR="00B20B55">
        <w:rPr>
          <w:rFonts w:ascii="Times New Roman" w:hAnsi="Times New Roman"/>
          <w:sz w:val="24"/>
          <w:szCs w:val="24"/>
        </w:rPr>
        <w:t>μL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. The digestion was carried out at 37 °C for 1 h, and stop reaction with </w:t>
      </w:r>
      <w:proofErr w:type="spellStart"/>
      <w:r w:rsidR="00B20B55">
        <w:rPr>
          <w:rFonts w:ascii="Times New Roman" w:hAnsi="Times New Roman"/>
          <w:sz w:val="24"/>
          <w:szCs w:val="24"/>
        </w:rPr>
        <w:lastRenderedPageBreak/>
        <w:t>EDTA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to at least 11 </w:t>
      </w:r>
      <w:proofErr w:type="spellStart"/>
      <w:r w:rsidR="00B20B55">
        <w:rPr>
          <w:rFonts w:ascii="Times New Roman" w:hAnsi="Times New Roman"/>
          <w:sz w:val="24"/>
          <w:szCs w:val="24"/>
        </w:rPr>
        <w:t>mM.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We combined 6.42 </w:t>
      </w:r>
      <w:proofErr w:type="spellStart"/>
      <w:r w:rsidR="00B20B55">
        <w:rPr>
          <w:rFonts w:ascii="Times New Roman" w:hAnsi="Times New Roman"/>
          <w:sz w:val="24"/>
          <w:szCs w:val="24"/>
        </w:rPr>
        <w:t>μL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of digestion product, which was obtained in the previous step, with 7.50 </w:t>
      </w:r>
      <w:proofErr w:type="spellStart"/>
      <w:r w:rsidR="00B20B55">
        <w:rPr>
          <w:rFonts w:ascii="Times New Roman" w:hAnsi="Times New Roman"/>
          <w:sz w:val="24"/>
          <w:szCs w:val="24"/>
        </w:rPr>
        <w:t>μL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20B55">
        <w:rPr>
          <w:rFonts w:ascii="Times New Roman" w:hAnsi="Times New Roman"/>
          <w:sz w:val="24"/>
          <w:szCs w:val="24"/>
        </w:rPr>
        <w:t>QuantStudio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™ 3D Digital PCR Master Mix, 0.06 </w:t>
      </w:r>
      <w:proofErr w:type="spellStart"/>
      <w:r w:rsidR="00B20B55">
        <w:rPr>
          <w:rFonts w:ascii="Times New Roman" w:hAnsi="Times New Roman"/>
          <w:sz w:val="24"/>
          <w:szCs w:val="24"/>
        </w:rPr>
        <w:t>μL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="00B20B55">
        <w:rPr>
          <w:rFonts w:ascii="Times New Roman" w:hAnsi="Times New Roman"/>
          <w:sz w:val="24"/>
          <w:szCs w:val="24"/>
        </w:rPr>
        <w:t>TaqMan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Probe-RC-</w:t>
      </w:r>
      <w:proofErr w:type="spellStart"/>
      <w:r w:rsidR="00B20B55">
        <w:rPr>
          <w:rFonts w:ascii="Times New Roman" w:hAnsi="Times New Roman"/>
          <w:sz w:val="24"/>
          <w:szCs w:val="24"/>
        </w:rPr>
        <w:t>MGB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(50μM), 0.06 </w:t>
      </w:r>
      <w:proofErr w:type="spellStart"/>
      <w:r w:rsidR="00B20B55">
        <w:rPr>
          <w:rFonts w:ascii="Times New Roman" w:hAnsi="Times New Roman"/>
          <w:sz w:val="24"/>
          <w:szCs w:val="24"/>
        </w:rPr>
        <w:t>μL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20B55">
        <w:rPr>
          <w:rFonts w:ascii="Times New Roman" w:hAnsi="Times New Roman"/>
          <w:sz w:val="24"/>
          <w:szCs w:val="24"/>
        </w:rPr>
        <w:t>TaqMan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Probe-</w:t>
      </w:r>
      <w:proofErr w:type="spellStart"/>
      <w:r w:rsidR="00B20B55">
        <w:rPr>
          <w:rFonts w:ascii="Times New Roman" w:hAnsi="Times New Roman"/>
          <w:sz w:val="24"/>
          <w:szCs w:val="24"/>
        </w:rPr>
        <w:t>RNAseP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-VIC (50μM), 0.24μL primer of </w:t>
      </w:r>
      <w:proofErr w:type="spellStart"/>
      <w:r w:rsidR="00B20B55">
        <w:rPr>
          <w:rFonts w:ascii="Times New Roman" w:hAnsi="Times New Roman"/>
          <w:sz w:val="24"/>
          <w:szCs w:val="24"/>
        </w:rPr>
        <w:t>rc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-F, 0.24μL primer of </w:t>
      </w:r>
      <w:proofErr w:type="spellStart"/>
      <w:r w:rsidR="00B20B55">
        <w:rPr>
          <w:rFonts w:ascii="Times New Roman" w:hAnsi="Times New Roman"/>
          <w:sz w:val="24"/>
          <w:szCs w:val="24"/>
        </w:rPr>
        <w:t>rc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-R, 0.24μL primer of </w:t>
      </w:r>
      <w:proofErr w:type="spellStart"/>
      <w:r w:rsidR="00B20B55">
        <w:rPr>
          <w:rFonts w:ascii="Times New Roman" w:hAnsi="Times New Roman"/>
          <w:sz w:val="24"/>
          <w:szCs w:val="24"/>
        </w:rPr>
        <w:t>RNaseP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-F and 0.24μL primer of </w:t>
      </w:r>
      <w:proofErr w:type="spellStart"/>
      <w:r w:rsidR="00B20B55">
        <w:rPr>
          <w:rFonts w:ascii="Times New Roman" w:hAnsi="Times New Roman"/>
          <w:sz w:val="24"/>
          <w:szCs w:val="24"/>
        </w:rPr>
        <w:t>RNaseP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-R. This sample mix 15μL was added on each chip and loaded on </w:t>
      </w:r>
      <w:proofErr w:type="spellStart"/>
      <w:r w:rsidR="00B20B55">
        <w:rPr>
          <w:rFonts w:ascii="Times New Roman" w:hAnsi="Times New Roman"/>
          <w:sz w:val="24"/>
          <w:szCs w:val="24"/>
        </w:rPr>
        <w:t>ProFlex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™ 2x Flat PCR System with the following program: Absolute quantification was determined using </w:t>
      </w:r>
      <w:proofErr w:type="spellStart"/>
      <w:r w:rsidR="00B20B55">
        <w:rPr>
          <w:rFonts w:ascii="Times New Roman" w:hAnsi="Times New Roman"/>
          <w:sz w:val="24"/>
          <w:szCs w:val="24"/>
        </w:rPr>
        <w:t>QuantStudio</w:t>
      </w:r>
      <w:proofErr w:type="spellEnd"/>
      <w:r w:rsidR="00B20B55">
        <w:rPr>
          <w:rFonts w:ascii="Times New Roman" w:hAnsi="Times New Roman"/>
          <w:sz w:val="24"/>
          <w:szCs w:val="24"/>
        </w:rPr>
        <w:t>™ 3D Digital PCR System (</w:t>
      </w:r>
      <w:proofErr w:type="spellStart"/>
      <w:r w:rsidR="00B20B55">
        <w:rPr>
          <w:rFonts w:ascii="Times New Roman" w:hAnsi="Times New Roman"/>
          <w:sz w:val="24"/>
          <w:szCs w:val="24"/>
        </w:rPr>
        <w:t>Thermo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Fisher Scientific Inc., Waltham, Massachusetts, USA) and analyzed with </w:t>
      </w:r>
      <w:proofErr w:type="spellStart"/>
      <w:r w:rsidR="00B20B55">
        <w:rPr>
          <w:rFonts w:ascii="Times New Roman" w:hAnsi="Times New Roman"/>
          <w:sz w:val="24"/>
          <w:szCs w:val="24"/>
        </w:rPr>
        <w:t>QuantStudio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3D </w:t>
      </w:r>
      <w:proofErr w:type="spellStart"/>
      <w:r w:rsidR="00B20B55">
        <w:rPr>
          <w:rFonts w:ascii="Times New Roman" w:hAnsi="Times New Roman"/>
          <w:sz w:val="24"/>
          <w:szCs w:val="24"/>
        </w:rPr>
        <w:t>AnalysisSuite</w:t>
      </w:r>
      <w:proofErr w:type="spellEnd"/>
      <w:r w:rsidR="00B20B55">
        <w:rPr>
          <w:rFonts w:ascii="Times New Roman" w:hAnsi="Times New Roman"/>
          <w:sz w:val="24"/>
          <w:szCs w:val="24"/>
        </w:rPr>
        <w:t xml:space="preserve"> Cloud Software. (https://china.apps.thermofisher.com/quantstudio3d/). All intrahepatic HBV cccDNA values were normalized to cell number assessed by RNase P copy number assay.</w:t>
      </w:r>
    </w:p>
    <w:p w:rsidR="00C82356" w:rsidRDefault="00C82356">
      <w:pPr>
        <w:rPr>
          <w:rFonts w:ascii="Times New Roman" w:hAnsi="Times New Roman"/>
          <w:b/>
          <w:bCs/>
          <w:sz w:val="24"/>
          <w:szCs w:val="24"/>
        </w:rPr>
      </w:pPr>
    </w:p>
    <w:p w:rsidR="00C82356" w:rsidRPr="00B20B55" w:rsidRDefault="00B20B55" w:rsidP="00B20B55">
      <w:pPr>
        <w:pStyle w:val="1"/>
        <w:keepNext w:val="0"/>
        <w:keepLines w:val="0"/>
        <w:wordWrap w:val="0"/>
        <w:topLinePunct/>
        <w:spacing w:before="0" w:after="0"/>
        <w:rPr>
          <w:rFonts w:ascii="Times New Roman" w:hAnsi="Times New Roman"/>
          <w:sz w:val="24"/>
          <w:szCs w:val="24"/>
          <w:lang w:eastAsia="en-US"/>
        </w:rPr>
      </w:pPr>
      <w:r w:rsidRPr="00B20B55">
        <w:rPr>
          <w:rFonts w:ascii="Times New Roman" w:hAnsi="Times New Roman" w:hint="eastAsia"/>
          <w:sz w:val="24"/>
          <w:szCs w:val="24"/>
          <w:lang w:eastAsia="en-US"/>
        </w:rPr>
        <w:t>Results</w:t>
      </w:r>
    </w:p>
    <w:p w:rsidR="00EC59B1" w:rsidRPr="008B3315" w:rsidRDefault="00EC59B1" w:rsidP="00EC59B1">
      <w:pPr>
        <w:adjustRightInd w:val="0"/>
        <w:snapToGrid w:val="0"/>
        <w:spacing w:line="480" w:lineRule="auto"/>
        <w:outlineLvl w:val="1"/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</w:pPr>
      <w:r w:rsidRPr="00156955"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  <w:t>P</w:t>
      </w:r>
      <w:r w:rsidRPr="008B3315"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  <w:t>atients</w:t>
      </w:r>
    </w:p>
    <w:p w:rsidR="00EC59B1" w:rsidRPr="00EC59B1" w:rsidRDefault="00EC59B1" w:rsidP="00EC59B1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9B2BA6">
        <w:rPr>
          <w:rFonts w:ascii="Times New Roman" w:hAnsi="Times New Roman"/>
          <w:sz w:val="24"/>
          <w:szCs w:val="24"/>
        </w:rPr>
        <w:t>Percentages of patients followed-up at each time point for HBeAg clearance at month 12, 24, 36, 48, 60, 72, 84, 96, 108, 120, 132 and 138 were 15.66% (13</w:t>
      </w:r>
      <w:r w:rsidRPr="009B2BA6">
        <w:rPr>
          <w:rFonts w:ascii="Times New Roman" w:hAnsi="Times New Roman" w:hint="eastAsia"/>
          <w:sz w:val="24"/>
          <w:szCs w:val="24"/>
        </w:rPr>
        <w:t>/8</w:t>
      </w:r>
      <w:r w:rsidRPr="009B2BA6">
        <w:rPr>
          <w:rFonts w:ascii="Times New Roman" w:hAnsi="Times New Roman"/>
          <w:sz w:val="24"/>
          <w:szCs w:val="24"/>
        </w:rPr>
        <w:t>3), 30.49% (25</w:t>
      </w:r>
      <w:r w:rsidRPr="009B2BA6">
        <w:rPr>
          <w:rFonts w:ascii="Times New Roman" w:hAnsi="Times New Roman" w:hint="eastAsia"/>
          <w:sz w:val="24"/>
          <w:szCs w:val="24"/>
        </w:rPr>
        <w:t>/8</w:t>
      </w:r>
      <w:r w:rsidRPr="009B2BA6">
        <w:rPr>
          <w:rFonts w:ascii="Times New Roman" w:hAnsi="Times New Roman"/>
          <w:sz w:val="24"/>
          <w:szCs w:val="24"/>
        </w:rPr>
        <w:t>2)</w:t>
      </w:r>
      <w:r w:rsidRPr="009B2BA6">
        <w:rPr>
          <w:rFonts w:ascii="Times New Roman" w:hAnsi="Times New Roman" w:hint="eastAsia"/>
          <w:sz w:val="24"/>
          <w:szCs w:val="24"/>
        </w:rPr>
        <w:t xml:space="preserve">, </w:t>
      </w:r>
      <w:r w:rsidRPr="009B2BA6">
        <w:rPr>
          <w:rFonts w:ascii="Times New Roman" w:hAnsi="Times New Roman"/>
          <w:sz w:val="24"/>
          <w:szCs w:val="24"/>
        </w:rPr>
        <w:t>34.15% (28</w:t>
      </w:r>
      <w:r w:rsidRPr="009B2BA6">
        <w:rPr>
          <w:rFonts w:ascii="Times New Roman" w:hAnsi="Times New Roman" w:hint="eastAsia"/>
          <w:sz w:val="24"/>
          <w:szCs w:val="24"/>
        </w:rPr>
        <w:t>/8</w:t>
      </w:r>
      <w:r w:rsidRPr="009B2BA6">
        <w:rPr>
          <w:rFonts w:ascii="Times New Roman" w:hAnsi="Times New Roman"/>
          <w:sz w:val="24"/>
          <w:szCs w:val="24"/>
        </w:rPr>
        <w:t>2), 39.02% (32</w:t>
      </w:r>
      <w:r w:rsidRPr="009B2BA6">
        <w:rPr>
          <w:rFonts w:ascii="Times New Roman" w:hAnsi="Times New Roman" w:hint="eastAsia"/>
          <w:sz w:val="24"/>
          <w:szCs w:val="24"/>
        </w:rPr>
        <w:t>/8</w:t>
      </w:r>
      <w:r w:rsidRPr="009B2BA6">
        <w:rPr>
          <w:rFonts w:ascii="Times New Roman" w:hAnsi="Times New Roman"/>
          <w:sz w:val="24"/>
          <w:szCs w:val="24"/>
        </w:rPr>
        <w:t>2), 45.12% (37</w:t>
      </w:r>
      <w:r w:rsidRPr="009B2BA6">
        <w:rPr>
          <w:rFonts w:ascii="Times New Roman" w:hAnsi="Times New Roman" w:hint="eastAsia"/>
          <w:sz w:val="24"/>
          <w:szCs w:val="24"/>
        </w:rPr>
        <w:t>/8</w:t>
      </w:r>
      <w:r w:rsidRPr="009B2BA6">
        <w:rPr>
          <w:rFonts w:ascii="Times New Roman" w:hAnsi="Times New Roman"/>
          <w:sz w:val="24"/>
          <w:szCs w:val="24"/>
        </w:rPr>
        <w:t xml:space="preserve">2), 50.65% </w:t>
      </w:r>
      <w:r w:rsidRPr="009B2BA6">
        <w:rPr>
          <w:rFonts w:ascii="Times New Roman" w:hAnsi="Times New Roman" w:hint="eastAsia"/>
          <w:sz w:val="24"/>
          <w:szCs w:val="24"/>
        </w:rPr>
        <w:t>(</w:t>
      </w:r>
      <w:r w:rsidRPr="009B2BA6">
        <w:rPr>
          <w:rFonts w:ascii="Times New Roman" w:hAnsi="Times New Roman"/>
          <w:sz w:val="24"/>
          <w:szCs w:val="24"/>
        </w:rPr>
        <w:t>39/77</w:t>
      </w:r>
      <w:r w:rsidRPr="009B2BA6">
        <w:rPr>
          <w:rFonts w:ascii="Times New Roman" w:hAnsi="Times New Roman" w:hint="eastAsia"/>
          <w:sz w:val="24"/>
          <w:szCs w:val="24"/>
        </w:rPr>
        <w:t>)</w:t>
      </w:r>
      <w:r w:rsidRPr="009B2BA6">
        <w:rPr>
          <w:rFonts w:ascii="Times New Roman" w:hAnsi="Times New Roman"/>
          <w:sz w:val="24"/>
          <w:szCs w:val="24"/>
        </w:rPr>
        <w:t>, 64.86% (48/74), 61.11% (44</w:t>
      </w:r>
      <w:r w:rsidRPr="009B2BA6">
        <w:rPr>
          <w:rFonts w:ascii="Times New Roman" w:hAnsi="Times New Roman" w:hint="eastAsia"/>
          <w:sz w:val="24"/>
          <w:szCs w:val="24"/>
        </w:rPr>
        <w:t>/7</w:t>
      </w:r>
      <w:r w:rsidRPr="009B2BA6">
        <w:rPr>
          <w:rFonts w:ascii="Times New Roman" w:hAnsi="Times New Roman"/>
          <w:sz w:val="24"/>
          <w:szCs w:val="24"/>
        </w:rPr>
        <w:t>2), 63.27% (31</w:t>
      </w:r>
      <w:r w:rsidRPr="009B2BA6">
        <w:rPr>
          <w:rFonts w:ascii="Times New Roman" w:hAnsi="Times New Roman" w:hint="eastAsia"/>
          <w:sz w:val="24"/>
          <w:szCs w:val="24"/>
        </w:rPr>
        <w:t>/</w:t>
      </w:r>
      <w:r w:rsidRPr="009B2BA6">
        <w:rPr>
          <w:rFonts w:ascii="Times New Roman" w:hAnsi="Times New Roman"/>
          <w:sz w:val="24"/>
          <w:szCs w:val="24"/>
        </w:rPr>
        <w:t>49), 66.67% (16/24) 60% (6</w:t>
      </w:r>
      <w:r w:rsidRPr="009B2BA6">
        <w:rPr>
          <w:rFonts w:ascii="Times New Roman" w:hAnsi="Times New Roman" w:hint="eastAsia"/>
          <w:sz w:val="24"/>
          <w:szCs w:val="24"/>
        </w:rPr>
        <w:t>/10</w:t>
      </w:r>
      <w:r w:rsidRPr="009B2BA6">
        <w:rPr>
          <w:rFonts w:ascii="Times New Roman" w:hAnsi="Times New Roman"/>
          <w:sz w:val="24"/>
          <w:szCs w:val="24"/>
        </w:rPr>
        <w:t>), and 0% (0</w:t>
      </w:r>
      <w:r w:rsidRPr="009B2BA6">
        <w:rPr>
          <w:rFonts w:ascii="Times New Roman" w:hAnsi="Times New Roman" w:hint="eastAsia"/>
          <w:sz w:val="24"/>
          <w:szCs w:val="24"/>
        </w:rPr>
        <w:t>/1</w:t>
      </w:r>
      <w:r w:rsidRPr="009B2BA6">
        <w:rPr>
          <w:rFonts w:ascii="Times New Roman" w:hAnsi="Times New Roman"/>
          <w:sz w:val="24"/>
          <w:szCs w:val="24"/>
        </w:rPr>
        <w:t>), respectively. The respective HBeAg seroconversion rate were 14.63% (12</w:t>
      </w:r>
      <w:r w:rsidRPr="009B2BA6">
        <w:rPr>
          <w:rFonts w:ascii="Times New Roman" w:hAnsi="Times New Roman" w:hint="eastAsia"/>
          <w:sz w:val="24"/>
          <w:szCs w:val="24"/>
        </w:rPr>
        <w:t>/8</w:t>
      </w:r>
      <w:r w:rsidRPr="009B2BA6">
        <w:rPr>
          <w:rFonts w:ascii="Times New Roman" w:hAnsi="Times New Roman"/>
          <w:sz w:val="24"/>
          <w:szCs w:val="24"/>
        </w:rPr>
        <w:t>2), 21.95%(18/82), 23.17% (19</w:t>
      </w:r>
      <w:r w:rsidRPr="009B2BA6">
        <w:rPr>
          <w:rFonts w:ascii="Times New Roman" w:hAnsi="Times New Roman" w:hint="eastAsia"/>
          <w:sz w:val="24"/>
          <w:szCs w:val="24"/>
        </w:rPr>
        <w:t>/8</w:t>
      </w:r>
      <w:r w:rsidRPr="009B2BA6">
        <w:rPr>
          <w:rFonts w:ascii="Times New Roman" w:hAnsi="Times New Roman"/>
          <w:sz w:val="24"/>
          <w:szCs w:val="24"/>
        </w:rPr>
        <w:t>2), 28.05%(23/82), 25.97% (20</w:t>
      </w:r>
      <w:r w:rsidRPr="009B2BA6">
        <w:rPr>
          <w:rFonts w:ascii="Times New Roman" w:hAnsi="Times New Roman" w:hint="eastAsia"/>
          <w:sz w:val="24"/>
          <w:szCs w:val="24"/>
        </w:rPr>
        <w:t>/</w:t>
      </w:r>
      <w:r w:rsidRPr="009B2BA6">
        <w:rPr>
          <w:rFonts w:ascii="Times New Roman" w:hAnsi="Times New Roman"/>
          <w:sz w:val="24"/>
          <w:szCs w:val="24"/>
        </w:rPr>
        <w:t>77), 44.59% (33/74), 43.06% (31</w:t>
      </w:r>
      <w:r w:rsidRPr="009B2BA6">
        <w:rPr>
          <w:rFonts w:ascii="Times New Roman" w:hAnsi="Times New Roman" w:hint="eastAsia"/>
          <w:sz w:val="24"/>
          <w:szCs w:val="24"/>
        </w:rPr>
        <w:t>/7</w:t>
      </w:r>
      <w:r w:rsidRPr="009B2BA6">
        <w:rPr>
          <w:rFonts w:ascii="Times New Roman" w:hAnsi="Times New Roman"/>
          <w:sz w:val="24"/>
          <w:szCs w:val="24"/>
        </w:rPr>
        <w:t>2), 46.94% (23</w:t>
      </w:r>
      <w:r w:rsidRPr="009B2BA6">
        <w:rPr>
          <w:rFonts w:ascii="Times New Roman" w:hAnsi="Times New Roman" w:hint="eastAsia"/>
          <w:sz w:val="24"/>
          <w:szCs w:val="24"/>
        </w:rPr>
        <w:t>/</w:t>
      </w:r>
      <w:r w:rsidRPr="009B2BA6">
        <w:rPr>
          <w:rFonts w:ascii="Times New Roman" w:hAnsi="Times New Roman"/>
          <w:sz w:val="24"/>
          <w:szCs w:val="24"/>
        </w:rPr>
        <w:t>49), 54.17%(13/24), 50%(5/10) and 0% (0</w:t>
      </w:r>
      <w:r w:rsidRPr="009B2BA6">
        <w:rPr>
          <w:rFonts w:ascii="Times New Roman" w:hAnsi="Times New Roman" w:hint="eastAsia"/>
          <w:sz w:val="24"/>
          <w:szCs w:val="24"/>
        </w:rPr>
        <w:t>/1</w:t>
      </w:r>
      <w:r w:rsidRPr="009B2BA6">
        <w:rPr>
          <w:rFonts w:ascii="Times New Roman" w:hAnsi="Times New Roman"/>
          <w:sz w:val="24"/>
          <w:szCs w:val="24"/>
        </w:rPr>
        <w:t xml:space="preserve">) at month 12, 24, 36, 48, 60, 72, 84, 96, 108, 120, 132 and 138 </w:t>
      </w:r>
      <w:r>
        <w:rPr>
          <w:rFonts w:ascii="Times New Roman" w:hAnsi="Times New Roman"/>
          <w:color w:val="0000FF"/>
          <w:sz w:val="24"/>
          <w:szCs w:val="24"/>
        </w:rPr>
        <w:t>(</w:t>
      </w:r>
      <w:r>
        <w:rPr>
          <w:rFonts w:ascii="Times New Roman" w:hAnsi="Times New Roman" w:hint="eastAsia"/>
          <w:color w:val="0000FF"/>
          <w:sz w:val="24"/>
          <w:szCs w:val="24"/>
        </w:rPr>
        <w:t xml:space="preserve">Supplementary </w:t>
      </w:r>
      <w:r>
        <w:rPr>
          <w:rFonts w:ascii="Times New Roman" w:hAnsi="Times New Roman"/>
          <w:color w:val="0000FF"/>
          <w:sz w:val="24"/>
          <w:szCs w:val="24"/>
        </w:rPr>
        <w:t>Figure 1)</w:t>
      </w:r>
      <w:r>
        <w:rPr>
          <w:rFonts w:ascii="Times New Roman" w:hAnsi="Times New Roman"/>
          <w:sz w:val="24"/>
          <w:szCs w:val="24"/>
        </w:rPr>
        <w:t>.</w:t>
      </w:r>
    </w:p>
    <w:p w:rsidR="00EC59B1" w:rsidRPr="00B20B55" w:rsidRDefault="00EC59B1" w:rsidP="00EC59B1">
      <w:pPr>
        <w:pStyle w:val="2"/>
        <w:keepNext w:val="0"/>
        <w:keepLines w:val="0"/>
        <w:spacing w:before="0" w:after="0" w:line="415" w:lineRule="auto"/>
        <w:rPr>
          <w:rFonts w:ascii="Times New Roman" w:hAnsi="Times New Roman" w:cs="Times New Roman"/>
          <w:sz w:val="24"/>
          <w:szCs w:val="24"/>
        </w:rPr>
      </w:pPr>
      <w:r w:rsidRPr="00B20B55">
        <w:rPr>
          <w:rFonts w:ascii="Times New Roman" w:hAnsi="Times New Roman" w:cs="Times New Roman"/>
          <w:sz w:val="24"/>
          <w:szCs w:val="24"/>
        </w:rPr>
        <w:t>Survival analysis of Cumulative HBeAg clearance</w:t>
      </w:r>
    </w:p>
    <w:p w:rsidR="00C82356" w:rsidRDefault="00B20B55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Univariate analysis revealed that lower </w:t>
      </w:r>
      <w:proofErr w:type="spellStart"/>
      <w:r>
        <w:rPr>
          <w:rFonts w:ascii="Times New Roman" w:hAnsi="Times New Roman"/>
          <w:sz w:val="24"/>
          <w:szCs w:val="24"/>
        </w:rPr>
        <w:t>bseline</w:t>
      </w:r>
      <w:proofErr w:type="spellEnd"/>
      <w:r>
        <w:rPr>
          <w:rFonts w:ascii="Times New Roman" w:hAnsi="Times New Roman"/>
          <w:sz w:val="24"/>
          <w:szCs w:val="24"/>
        </w:rPr>
        <w:t xml:space="preserve"> levels of HBV RNA, HBV DNA, HBsAg and HBcrAg were related to HBeAg clearance (all P&lt;0.05). All these variables were included in multivariate Cox regression analysis, the result revealed that baseline HBV RNA was negatively associated with HBeAg clearance (HR=5.06, 95%CI 1.87-</w:t>
      </w:r>
      <w:r>
        <w:rPr>
          <w:rFonts w:ascii="Times New Roman" w:hAnsi="Times New Roman"/>
          <w:sz w:val="24"/>
          <w:szCs w:val="24"/>
        </w:rPr>
        <w:lastRenderedPageBreak/>
        <w:t>13.71, P=0.001). After 6 months of NAs treatment, higher HBV RNA reduction level patients have an increased odds of achieving HBeAg clearance (HR=2.19, 95%CI 1.181-4.064, P=0.013) Supplementary Table 1. If we use the decrease of this HBV RNA adjust the multivariate Cox regression result, baseline HBV RNA was still independently negative associated with HBeAg clearance (HR=6.46, 95%CI 2.083-20.028, P=0.001).</w:t>
      </w:r>
    </w:p>
    <w:p w:rsidR="00C82356" w:rsidRPr="00B20B55" w:rsidRDefault="00B20B55" w:rsidP="00B20B55">
      <w:pPr>
        <w:pStyle w:val="2"/>
        <w:keepNext w:val="0"/>
        <w:keepLines w:val="0"/>
        <w:spacing w:before="0" w:after="0" w:line="415" w:lineRule="auto"/>
        <w:rPr>
          <w:rFonts w:ascii="Times New Roman" w:hAnsi="Times New Roman" w:cs="Times New Roman"/>
          <w:sz w:val="24"/>
          <w:szCs w:val="24"/>
        </w:rPr>
      </w:pPr>
      <w:r w:rsidRPr="00B20B55">
        <w:rPr>
          <w:rFonts w:ascii="Times New Roman" w:hAnsi="Times New Roman" w:cs="Times New Roman"/>
          <w:sz w:val="24"/>
          <w:szCs w:val="24"/>
        </w:rPr>
        <w:t>Survival analysis of Cumulative HBeAg seroconversion</w:t>
      </w:r>
    </w:p>
    <w:p w:rsidR="00B20B55" w:rsidRDefault="00B20B55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Univariate analysis revealed that lower baseline levels of HBV RNA, HBV DNA and HBsAg were related to HBeAg clearance (all P&lt;0.05). All these variables were included in multivariate Cox regression analysis, the result revealed that baseline HBV RNA was negatively associated with HBeAg clearance (HR=3.376, 95%CI 1.279-8.908, P=0.014). After 6 or 12 months of NAs treatment, higher HBV RNA reduction level patients seems have an increased odds of achieving HBeAg seroconversion, but the difference were not significant. Supplementary Table 2.</w:t>
      </w:r>
    </w:p>
    <w:p w:rsidR="009B1638" w:rsidRPr="008B3315" w:rsidRDefault="009B1638" w:rsidP="009B1638">
      <w:pPr>
        <w:adjustRightInd w:val="0"/>
        <w:snapToGrid w:val="0"/>
        <w:spacing w:line="480" w:lineRule="auto"/>
        <w:outlineLvl w:val="1"/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  <w:t>R</w:t>
      </w:r>
      <w:r w:rsidRPr="0019427B"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  <w:t xml:space="preserve">elevance of viral markers </w:t>
      </w:r>
      <w:r w:rsidR="00D55093"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  <w:t>decrease</w:t>
      </w:r>
      <w:r w:rsidR="00D55093" w:rsidRPr="0019427B"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  <w:t xml:space="preserve"> </w:t>
      </w:r>
      <w:r w:rsidRPr="0019427B"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  <w:t xml:space="preserve">during </w:t>
      </w:r>
      <w:r w:rsidRPr="005B244E"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  <w:t xml:space="preserve">early on-treatment </w:t>
      </w:r>
      <w:r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  <w:t xml:space="preserve">for </w:t>
      </w:r>
      <w:r w:rsidRPr="008B3315"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  <w:t xml:space="preserve">HBeAg clearance </w:t>
      </w:r>
      <w:r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  <w:t xml:space="preserve">or </w:t>
      </w:r>
      <w:r w:rsidRPr="008B3315">
        <w:rPr>
          <w:rFonts w:ascii="Times New Roman" w:hAnsi="Times New Roman"/>
          <w:b/>
          <w:bCs/>
          <w:kern w:val="0"/>
          <w:sz w:val="24"/>
          <w:szCs w:val="24"/>
          <w:lang w:eastAsia="en-US"/>
        </w:rPr>
        <w:t>seroconversion</w:t>
      </w:r>
    </w:p>
    <w:p w:rsidR="009B1638" w:rsidRDefault="009B1638" w:rsidP="00D55093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7C26EA">
        <w:rPr>
          <w:rFonts w:ascii="Times New Roman" w:hAnsi="Times New Roman"/>
          <w:sz w:val="24"/>
          <w:szCs w:val="24"/>
        </w:rPr>
        <w:t>The decline of HBV RNA during the first 6 months of treatment was significantly higher in HBeAg clearance patients than that in non-clearance patients,</w:t>
      </w:r>
      <w:r w:rsidR="00D55093">
        <w:rPr>
          <w:rFonts w:ascii="Times New Roman" w:hAnsi="Times New Roman"/>
          <w:sz w:val="24"/>
          <w:szCs w:val="24"/>
        </w:rPr>
        <w:t xml:space="preserve"> </w:t>
      </w:r>
      <w:r w:rsidRPr="007C26EA">
        <w:rPr>
          <w:rFonts w:ascii="Times New Roman" w:hAnsi="Times New Roman"/>
          <w:sz w:val="24"/>
          <w:szCs w:val="24"/>
        </w:rPr>
        <w:t xml:space="preserve">while the decline of HBsAg after 6 months treatment was significantly lower in HBeAg clearance patients that that in non-clearance patients (both </w:t>
      </w:r>
      <w:r w:rsidRPr="007C26EA">
        <w:rPr>
          <w:rFonts w:ascii="Times New Roman" w:hAnsi="Times New Roman"/>
          <w:i/>
          <w:sz w:val="24"/>
          <w:szCs w:val="24"/>
        </w:rPr>
        <w:t xml:space="preserve">P </w:t>
      </w:r>
      <w:r w:rsidRPr="007C26EA">
        <w:rPr>
          <w:rFonts w:ascii="Times New Roman" w:hAnsi="Times New Roman"/>
          <w:sz w:val="24"/>
          <w:szCs w:val="24"/>
        </w:rPr>
        <w:t xml:space="preserve">&lt; 0.05). But the difference of </w:t>
      </w:r>
      <w:r w:rsidRPr="007C26EA">
        <w:rPr>
          <w:rFonts w:ascii="AdvP7DA6" w:eastAsia="Cambria" w:hAnsi="AdvP7DA6"/>
          <w:bCs/>
          <w:kern w:val="0"/>
          <w:sz w:val="24"/>
          <w:szCs w:val="24"/>
          <w:lang w:eastAsia="en-US"/>
        </w:rPr>
        <w:t>decreased value</w:t>
      </w:r>
      <w:r w:rsidRPr="007C26EA">
        <w:rPr>
          <w:rFonts w:ascii="Times New Roman" w:hAnsi="Times New Roman"/>
          <w:sz w:val="24"/>
          <w:szCs w:val="24"/>
        </w:rPr>
        <w:t xml:space="preserve"> of HBV DNA and HBcrAg after 6 months treatment were not significant between HBeAg clearance and non-clearance (both </w:t>
      </w:r>
      <w:r w:rsidRPr="007C26EA">
        <w:rPr>
          <w:rFonts w:ascii="Times New Roman" w:hAnsi="Times New Roman"/>
          <w:i/>
          <w:sz w:val="24"/>
          <w:szCs w:val="24"/>
        </w:rPr>
        <w:t xml:space="preserve">P </w:t>
      </w:r>
      <w:r w:rsidRPr="007C26EA">
        <w:rPr>
          <w:rFonts w:ascii="Times New Roman" w:hAnsi="Times New Roman"/>
          <w:sz w:val="24"/>
          <w:szCs w:val="24"/>
        </w:rPr>
        <w:t xml:space="preserve">&gt; 0.05). Different from the HBeAg clearance, the decline of HBsAg, HBV RNA, HBV RNA and HBcrAg during the first 6 months of treatment were comparable between HBeAg seroconversion and non-seroconversion (all </w:t>
      </w:r>
      <w:r w:rsidRPr="007C26EA">
        <w:rPr>
          <w:rFonts w:ascii="Times New Roman" w:hAnsi="Times New Roman"/>
          <w:i/>
          <w:sz w:val="24"/>
          <w:szCs w:val="24"/>
        </w:rPr>
        <w:t xml:space="preserve">P </w:t>
      </w:r>
      <w:r w:rsidRPr="007C26EA">
        <w:rPr>
          <w:rFonts w:ascii="Times New Roman" w:hAnsi="Times New Roman"/>
          <w:sz w:val="24"/>
          <w:szCs w:val="24"/>
        </w:rPr>
        <w:t xml:space="preserve">&gt; 0.05). The differences of decline of HBV DNA and HBV RNA after 12 months treatment were not significantly between HBeAg clearance/seroconversion and non-clearance/non-seroconversion (all </w:t>
      </w:r>
      <w:r w:rsidRPr="007C26EA">
        <w:rPr>
          <w:rFonts w:ascii="Times New Roman" w:hAnsi="Times New Roman"/>
          <w:i/>
          <w:sz w:val="24"/>
          <w:szCs w:val="24"/>
        </w:rPr>
        <w:t xml:space="preserve">P </w:t>
      </w:r>
      <w:r w:rsidRPr="007C26EA">
        <w:rPr>
          <w:rFonts w:ascii="Times New Roman" w:hAnsi="Times New Roman"/>
          <w:sz w:val="24"/>
          <w:szCs w:val="24"/>
        </w:rPr>
        <w:t xml:space="preserve">&gt; 0.05) </w:t>
      </w:r>
      <w:r w:rsidRPr="007C26EA">
        <w:rPr>
          <w:rFonts w:ascii="Times New Roman" w:hAnsi="Times New Roman"/>
          <w:color w:val="0000FF"/>
          <w:sz w:val="24"/>
          <w:szCs w:val="24"/>
        </w:rPr>
        <w:lastRenderedPageBreak/>
        <w:t>(</w:t>
      </w:r>
      <w:r w:rsidRPr="007C26EA">
        <w:rPr>
          <w:rFonts w:ascii="Times New Roman" w:hAnsi="Times New Roman" w:hint="eastAsia"/>
          <w:color w:val="0000FF"/>
          <w:sz w:val="24"/>
          <w:szCs w:val="24"/>
        </w:rPr>
        <w:t xml:space="preserve">Supplementary </w:t>
      </w:r>
      <w:r w:rsidRPr="007C26EA">
        <w:rPr>
          <w:rFonts w:ascii="Times New Roman" w:hAnsi="Times New Roman"/>
          <w:color w:val="0000FF"/>
          <w:sz w:val="24"/>
          <w:szCs w:val="24"/>
        </w:rPr>
        <w:t>Table 3)</w:t>
      </w:r>
      <w:r w:rsidRPr="007C26EA">
        <w:rPr>
          <w:rFonts w:ascii="Times New Roman" w:hAnsi="Times New Roman"/>
          <w:sz w:val="24"/>
          <w:szCs w:val="24"/>
        </w:rPr>
        <w:t>.</w:t>
      </w:r>
    </w:p>
    <w:p w:rsidR="00B20B55" w:rsidRPr="00B20B55" w:rsidRDefault="00B20B55" w:rsidP="00B20B55">
      <w:pPr>
        <w:pStyle w:val="2"/>
        <w:keepNext w:val="0"/>
        <w:keepLines w:val="0"/>
        <w:spacing w:before="0" w:after="0" w:line="415" w:lineRule="auto"/>
        <w:rPr>
          <w:rFonts w:ascii="Times New Roman" w:hAnsi="Times New Roman" w:cs="Times New Roman"/>
          <w:sz w:val="24"/>
          <w:szCs w:val="24"/>
        </w:rPr>
      </w:pPr>
      <w:r w:rsidRPr="00B20B55">
        <w:rPr>
          <w:rFonts w:ascii="Times New Roman" w:hAnsi="Times New Roman" w:cs="Times New Roman"/>
          <w:sz w:val="24"/>
          <w:szCs w:val="24"/>
        </w:rPr>
        <w:t xml:space="preserve">Predicting potentials of baseline and early on-treatment viral markers </w:t>
      </w:r>
      <w:r w:rsidRPr="00B20B55">
        <w:rPr>
          <w:rFonts w:ascii="Times New Roman" w:hAnsi="Times New Roman" w:cs="Times New Roman" w:hint="eastAsia"/>
          <w:sz w:val="24"/>
          <w:szCs w:val="24"/>
        </w:rPr>
        <w:t>quantification</w:t>
      </w:r>
      <w:r w:rsidRPr="00B20B55">
        <w:rPr>
          <w:rFonts w:ascii="Times New Roman" w:hAnsi="Times New Roman" w:cs="Times New Roman"/>
          <w:sz w:val="24"/>
          <w:szCs w:val="24"/>
        </w:rPr>
        <w:t xml:space="preserve"> for HBeAg clearance and seroconversion</w:t>
      </w:r>
    </w:p>
    <w:p w:rsidR="00B20B55" w:rsidRDefault="00B20B55" w:rsidP="00B20B55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We</w:t>
      </w:r>
      <w:r w:rsidRPr="008B3315">
        <w:rPr>
          <w:rFonts w:ascii="Times New Roman" w:hAnsi="Times New Roman"/>
          <w:sz w:val="24"/>
          <w:szCs w:val="24"/>
        </w:rPr>
        <w:t xml:space="preserve"> evaluate</w:t>
      </w:r>
      <w:r>
        <w:rPr>
          <w:rFonts w:ascii="Times New Roman" w:hAnsi="Times New Roman" w:hint="eastAsia"/>
          <w:sz w:val="24"/>
          <w:szCs w:val="24"/>
        </w:rPr>
        <w:t>d</w:t>
      </w:r>
      <w:r w:rsidRPr="008B3315">
        <w:rPr>
          <w:rFonts w:ascii="Times New Roman" w:hAnsi="Times New Roman"/>
          <w:sz w:val="24"/>
          <w:szCs w:val="24"/>
        </w:rPr>
        <w:t xml:space="preserve"> various combination of these baseline viral biomarker to predict the HBeAg clearance and seroconversion. Baseline HBV RNA and HBV DNA were the optimal combination</w:t>
      </w:r>
      <w:r>
        <w:rPr>
          <w:rFonts w:ascii="Times New Roman" w:hAnsi="Times New Roman"/>
          <w:sz w:val="24"/>
          <w:szCs w:val="24"/>
        </w:rPr>
        <w:t xml:space="preserve"> to predictive HBeAg clearance, with an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8B3315">
        <w:rPr>
          <w:rFonts w:ascii="Times New Roman" w:hAnsi="Times New Roman"/>
          <w:sz w:val="24"/>
          <w:szCs w:val="24"/>
        </w:rPr>
        <w:t>AUC</w:t>
      </w:r>
      <w:r>
        <w:rPr>
          <w:rFonts w:ascii="Times New Roman" w:hAnsi="Times New Roman"/>
          <w:sz w:val="24"/>
          <w:szCs w:val="24"/>
        </w:rPr>
        <w:t xml:space="preserve"> of </w:t>
      </w:r>
      <w:r w:rsidRPr="008B3315">
        <w:rPr>
          <w:rFonts w:ascii="Times New Roman" w:hAnsi="Times New Roman"/>
          <w:sz w:val="24"/>
          <w:szCs w:val="24"/>
        </w:rPr>
        <w:t>0.82 (95%CI: 0.71-0.90),</w:t>
      </w:r>
      <w:r>
        <w:rPr>
          <w:rFonts w:ascii="Times New Roman" w:hAnsi="Times New Roman"/>
          <w:sz w:val="24"/>
          <w:szCs w:val="24"/>
        </w:rPr>
        <w:t xml:space="preserve"> and sensitivity and specificity</w:t>
      </w:r>
      <w:r w:rsidRPr="008B331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of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3315">
        <w:rPr>
          <w:rFonts w:ascii="Times New Roman" w:hAnsi="Times New Roman"/>
          <w:sz w:val="24"/>
          <w:szCs w:val="24"/>
        </w:rPr>
        <w:t>81% (95% CI: 0.67-0.91)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8B3315">
        <w:rPr>
          <w:rFonts w:ascii="Times New Roman" w:hAnsi="Times New Roman"/>
          <w:sz w:val="24"/>
          <w:szCs w:val="24"/>
        </w:rPr>
        <w:t xml:space="preserve">and 67% (95% CI: 0.46-0.84), respectively. </w:t>
      </w:r>
      <w:r>
        <w:rPr>
          <w:rFonts w:ascii="Times New Roman" w:hAnsi="Times New Roman"/>
          <w:sz w:val="24"/>
          <w:szCs w:val="24"/>
        </w:rPr>
        <w:t>T</w:t>
      </w:r>
      <w:r w:rsidRPr="008B3315">
        <w:rPr>
          <w:rFonts w:ascii="Times New Roman" w:hAnsi="Times New Roman"/>
          <w:sz w:val="24"/>
          <w:szCs w:val="24"/>
        </w:rPr>
        <w:t xml:space="preserve">he </w:t>
      </w:r>
      <w:r>
        <w:rPr>
          <w:rFonts w:ascii="Times New Roman" w:hAnsi="Times New Roman" w:hint="eastAsia"/>
          <w:sz w:val="24"/>
          <w:szCs w:val="24"/>
        </w:rPr>
        <w:t xml:space="preserve">combination model based on </w:t>
      </w:r>
      <w:r w:rsidRPr="008B3315">
        <w:rPr>
          <w:rFonts w:ascii="Times New Roman" w:hAnsi="Times New Roman"/>
          <w:sz w:val="24"/>
          <w:szCs w:val="24"/>
        </w:rPr>
        <w:t xml:space="preserve">baseline HBV RNA, HBV DNA, HBcrAg and HBsAg showed the highest AUC </w:t>
      </w:r>
      <w:r>
        <w:rPr>
          <w:rFonts w:ascii="Times New Roman" w:hAnsi="Times New Roman" w:hint="eastAsia"/>
          <w:sz w:val="24"/>
          <w:szCs w:val="24"/>
        </w:rPr>
        <w:t>(</w:t>
      </w:r>
      <w:r w:rsidRPr="008B3315">
        <w:rPr>
          <w:rFonts w:ascii="Times New Roman" w:hAnsi="Times New Roman"/>
          <w:sz w:val="24"/>
          <w:szCs w:val="24"/>
        </w:rPr>
        <w:t>0.77</w:t>
      </w:r>
      <w:r>
        <w:rPr>
          <w:rFonts w:ascii="Times New Roman" w:hAnsi="Times New Roman"/>
          <w:sz w:val="24"/>
          <w:szCs w:val="24"/>
        </w:rPr>
        <w:t>,</w:t>
      </w:r>
      <w:r w:rsidRPr="008B331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95%CI: 0.62-0.89</w:t>
      </w:r>
      <w:r w:rsidRPr="008B3315">
        <w:rPr>
          <w:rFonts w:ascii="Times New Roman" w:hAnsi="Times New Roman"/>
          <w:sz w:val="24"/>
          <w:szCs w:val="24"/>
        </w:rPr>
        <w:t xml:space="preserve">) to predict HBeAg seroconversion, </w:t>
      </w:r>
      <w:r>
        <w:rPr>
          <w:rFonts w:ascii="Times New Roman" w:hAnsi="Times New Roman" w:hint="eastAsia"/>
          <w:sz w:val="24"/>
          <w:szCs w:val="24"/>
        </w:rPr>
        <w:t xml:space="preserve">with </w:t>
      </w:r>
      <w:r w:rsidRPr="008B3315">
        <w:rPr>
          <w:rFonts w:ascii="Times New Roman" w:hAnsi="Times New Roman"/>
          <w:sz w:val="24"/>
          <w:szCs w:val="24"/>
        </w:rPr>
        <w:t xml:space="preserve">the sensitivity </w:t>
      </w:r>
      <w:r w:rsidRPr="009B2BA6">
        <w:rPr>
          <w:rFonts w:ascii="Times New Roman" w:hAnsi="Times New Roman"/>
          <w:sz w:val="24"/>
          <w:szCs w:val="24"/>
        </w:rPr>
        <w:t xml:space="preserve">and specificity </w:t>
      </w:r>
      <w:r w:rsidRPr="009B2BA6">
        <w:rPr>
          <w:rFonts w:ascii="Times New Roman" w:hAnsi="Times New Roman" w:hint="eastAsia"/>
          <w:sz w:val="24"/>
          <w:szCs w:val="24"/>
        </w:rPr>
        <w:t>of</w:t>
      </w:r>
      <w:r w:rsidRPr="009B2BA6">
        <w:rPr>
          <w:rFonts w:ascii="Times New Roman" w:hAnsi="Times New Roman"/>
          <w:sz w:val="24"/>
          <w:szCs w:val="24"/>
        </w:rPr>
        <w:t xml:space="preserve"> 83% (95% CI: 0.59-0.96) and 61% (95% CI: 0.39-0.80)</w:t>
      </w:r>
      <w:r w:rsidRPr="009B2BA6">
        <w:rPr>
          <w:rFonts w:ascii="Times New Roman" w:hAnsi="Times New Roman" w:hint="eastAsia"/>
          <w:sz w:val="24"/>
          <w:szCs w:val="24"/>
        </w:rPr>
        <w:t>, re</w:t>
      </w:r>
      <w:r w:rsidRPr="009B2BA6">
        <w:rPr>
          <w:rFonts w:ascii="Times New Roman" w:hAnsi="Times New Roman"/>
          <w:sz w:val="24"/>
          <w:szCs w:val="24"/>
        </w:rPr>
        <w:t>s</w:t>
      </w:r>
      <w:r w:rsidRPr="009B2BA6">
        <w:rPr>
          <w:rFonts w:ascii="Times New Roman" w:hAnsi="Times New Roman" w:hint="eastAsia"/>
          <w:sz w:val="24"/>
          <w:szCs w:val="24"/>
        </w:rPr>
        <w:t>pectively</w:t>
      </w:r>
      <w:r w:rsidRPr="009B2BA6">
        <w:rPr>
          <w:rFonts w:ascii="Times New Roman" w:hAnsi="Times New Roman"/>
          <w:sz w:val="24"/>
          <w:szCs w:val="24"/>
        </w:rPr>
        <w:t xml:space="preserve"> </w:t>
      </w:r>
      <w:r w:rsidRPr="00B20B55">
        <w:rPr>
          <w:rFonts w:ascii="Times New Roman" w:hAnsi="Times New Roman"/>
          <w:color w:val="000000" w:themeColor="text1"/>
          <w:sz w:val="24"/>
          <w:szCs w:val="24"/>
        </w:rPr>
        <w:t>(</w:t>
      </w:r>
      <w:r w:rsidRPr="00B20B55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B20B55">
        <w:rPr>
          <w:rFonts w:ascii="Times New Roman" w:hAnsi="Times New Roman"/>
          <w:color w:val="000000" w:themeColor="text1"/>
          <w:sz w:val="24"/>
          <w:szCs w:val="24"/>
        </w:rPr>
        <w:t>upplementary</w:t>
      </w:r>
      <w:r w:rsidRPr="00B20B5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B20B55">
        <w:rPr>
          <w:rFonts w:ascii="Times New Roman" w:hAnsi="Times New Roman"/>
          <w:color w:val="000000" w:themeColor="text1"/>
          <w:sz w:val="24"/>
          <w:szCs w:val="24"/>
        </w:rPr>
        <w:t xml:space="preserve">Table 4, and </w:t>
      </w:r>
      <w:r w:rsidRPr="00B20B55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B20B55">
        <w:rPr>
          <w:rFonts w:ascii="Times New Roman" w:hAnsi="Times New Roman"/>
          <w:color w:val="000000" w:themeColor="text1"/>
          <w:sz w:val="24"/>
          <w:szCs w:val="24"/>
        </w:rPr>
        <w:t xml:space="preserve">upplementary Table </w:t>
      </w:r>
      <w:r w:rsidRPr="00B20B55">
        <w:rPr>
          <w:rFonts w:ascii="Times New Roman" w:hAnsi="Times New Roman" w:hint="eastAsia"/>
          <w:color w:val="000000" w:themeColor="text1"/>
          <w:sz w:val="24"/>
          <w:szCs w:val="24"/>
        </w:rPr>
        <w:t>5</w:t>
      </w:r>
      <w:r w:rsidRPr="00B20B55">
        <w:rPr>
          <w:rFonts w:ascii="Times New Roman" w:hAnsi="Times New Roman"/>
          <w:color w:val="000000" w:themeColor="text1"/>
          <w:sz w:val="24"/>
          <w:szCs w:val="24"/>
        </w:rPr>
        <w:t>).</w:t>
      </w:r>
    </w:p>
    <w:p w:rsidR="0023438E" w:rsidRPr="0071571A" w:rsidRDefault="0023438E" w:rsidP="0023438E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/>
          <w:color w:val="000000" w:themeColor="text1"/>
          <w:sz w:val="24"/>
          <w:szCs w:val="24"/>
        </w:rPr>
      </w:pPr>
      <w:r w:rsidRPr="007C26EA">
        <w:rPr>
          <w:rFonts w:ascii="Times New Roman" w:hAnsi="Times New Roman"/>
          <w:sz w:val="24"/>
          <w:szCs w:val="24"/>
        </w:rPr>
        <w:t xml:space="preserve">The </w:t>
      </w:r>
      <w:r w:rsidRPr="007C26EA">
        <w:rPr>
          <w:rFonts w:ascii="Times New Roman" w:hAnsi="Times New Roman"/>
          <w:color w:val="000000"/>
          <w:sz w:val="24"/>
          <w:szCs w:val="24"/>
        </w:rPr>
        <w:t xml:space="preserve">AUC </w:t>
      </w:r>
      <w:r w:rsidRPr="007C26EA">
        <w:rPr>
          <w:rFonts w:ascii="Times New Roman" w:hAnsi="Times New Roman" w:hint="eastAsia"/>
          <w:color w:val="000000"/>
          <w:sz w:val="24"/>
          <w:szCs w:val="24"/>
        </w:rPr>
        <w:t>of HBV RNA levels</w:t>
      </w:r>
      <w:r w:rsidRPr="007C26EA">
        <w:rPr>
          <w:rFonts w:ascii="Times New Roman" w:hAnsi="Times New Roman"/>
          <w:color w:val="000000"/>
          <w:sz w:val="24"/>
          <w:szCs w:val="24"/>
        </w:rPr>
        <w:t xml:space="preserve"> at </w:t>
      </w:r>
      <w:r w:rsidRPr="007C26EA">
        <w:rPr>
          <w:rFonts w:ascii="Times New Roman" w:hAnsi="Times New Roman" w:hint="eastAsia"/>
          <w:color w:val="000000"/>
          <w:sz w:val="24"/>
          <w:szCs w:val="24"/>
        </w:rPr>
        <w:t>month</w:t>
      </w:r>
      <w:r w:rsidRPr="007C26E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C26EA">
        <w:rPr>
          <w:rFonts w:ascii="Times New Roman" w:hAnsi="Times New Roman" w:hint="eastAsia"/>
          <w:color w:val="000000"/>
          <w:sz w:val="24"/>
          <w:szCs w:val="24"/>
        </w:rPr>
        <w:t xml:space="preserve">6 for predicting </w:t>
      </w:r>
      <w:r w:rsidRPr="007C26EA">
        <w:rPr>
          <w:rFonts w:ascii="Times New Roman" w:hAnsi="Times New Roman"/>
          <w:sz w:val="24"/>
          <w:szCs w:val="24"/>
        </w:rPr>
        <w:t>HBeAg clearance</w:t>
      </w:r>
      <w:r w:rsidRPr="007C26EA">
        <w:rPr>
          <w:rFonts w:ascii="Times New Roman" w:hAnsi="Times New Roman" w:hint="eastAsia"/>
          <w:sz w:val="24"/>
          <w:szCs w:val="24"/>
        </w:rPr>
        <w:t xml:space="preserve"> </w:t>
      </w:r>
      <w:r w:rsidRPr="007C26EA">
        <w:rPr>
          <w:rFonts w:ascii="Times New Roman" w:hAnsi="Times New Roman"/>
          <w:color w:val="000000"/>
          <w:sz w:val="24"/>
          <w:szCs w:val="24"/>
        </w:rPr>
        <w:t>was 0.86</w:t>
      </w:r>
      <w:r w:rsidRPr="007C26EA">
        <w:rPr>
          <w:rFonts w:ascii="Times New Roman" w:hAnsi="Times New Roman"/>
          <w:sz w:val="24"/>
          <w:szCs w:val="24"/>
        </w:rPr>
        <w:t xml:space="preserve"> (95%CI: 0.763-0.932), significantly higher than that of HBsAg (0.65, 95%CI: 0.50-0.79) (</w:t>
      </w:r>
      <w:r w:rsidRPr="007C26EA">
        <w:rPr>
          <w:rFonts w:ascii="Times New Roman" w:hAnsi="Times New Roman"/>
          <w:i/>
          <w:sz w:val="24"/>
          <w:szCs w:val="24"/>
        </w:rPr>
        <w:t>P</w:t>
      </w:r>
      <w:r w:rsidRPr="007C26EA">
        <w:rPr>
          <w:rFonts w:ascii="Times New Roman" w:hAnsi="Times New Roman"/>
          <w:sz w:val="24"/>
          <w:szCs w:val="24"/>
        </w:rPr>
        <w:t xml:space="preserve">&lt;0.05), but </w:t>
      </w:r>
      <w:r w:rsidRPr="007C26EA">
        <w:rPr>
          <w:rFonts w:ascii="Times New Roman" w:hAnsi="Times New Roman" w:hint="eastAsia"/>
          <w:sz w:val="24"/>
          <w:szCs w:val="24"/>
        </w:rPr>
        <w:t xml:space="preserve">showed no </w:t>
      </w:r>
      <w:r w:rsidRPr="007C26EA">
        <w:rPr>
          <w:rFonts w:ascii="Times New Roman" w:hAnsi="Times New Roman"/>
          <w:sz w:val="24"/>
          <w:szCs w:val="24"/>
        </w:rPr>
        <w:t>superior</w:t>
      </w:r>
      <w:r w:rsidRPr="007C26EA">
        <w:rPr>
          <w:rFonts w:ascii="Times New Roman" w:hAnsi="Times New Roman" w:hint="eastAsia"/>
          <w:sz w:val="24"/>
          <w:szCs w:val="24"/>
        </w:rPr>
        <w:t xml:space="preserve"> to that of </w:t>
      </w:r>
      <w:r w:rsidRPr="007C26EA">
        <w:rPr>
          <w:rFonts w:ascii="Times New Roman" w:hAnsi="Times New Roman"/>
          <w:sz w:val="24"/>
          <w:szCs w:val="24"/>
        </w:rPr>
        <w:t>HBV DNA (0.74, 95%CI: 0.63-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0.83) and 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HBcr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Ag (0.85, 95%CI: 0.71-0.94), 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respectively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 (both </w:t>
      </w:r>
      <w:r w:rsidRPr="0071571A">
        <w:rPr>
          <w:rFonts w:ascii="Times New Roman" w:hAnsi="Times New Roman"/>
          <w:i/>
          <w:color w:val="000000" w:themeColor="text1"/>
          <w:sz w:val="24"/>
          <w:szCs w:val="24"/>
        </w:rPr>
        <w:t>P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&gt;0.05) (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upplementary Table 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6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). The AUC 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of HBV RNA levels 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at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month 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12 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for predicting 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HBeAg clearance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was 0.86 (95%CI: 0.758-0.929), significantly higher than that of HBV DNA (0.71, 95%CI: 0.60-0.80) (</w:t>
      </w:r>
      <w:r w:rsidRPr="0071571A">
        <w:rPr>
          <w:rFonts w:ascii="Times New Roman" w:hAnsi="Times New Roman"/>
          <w:i/>
          <w:color w:val="000000" w:themeColor="text1"/>
          <w:sz w:val="24"/>
          <w:szCs w:val="24"/>
        </w:rPr>
        <w:t>P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&lt;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0.05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) (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upplementary Table 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7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).</w:t>
      </w:r>
    </w:p>
    <w:p w:rsidR="0023438E" w:rsidRPr="0023438E" w:rsidRDefault="0023438E" w:rsidP="00B20B55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M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eanwhile, the AUC of </w:t>
      </w:r>
      <w:r w:rsidRPr="0071571A">
        <w:rPr>
          <w:rFonts w:ascii="Times New Roman" w:hAnsi="Times New Roman"/>
          <w:bCs/>
          <w:color w:val="000000" w:themeColor="text1"/>
          <w:kern w:val="0"/>
          <w:sz w:val="24"/>
          <w:szCs w:val="24"/>
          <w:lang w:eastAsia="en-US"/>
        </w:rPr>
        <w:t>HBV RNA level</w:t>
      </w:r>
      <w:r w:rsidRPr="0071571A">
        <w:rPr>
          <w:rFonts w:ascii="Times New Roman" w:hAnsi="Times New Roman" w:hint="eastAsia"/>
          <w:bCs/>
          <w:color w:val="000000" w:themeColor="text1"/>
          <w:kern w:val="0"/>
          <w:sz w:val="24"/>
          <w:szCs w:val="24"/>
        </w:rPr>
        <w:t>s at</w:t>
      </w:r>
      <w:r w:rsidRPr="0071571A">
        <w:rPr>
          <w:rFonts w:ascii="Times New Roman" w:hAnsi="Times New Roman"/>
          <w:bCs/>
          <w:color w:val="000000" w:themeColor="text1"/>
          <w:kern w:val="0"/>
          <w:sz w:val="24"/>
          <w:szCs w:val="24"/>
          <w:lang w:eastAsia="en-US"/>
        </w:rPr>
        <w:t xml:space="preserve"> month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71571A">
        <w:rPr>
          <w:rFonts w:ascii="Times New Roman" w:hAnsi="Times New Roman"/>
          <w:bCs/>
          <w:color w:val="000000" w:themeColor="text1"/>
          <w:kern w:val="0"/>
          <w:sz w:val="24"/>
          <w:szCs w:val="24"/>
          <w:lang w:eastAsia="en-US"/>
        </w:rPr>
        <w:t xml:space="preserve">6 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for predicting 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HBeAg seroconversion was 0.75 (95%CI: 0.631-0.841) (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upplementary Table 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6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), significantly higher than that of HBsAg (0.55, 95%CI: 0.40-0.69) (</w:t>
      </w:r>
      <w:r w:rsidRPr="0071571A">
        <w:rPr>
          <w:rFonts w:ascii="Times New Roman" w:hAnsi="Times New Roman"/>
          <w:i/>
          <w:color w:val="000000" w:themeColor="text1"/>
          <w:sz w:val="24"/>
          <w:szCs w:val="24"/>
        </w:rPr>
        <w:t>P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&lt;0.05), but showed no superiors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compared to that of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 HBV DNA (0.64, 95%CI: 0.52-0.74) and HBcrAg (0.76, 95%CI: 0.61-0.88) (both </w:t>
      </w:r>
      <w:r w:rsidRPr="0071571A">
        <w:rPr>
          <w:rFonts w:ascii="Times New Roman" w:hAnsi="Times New Roman"/>
          <w:i/>
          <w:color w:val="000000" w:themeColor="text1"/>
          <w:sz w:val="24"/>
          <w:szCs w:val="24"/>
        </w:rPr>
        <w:t>P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&gt;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0.05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). The AUC of </w:t>
      </w:r>
      <w:r w:rsidRPr="0071571A">
        <w:rPr>
          <w:rFonts w:ascii="Times New Roman" w:hAnsi="Times New Roman"/>
          <w:bCs/>
          <w:color w:val="000000" w:themeColor="text1"/>
          <w:kern w:val="0"/>
          <w:sz w:val="24"/>
          <w:szCs w:val="24"/>
          <w:lang w:eastAsia="en-US"/>
        </w:rPr>
        <w:t xml:space="preserve">HBV RNA level at month 12 for 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predicting 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HBeAg</w:t>
      </w:r>
      <w:r w:rsidRPr="0071571A">
        <w:rPr>
          <w:rFonts w:ascii="Times New Roman" w:hAnsi="Times New Roman"/>
          <w:bCs/>
          <w:color w:val="000000" w:themeColor="text1"/>
          <w:kern w:val="0"/>
          <w:sz w:val="24"/>
          <w:szCs w:val="24"/>
          <w:lang w:eastAsia="en-US"/>
        </w:rPr>
        <w:t xml:space="preserve"> 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seroconversion</w:t>
      </w:r>
      <w:r w:rsidRPr="0071571A">
        <w:rPr>
          <w:rFonts w:ascii="Times New Roman" w:hAnsi="Times New Roman"/>
          <w:bCs/>
          <w:color w:val="000000" w:themeColor="text1"/>
          <w:kern w:val="0"/>
          <w:sz w:val="24"/>
          <w:szCs w:val="24"/>
          <w:lang w:eastAsia="en-US"/>
        </w:rPr>
        <w:t xml:space="preserve"> 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>was 0.74 (95%CI: 0.629-0.839) (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upplementary Table </w:t>
      </w:r>
      <w:r w:rsidRPr="0071571A">
        <w:rPr>
          <w:rFonts w:ascii="Times New Roman" w:hAnsi="Times New Roman" w:hint="eastAsia"/>
          <w:color w:val="000000" w:themeColor="text1"/>
          <w:sz w:val="24"/>
          <w:szCs w:val="24"/>
        </w:rPr>
        <w:t>7</w:t>
      </w:r>
      <w:r w:rsidRPr="0071571A">
        <w:rPr>
          <w:rFonts w:ascii="Times New Roman" w:hAnsi="Times New Roman"/>
          <w:color w:val="000000" w:themeColor="text1"/>
          <w:sz w:val="24"/>
          <w:szCs w:val="24"/>
        </w:rPr>
        <w:t xml:space="preserve">), but </w:t>
      </w:r>
      <w:r w:rsidRPr="007C26EA">
        <w:rPr>
          <w:rFonts w:ascii="Times New Roman" w:hAnsi="Times New Roman"/>
          <w:sz w:val="24"/>
          <w:szCs w:val="24"/>
        </w:rPr>
        <w:lastRenderedPageBreak/>
        <w:t>showed no superior</w:t>
      </w:r>
      <w:r w:rsidRPr="007C26EA">
        <w:rPr>
          <w:rFonts w:ascii="Times New Roman" w:hAnsi="Times New Roman" w:hint="eastAsia"/>
          <w:sz w:val="24"/>
          <w:szCs w:val="24"/>
        </w:rPr>
        <w:t xml:space="preserve"> to that of</w:t>
      </w:r>
      <w:r w:rsidRPr="007C26EA">
        <w:rPr>
          <w:rFonts w:ascii="Times New Roman" w:hAnsi="Times New Roman"/>
          <w:sz w:val="24"/>
          <w:szCs w:val="24"/>
        </w:rPr>
        <w:t xml:space="preserve"> HBV DNA (0.65, 95%CI: 0.54-0.76) (</w:t>
      </w:r>
      <w:r w:rsidRPr="007C26EA">
        <w:rPr>
          <w:rFonts w:ascii="Times New Roman" w:hAnsi="Times New Roman"/>
          <w:i/>
          <w:sz w:val="24"/>
          <w:szCs w:val="24"/>
        </w:rPr>
        <w:t>P</w:t>
      </w:r>
      <w:r w:rsidRPr="007C26EA">
        <w:rPr>
          <w:rFonts w:ascii="Times New Roman" w:hAnsi="Times New Roman"/>
          <w:sz w:val="24"/>
          <w:szCs w:val="24"/>
        </w:rPr>
        <w:t>&gt;</w:t>
      </w:r>
      <w:r w:rsidRPr="007C26EA">
        <w:rPr>
          <w:rFonts w:ascii="Times New Roman" w:hAnsi="Times New Roman" w:hint="eastAsia"/>
          <w:sz w:val="24"/>
          <w:szCs w:val="24"/>
        </w:rPr>
        <w:t>0.05</w:t>
      </w:r>
      <w:r w:rsidRPr="007C26EA">
        <w:rPr>
          <w:rFonts w:ascii="Times New Roman" w:hAnsi="Times New Roman"/>
          <w:sz w:val="24"/>
          <w:szCs w:val="24"/>
        </w:rPr>
        <w:t>). The AUC</w:t>
      </w:r>
      <w:r w:rsidRPr="007C26EA">
        <w:rPr>
          <w:rFonts w:ascii="Times New Roman" w:hAnsi="Times New Roman" w:hint="eastAsia"/>
          <w:sz w:val="24"/>
          <w:szCs w:val="24"/>
        </w:rPr>
        <w:t>s</w:t>
      </w:r>
      <w:r w:rsidRPr="007C26EA">
        <w:rPr>
          <w:rFonts w:ascii="Times New Roman" w:hAnsi="Times New Roman"/>
          <w:sz w:val="24"/>
          <w:szCs w:val="24"/>
        </w:rPr>
        <w:t xml:space="preserve"> of </w:t>
      </w:r>
      <w:r w:rsidRPr="007C26EA">
        <w:rPr>
          <w:rFonts w:ascii="Times New Roman" w:hAnsi="Times New Roman"/>
          <w:bCs/>
          <w:kern w:val="0"/>
          <w:sz w:val="24"/>
          <w:szCs w:val="24"/>
          <w:lang w:eastAsia="en-US"/>
        </w:rPr>
        <w:t>HBV RNA level</w:t>
      </w:r>
      <w:r w:rsidRPr="007C26EA">
        <w:rPr>
          <w:rFonts w:ascii="Times New Roman" w:hAnsi="Times New Roman" w:hint="eastAsia"/>
          <w:bCs/>
          <w:kern w:val="0"/>
          <w:sz w:val="24"/>
          <w:szCs w:val="24"/>
        </w:rPr>
        <w:t>s at</w:t>
      </w:r>
      <w:r w:rsidRPr="007C26EA">
        <w:rPr>
          <w:rFonts w:ascii="Times New Roman" w:hAnsi="Times New Roman"/>
          <w:sz w:val="24"/>
          <w:szCs w:val="24"/>
        </w:rPr>
        <w:t xml:space="preserve"> month </w:t>
      </w:r>
      <w:r w:rsidRPr="007C26EA">
        <w:rPr>
          <w:rFonts w:ascii="Times New Roman" w:hAnsi="Times New Roman"/>
          <w:bCs/>
          <w:kern w:val="0"/>
          <w:sz w:val="24"/>
          <w:szCs w:val="24"/>
          <w:lang w:eastAsia="en-US"/>
        </w:rPr>
        <w:t xml:space="preserve">6 and 12 </w:t>
      </w:r>
      <w:r w:rsidRPr="007C26EA">
        <w:rPr>
          <w:rFonts w:ascii="Times New Roman" w:hAnsi="Times New Roman" w:hint="eastAsia"/>
          <w:color w:val="000000"/>
          <w:sz w:val="24"/>
          <w:szCs w:val="24"/>
        </w:rPr>
        <w:t xml:space="preserve">for predicting </w:t>
      </w:r>
      <w:r w:rsidRPr="007C26EA">
        <w:rPr>
          <w:rFonts w:ascii="Times New Roman" w:hAnsi="Times New Roman"/>
          <w:sz w:val="24"/>
          <w:szCs w:val="24"/>
        </w:rPr>
        <w:t>HBeAg clearance and seroconversion</w:t>
      </w:r>
      <w:r w:rsidRPr="007C26EA">
        <w:rPr>
          <w:rFonts w:ascii="Times New Roman" w:hAnsi="Times New Roman" w:hint="eastAsia"/>
          <w:sz w:val="24"/>
          <w:szCs w:val="24"/>
        </w:rPr>
        <w:t xml:space="preserve"> </w:t>
      </w:r>
      <w:r w:rsidRPr="007C26EA">
        <w:rPr>
          <w:rFonts w:ascii="Times New Roman" w:hAnsi="Times New Roman"/>
          <w:sz w:val="24"/>
          <w:szCs w:val="24"/>
        </w:rPr>
        <w:t xml:space="preserve">were higher than </w:t>
      </w:r>
      <w:r w:rsidRPr="007C26EA">
        <w:rPr>
          <w:rFonts w:ascii="Times New Roman" w:hAnsi="Times New Roman" w:hint="eastAsia"/>
          <w:sz w:val="24"/>
          <w:szCs w:val="24"/>
        </w:rPr>
        <w:t xml:space="preserve">that of </w:t>
      </w:r>
      <w:r w:rsidRPr="007C26EA">
        <w:rPr>
          <w:rFonts w:ascii="Times New Roman" w:hAnsi="Times New Roman"/>
          <w:sz w:val="24"/>
          <w:szCs w:val="24"/>
        </w:rPr>
        <w:t>the corresponding baseline</w:t>
      </w:r>
      <w:r w:rsidRPr="007C26EA">
        <w:rPr>
          <w:rFonts w:ascii="Times New Roman" w:hAnsi="Times New Roman" w:hint="eastAsia"/>
          <w:sz w:val="24"/>
          <w:szCs w:val="24"/>
        </w:rPr>
        <w:t xml:space="preserve"> </w:t>
      </w:r>
      <w:r w:rsidRPr="007C26EA">
        <w:rPr>
          <w:rFonts w:ascii="Times New Roman" w:hAnsi="Times New Roman"/>
          <w:sz w:val="24"/>
          <w:szCs w:val="24"/>
        </w:rPr>
        <w:t>time-point, but the differences were not significant (data not shown).</w:t>
      </w:r>
    </w:p>
    <w:p w:rsidR="00B20B55" w:rsidRDefault="00B20B55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:rsidR="00C82356" w:rsidRDefault="00C82356">
      <w:pPr>
        <w:spacing w:line="360" w:lineRule="auto"/>
        <w:rPr>
          <w:rFonts w:ascii="Times New Roman" w:hAnsi="Times New Roman"/>
          <w:sz w:val="24"/>
          <w:szCs w:val="24"/>
        </w:rPr>
        <w:sectPr w:rsidR="00C82356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82356" w:rsidRPr="0023438E" w:rsidRDefault="00B20B55" w:rsidP="0023438E">
      <w:pPr>
        <w:pStyle w:val="1"/>
        <w:keepNext w:val="0"/>
        <w:keepLines w:val="0"/>
        <w:wordWrap w:val="0"/>
        <w:topLinePunct/>
        <w:spacing w:before="0" w:after="0"/>
        <w:rPr>
          <w:rFonts w:ascii="Times New Roman" w:hAnsi="Times New Roman"/>
          <w:sz w:val="24"/>
          <w:szCs w:val="24"/>
          <w:lang w:eastAsia="en-US"/>
        </w:rPr>
      </w:pPr>
      <w:r w:rsidRPr="0023438E">
        <w:rPr>
          <w:rFonts w:ascii="Times New Roman" w:hAnsi="Times New Roman" w:hint="eastAsia"/>
          <w:sz w:val="24"/>
          <w:szCs w:val="24"/>
          <w:lang w:eastAsia="en-US"/>
        </w:rPr>
        <w:lastRenderedPageBreak/>
        <w:t xml:space="preserve">Supplementary </w:t>
      </w:r>
      <w:r w:rsidRPr="0023438E">
        <w:rPr>
          <w:rFonts w:ascii="Times New Roman" w:hAnsi="Times New Roman"/>
          <w:sz w:val="24"/>
          <w:szCs w:val="24"/>
          <w:lang w:eastAsia="en-US"/>
        </w:rPr>
        <w:t>Figure</w:t>
      </w:r>
      <w:r w:rsidRPr="0023438E">
        <w:rPr>
          <w:rFonts w:ascii="Times New Roman" w:hAnsi="Times New Roman" w:hint="eastAsia"/>
          <w:sz w:val="24"/>
          <w:szCs w:val="24"/>
          <w:lang w:eastAsia="en-US"/>
        </w:rPr>
        <w:t>s and Tables</w:t>
      </w:r>
    </w:p>
    <w:p w:rsidR="00C82356" w:rsidRPr="00B20B55" w:rsidRDefault="00B20B55" w:rsidP="00B20B55">
      <w:pPr>
        <w:pStyle w:val="1"/>
        <w:keepNext w:val="0"/>
        <w:keepLines w:val="0"/>
        <w:wordWrap w:val="0"/>
        <w:topLinePunct/>
        <w:spacing w:before="0" w:after="0"/>
        <w:rPr>
          <w:rFonts w:ascii="Times New Roman" w:hAnsi="Times New Roman"/>
          <w:sz w:val="24"/>
          <w:szCs w:val="24"/>
          <w:lang w:eastAsia="en-US"/>
        </w:rPr>
      </w:pPr>
      <w:r w:rsidRPr="00B20B55">
        <w:rPr>
          <w:rFonts w:ascii="Times New Roman" w:hAnsi="Times New Roman" w:hint="eastAsia"/>
          <w:sz w:val="24"/>
          <w:szCs w:val="24"/>
          <w:lang w:eastAsia="en-US"/>
        </w:rPr>
        <w:t>Figures</w:t>
      </w:r>
    </w:p>
    <w:p w:rsidR="00C82356" w:rsidRDefault="00B20B55">
      <w:pPr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noProof/>
        </w:rPr>
        <w:drawing>
          <wp:inline distT="0" distB="0" distL="114300" distR="114300">
            <wp:extent cx="5732145" cy="2588260"/>
            <wp:effectExtent l="0" t="0" r="1905" b="2540"/>
            <wp:docPr id="1" name="图片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258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356" w:rsidRDefault="00B20B55">
      <w:pPr>
        <w:adjustRightInd w:val="0"/>
        <w:snapToGrid w:val="0"/>
        <w:spacing w:line="360" w:lineRule="auto"/>
        <w:outlineLvl w:val="0"/>
        <w:rPr>
          <w:rFonts w:ascii="AdvP7DA6" w:hAnsi="AdvP7DA6" w:hint="eastAsia"/>
          <w:b/>
          <w:sz w:val="24"/>
          <w:szCs w:val="24"/>
        </w:rPr>
      </w:pPr>
      <w:r>
        <w:rPr>
          <w:rFonts w:ascii="AdvP7DA6" w:hAnsi="AdvP7DA6" w:hint="eastAsia"/>
          <w:b/>
          <w:sz w:val="24"/>
          <w:szCs w:val="24"/>
        </w:rPr>
        <w:t>Figure</w:t>
      </w:r>
      <w:r>
        <w:rPr>
          <w:rFonts w:ascii="AdvP7DA6" w:hAnsi="AdvP7DA6"/>
          <w:b/>
          <w:sz w:val="24"/>
          <w:szCs w:val="24"/>
        </w:rPr>
        <w:t xml:space="preserve"> 1. The total follow-up patients number at different time-points. </w:t>
      </w:r>
      <w:r>
        <w:rPr>
          <w:rFonts w:ascii="AdvP7DA6" w:hAnsi="AdvP7DA6"/>
          <w:bCs/>
          <w:color w:val="000000"/>
          <w:kern w:val="0"/>
          <w:sz w:val="24"/>
          <w:szCs w:val="24"/>
        </w:rPr>
        <w:t>HBeAg, hepatitis B e antigen; No. number.</w:t>
      </w:r>
    </w:p>
    <w:p w:rsidR="00C82356" w:rsidRDefault="00C82356">
      <w:pPr>
        <w:rPr>
          <w:rFonts w:ascii="Times New Roman" w:eastAsia="宋体" w:hAnsi="Times New Roman"/>
        </w:rPr>
      </w:pPr>
    </w:p>
    <w:p w:rsidR="00C82356" w:rsidRDefault="00B20B55">
      <w:pPr>
        <w:rPr>
          <w:rFonts w:ascii="AdvP7DA6" w:hAnsi="AdvP7DA6" w:hint="eastAsia"/>
          <w:b/>
          <w:sz w:val="24"/>
          <w:szCs w:val="24"/>
        </w:rPr>
      </w:pPr>
      <w:r>
        <w:rPr>
          <w:rFonts w:ascii="AdvP7DA6" w:hAnsi="AdvP7DA6" w:hint="eastAsia"/>
          <w:b/>
          <w:sz w:val="24"/>
          <w:szCs w:val="24"/>
        </w:rPr>
        <w:br w:type="page"/>
      </w:r>
    </w:p>
    <w:p w:rsidR="00C82356" w:rsidRPr="00B20B55" w:rsidRDefault="00B20B55" w:rsidP="00B20B55">
      <w:pPr>
        <w:pStyle w:val="1"/>
        <w:keepNext w:val="0"/>
        <w:keepLines w:val="0"/>
        <w:wordWrap w:val="0"/>
        <w:topLinePunct/>
        <w:spacing w:before="0" w:after="0"/>
        <w:rPr>
          <w:rFonts w:ascii="Times New Roman" w:hAnsi="Times New Roman"/>
          <w:sz w:val="24"/>
          <w:szCs w:val="24"/>
          <w:lang w:eastAsia="en-US"/>
        </w:rPr>
      </w:pPr>
      <w:r w:rsidRPr="00B20B55">
        <w:rPr>
          <w:rFonts w:ascii="Times New Roman" w:hAnsi="Times New Roman" w:hint="eastAsia"/>
          <w:sz w:val="24"/>
          <w:szCs w:val="24"/>
          <w:lang w:eastAsia="en-US"/>
        </w:rPr>
        <w:lastRenderedPageBreak/>
        <w:t>Tables</w:t>
      </w:r>
    </w:p>
    <w:p w:rsidR="00C82356" w:rsidRDefault="00B20B55">
      <w:pPr>
        <w:adjustRightInd w:val="0"/>
        <w:snapToGrid w:val="0"/>
        <w:spacing w:line="360" w:lineRule="auto"/>
        <w:outlineLvl w:val="0"/>
        <w:rPr>
          <w:rFonts w:ascii="AdvP7DA6" w:hAnsi="AdvP7DA6" w:hint="eastAsia"/>
          <w:b/>
          <w:sz w:val="24"/>
          <w:szCs w:val="24"/>
        </w:rPr>
      </w:pPr>
      <w:r>
        <w:rPr>
          <w:rFonts w:ascii="AdvP7DA6" w:hAnsi="AdvP7DA6"/>
          <w:b/>
          <w:sz w:val="24"/>
          <w:szCs w:val="24"/>
        </w:rPr>
        <w:t>Supplementary Table 1</w:t>
      </w:r>
      <w:r>
        <w:rPr>
          <w:rFonts w:ascii="AdvP7DA6" w:hAnsi="AdvP7DA6" w:hint="eastAsia"/>
          <w:b/>
          <w:sz w:val="24"/>
          <w:szCs w:val="24"/>
        </w:rPr>
        <w:t>.</w:t>
      </w:r>
      <w:r>
        <w:rPr>
          <w:rFonts w:ascii="AdvP7DA6" w:hAnsi="AdvP7DA6"/>
          <w:b/>
          <w:sz w:val="24"/>
          <w:szCs w:val="24"/>
        </w:rPr>
        <w:t xml:space="preserve"> </w:t>
      </w:r>
      <w:proofErr w:type="spellStart"/>
      <w:r>
        <w:rPr>
          <w:rFonts w:ascii="AdvP7DA6" w:hAnsi="AdvP7DA6"/>
          <w:b/>
          <w:sz w:val="24"/>
          <w:szCs w:val="24"/>
        </w:rPr>
        <w:t>Revelance</w:t>
      </w:r>
      <w:proofErr w:type="spellEnd"/>
      <w:r>
        <w:rPr>
          <w:rFonts w:ascii="AdvP7DA6" w:hAnsi="AdvP7DA6"/>
          <w:b/>
          <w:sz w:val="24"/>
          <w:szCs w:val="24"/>
        </w:rPr>
        <w:t xml:space="preserve"> of clinical parameters at baseline with cumulative HBeAg clearance by univariate analysis</w:t>
      </w:r>
    </w:p>
    <w:tbl>
      <w:tblPr>
        <w:tblW w:w="9221" w:type="dxa"/>
        <w:tblInd w:w="10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8"/>
        <w:gridCol w:w="1867"/>
        <w:gridCol w:w="2492"/>
        <w:gridCol w:w="1534"/>
      </w:tblGrid>
      <w:tr w:rsidR="00C82356">
        <w:trPr>
          <w:trHeight w:val="183"/>
        </w:trPr>
        <w:tc>
          <w:tcPr>
            <w:tcW w:w="332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86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Cumulative incidence estimation</w:t>
            </w:r>
          </w:p>
        </w:tc>
        <w:tc>
          <w:tcPr>
            <w:tcW w:w="40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i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Univariate analysis</w:t>
            </w:r>
          </w:p>
        </w:tc>
      </w:tr>
      <w:tr w:rsidR="00C82356">
        <w:trPr>
          <w:trHeight w:val="271"/>
        </w:trPr>
        <w:tc>
          <w:tcPr>
            <w:tcW w:w="332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Variables</w:t>
            </w:r>
          </w:p>
        </w:tc>
        <w:tc>
          <w:tcPr>
            <w:tcW w:w="186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 xml:space="preserve">Log rank </w:t>
            </w:r>
            <w:r>
              <w:rPr>
                <w:rFonts w:ascii="Times New Roman" w:eastAsia="宋体" w:hAnsi="Times New Roman"/>
                <w:szCs w:val="21"/>
              </w:rPr>
              <w:sym w:font="Symbol" w:char="F063"/>
            </w:r>
            <w:r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  <w:r>
              <w:rPr>
                <w:rFonts w:ascii="Times New Roman" w:eastAsia="宋体" w:hAnsi="Times New Roman"/>
                <w:szCs w:val="21"/>
              </w:rPr>
              <w:t xml:space="preserve"> test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i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 xml:space="preserve"> value</w:t>
            </w:r>
          </w:p>
        </w:tc>
      </w:tr>
      <w:tr w:rsidR="00C82356">
        <w:trPr>
          <w:trHeight w:val="292"/>
        </w:trPr>
        <w:tc>
          <w:tcPr>
            <w:tcW w:w="3328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Age, years</w:t>
            </w:r>
          </w:p>
        </w:tc>
        <w:tc>
          <w:tcPr>
            <w:tcW w:w="1867" w:type="dxa"/>
            <w:tcBorders>
              <w:top w:val="nil"/>
            </w:tcBorders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3.184</w:t>
            </w:r>
          </w:p>
        </w:tc>
        <w:tc>
          <w:tcPr>
            <w:tcW w:w="1534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0.074</w:t>
            </w:r>
          </w:p>
        </w:tc>
      </w:tr>
      <w:tr w:rsidR="00C82356">
        <w:trPr>
          <w:trHeight w:val="292"/>
        </w:trPr>
        <w:tc>
          <w:tcPr>
            <w:tcW w:w="3328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&lt;35</w:t>
            </w:r>
          </w:p>
        </w:tc>
        <w:tc>
          <w:tcPr>
            <w:tcW w:w="1867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72%</w:t>
            </w:r>
          </w:p>
        </w:tc>
        <w:tc>
          <w:tcPr>
            <w:tcW w:w="2492" w:type="dxa"/>
            <w:tcBorders>
              <w:top w:val="nil"/>
            </w:tcBorders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tcBorders>
              <w:top w:val="nil"/>
            </w:tcBorders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≥35</w:t>
            </w:r>
          </w:p>
        </w:tc>
        <w:tc>
          <w:tcPr>
            <w:tcW w:w="1867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84%</w:t>
            </w:r>
          </w:p>
        </w:tc>
        <w:tc>
          <w:tcPr>
            <w:tcW w:w="2492" w:type="dxa"/>
            <w:tcBorders>
              <w:top w:val="nil"/>
            </w:tcBorders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tcBorders>
              <w:top w:val="nil"/>
            </w:tcBorders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14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Sex (%)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1.058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0.304</w:t>
            </w:r>
          </w:p>
        </w:tc>
      </w:tr>
      <w:tr w:rsidR="00C82356">
        <w:trPr>
          <w:trHeight w:val="214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Male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76%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14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female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73%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00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NAs (%)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2.017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0.156</w:t>
            </w:r>
          </w:p>
        </w:tc>
      </w:tr>
      <w:tr w:rsidR="00C82356">
        <w:trPr>
          <w:trHeight w:val="200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/>
                <w:szCs w:val="21"/>
              </w:rPr>
              <w:t>ETV</w:t>
            </w:r>
            <w:proofErr w:type="spellEnd"/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71%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00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/>
                <w:szCs w:val="21"/>
              </w:rPr>
              <w:t>ADV</w:t>
            </w:r>
            <w:proofErr w:type="spellEnd"/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84%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84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BMI Kg/m</w:t>
            </w:r>
            <w:r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0.007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0.935</w:t>
            </w:r>
          </w:p>
        </w:tc>
      </w:tr>
      <w:tr w:rsidR="00C82356">
        <w:trPr>
          <w:trHeight w:val="284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&lt;24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74%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84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≥24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81%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35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HBV genotype</w:t>
            </w:r>
            <w:r>
              <w:rPr>
                <w:rFonts w:ascii="Times New Roman" w:hAnsi="Times New Roman"/>
                <w:szCs w:val="21"/>
              </w:rPr>
              <w:t>†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C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86%</w:t>
            </w: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0.846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0.358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B/ others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33%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 xml:space="preserve">ALT, </w:t>
            </w:r>
            <w:r>
              <w:rPr>
                <w:rFonts w:ascii="Times New Roman" w:eastAsia="宋体" w:hAnsi="Times New Roman"/>
                <w:kern w:val="0"/>
                <w:szCs w:val="21"/>
              </w:rPr>
              <w:t>U/L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1.142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0.285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&lt;80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71%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≥80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100%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AST,</w:t>
            </w:r>
            <w:r>
              <w:rPr>
                <w:rFonts w:ascii="Times New Roman" w:eastAsia="宋体" w:hAnsi="Times New Roman"/>
                <w:kern w:val="0"/>
                <w:szCs w:val="21"/>
              </w:rPr>
              <w:t xml:space="preserve"> U/L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2.794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0.095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&lt;80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71%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≥80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100%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196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AST/ALT ratio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0.799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0.371</w:t>
            </w:r>
          </w:p>
        </w:tc>
      </w:tr>
      <w:tr w:rsidR="00C82356">
        <w:trPr>
          <w:trHeight w:val="196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&lt;1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74%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196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≥1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84%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/>
                <w:szCs w:val="21"/>
              </w:rPr>
              <w:t>TBIL</w:t>
            </w:r>
            <w:proofErr w:type="spellEnd"/>
            <w:r>
              <w:rPr>
                <w:rFonts w:ascii="Times New Roman" w:eastAsia="宋体" w:hAnsi="Times New Roman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kern w:val="0"/>
                <w:szCs w:val="21"/>
              </w:rPr>
              <w:t>μ</w:t>
            </w:r>
            <w:r>
              <w:rPr>
                <w:rFonts w:ascii="Times New Roman" w:eastAsia="AdvP7DA6" w:hAnsi="Times New Roman"/>
                <w:kern w:val="0"/>
                <w:szCs w:val="21"/>
              </w:rPr>
              <w:t>mol</w:t>
            </w:r>
            <w:proofErr w:type="spellEnd"/>
            <w:r>
              <w:rPr>
                <w:rFonts w:ascii="Times New Roman" w:eastAsia="AdvP7DA6" w:hAnsi="Times New Roman"/>
                <w:kern w:val="0"/>
                <w:szCs w:val="21"/>
              </w:rPr>
              <w:t>/L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2.375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0.123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&lt;20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75%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≥20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86%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ALP,  U/L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0.917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0.338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&lt;88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77%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≥88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76%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HBsAg(log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 xml:space="preserve"> IU/mL 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15.668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  <w:t>0.000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≤3.77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79%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&gt;3.77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63%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HBV DNA 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 xml:space="preserve"> IU/mL 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&lt;6.79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81%</w:t>
            </w: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11.669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b/>
                <w:color w:val="FF0000"/>
                <w:szCs w:val="21"/>
              </w:rPr>
            </w:pPr>
            <w: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  <w:t>0.001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≥6.79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70%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lastRenderedPageBreak/>
              <w:t>HBV RNA 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 xml:space="preserve"> copies/mL 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17.713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b/>
                <w:color w:val="FF0000"/>
                <w:szCs w:val="21"/>
              </w:rPr>
            </w:pPr>
            <w: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  <w:t>0.000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&lt;5.45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84%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≥5.45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72%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HBcrAg 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 xml:space="preserve"> IU/mL 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9.934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  <w:t>0.002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&lt;7.33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77%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≥7.33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57%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Intrahepatic HBV DNA (log10copies/105 cell)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2.353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color w:val="FF0000"/>
                <w:szCs w:val="21"/>
              </w:rPr>
            </w:pPr>
            <w:r>
              <w:rPr>
                <w:rFonts w:ascii="Times New Roman" w:eastAsia="宋体" w:hAnsi="Times New Roman"/>
                <w:color w:val="000000" w:themeColor="text1"/>
                <w:szCs w:val="21"/>
              </w:rPr>
              <w:t>0.125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&lt;6.60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70%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i/>
                <w:kern w:val="0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≥6.60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64%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i/>
                <w:kern w:val="0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cccDNA 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>copies/10</w:t>
            </w:r>
            <w:r>
              <w:rPr>
                <w:rFonts w:ascii="Times New Roman" w:eastAsia="宋体" w:hAnsi="Times New Roman"/>
                <w:szCs w:val="21"/>
                <w:vertAlign w:val="superscript"/>
              </w:rPr>
              <w:t xml:space="preserve">5 </w:t>
            </w:r>
            <w:r>
              <w:rPr>
                <w:rFonts w:ascii="Times New Roman" w:eastAsia="宋体" w:hAnsi="Times New Roman"/>
                <w:szCs w:val="21"/>
              </w:rPr>
              <w:t>cell)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0.343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0.558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&lt;4.90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64%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≥4.90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68%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b/>
                <w:szCs w:val="21"/>
              </w:rPr>
              <w:t>Decrease after 6 months treatment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 xml:space="preserve">HBsAg 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(Baseline-6m) </w:t>
            </w:r>
            <w:r>
              <w:rPr>
                <w:rFonts w:ascii="Times New Roman" w:eastAsia="宋体" w:hAnsi="Times New Roman"/>
                <w:szCs w:val="21"/>
              </w:rPr>
              <w:t>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 xml:space="preserve"> IU/mL)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2.496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0.114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≤0.02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65%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&gt;0.02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61%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HBV DNA 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 xml:space="preserve"> IU/mL 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0.661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0.416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&lt;3.50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68%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≥3.50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87%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 xml:space="preserve">HBV RNA 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(Baseline-6m) </w:t>
            </w:r>
            <w:r>
              <w:rPr>
                <w:rFonts w:ascii="Times New Roman" w:eastAsia="宋体" w:hAnsi="Times New Roman"/>
                <w:szCs w:val="21"/>
              </w:rPr>
              <w:t>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 xml:space="preserve"> copies/mL 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6.922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  <w:t>0.009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≤0.56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62%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 w:themeColor="text1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&gt;0.56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100%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 w:themeColor="text1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 xml:space="preserve">HBcrAg 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(Baseline-6m) </w:t>
            </w:r>
            <w:r>
              <w:rPr>
                <w:rFonts w:ascii="Times New Roman" w:eastAsia="宋体" w:hAnsi="Times New Roman"/>
                <w:szCs w:val="21"/>
              </w:rPr>
              <w:t xml:space="preserve"> 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 xml:space="preserve"> U/mL 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0.06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0.807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≤0.23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56%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&gt;0.23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78%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7687" w:type="dxa"/>
            <w:gridSpan w:val="3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b/>
                <w:szCs w:val="21"/>
              </w:rPr>
              <w:t>Decrease after 12 months treatment</w:t>
            </w: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HBV DNA (Baseline-12m) </w:t>
            </w:r>
            <w:r>
              <w:rPr>
                <w:rFonts w:ascii="Times New Roman" w:hAnsi="Times New Roman"/>
                <w:szCs w:val="21"/>
              </w:rPr>
              <w:t>(log</w:t>
            </w:r>
            <w:r>
              <w:rPr>
                <w:rFonts w:ascii="Times New Roman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hAnsi="Times New Roman"/>
                <w:szCs w:val="21"/>
              </w:rPr>
              <w:t xml:space="preserve"> IU/mL)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&lt;3.92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68%</w:t>
            </w: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0.358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0.549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≥3.92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87%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HBV RNA (Baseline-12m) </w:t>
            </w:r>
            <w:r>
              <w:rPr>
                <w:rFonts w:ascii="Times New Roman" w:hAnsi="Times New Roman"/>
                <w:szCs w:val="21"/>
              </w:rPr>
              <w:t>(log</w:t>
            </w:r>
            <w:r>
              <w:rPr>
                <w:rFonts w:ascii="Times New Roman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hAnsi="Times New Roman"/>
                <w:szCs w:val="21"/>
              </w:rPr>
              <w:t xml:space="preserve"> copies/mL)</w:t>
            </w:r>
          </w:p>
        </w:tc>
        <w:tc>
          <w:tcPr>
            <w:tcW w:w="1867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&lt;0.63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70%</w:t>
            </w:r>
          </w:p>
        </w:tc>
        <w:tc>
          <w:tcPr>
            <w:tcW w:w="2492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2.018</w:t>
            </w:r>
          </w:p>
        </w:tc>
        <w:tc>
          <w:tcPr>
            <w:tcW w:w="1534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0.155</w:t>
            </w:r>
          </w:p>
        </w:tc>
      </w:tr>
      <w:tr w:rsidR="00C82356">
        <w:trPr>
          <w:trHeight w:val="292"/>
        </w:trPr>
        <w:tc>
          <w:tcPr>
            <w:tcW w:w="33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≥0.63</w:t>
            </w:r>
          </w:p>
        </w:tc>
        <w:tc>
          <w:tcPr>
            <w:tcW w:w="1867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88%</w:t>
            </w:r>
          </w:p>
        </w:tc>
        <w:tc>
          <w:tcPr>
            <w:tcW w:w="2492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34" w:type="dxa"/>
            <w:shd w:val="clear" w:color="auto" w:fill="auto"/>
          </w:tcPr>
          <w:p w:rsidR="00C82356" w:rsidRDefault="00C82356">
            <w:pPr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</w:tbl>
    <w:p w:rsidR="00C82356" w:rsidRDefault="00B20B55">
      <w:pPr>
        <w:rPr>
          <w:rFonts w:ascii="Times New Roman" w:eastAsia="宋体" w:hAnsi="Times New Roman"/>
        </w:rPr>
      </w:pPr>
      <w:r>
        <w:rPr>
          <w:rFonts w:ascii="Times New Roman" w:hAnsi="Times New Roman"/>
          <w:color w:val="000000"/>
          <w:sz w:val="24"/>
          <w:szCs w:val="24"/>
          <w:vertAlign w:val="superscript"/>
        </w:rPr>
        <w:t>†</w:t>
      </w:r>
      <w:r>
        <w:rPr>
          <w:rFonts w:ascii="Times New Roman" w:eastAsia="宋体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Thirty-nine patients with available genotype data were analyzed.</w:t>
      </w:r>
    </w:p>
    <w:p w:rsidR="00C82356" w:rsidRDefault="00B20B55">
      <w:pPr>
        <w:rPr>
          <w:rFonts w:ascii="Times New Roman" w:hAnsi="Times New Roman"/>
          <w:szCs w:val="21"/>
        </w:rPr>
      </w:pPr>
      <w:proofErr w:type="spellStart"/>
      <w:r>
        <w:rPr>
          <w:rFonts w:ascii="Times New Roman" w:hAnsi="Times New Roman"/>
          <w:szCs w:val="21"/>
        </w:rPr>
        <w:t>Abbrevation</w:t>
      </w:r>
      <w:proofErr w:type="spellEnd"/>
      <w:r>
        <w:rPr>
          <w:rFonts w:ascii="Times New Roman" w:hAnsi="Times New Roman"/>
          <w:szCs w:val="21"/>
        </w:rPr>
        <w:t xml:space="preserve">: </w:t>
      </w:r>
      <w:proofErr w:type="spellStart"/>
      <w:r>
        <w:rPr>
          <w:rFonts w:ascii="Times New Roman" w:hAnsi="Times New Roman"/>
          <w:szCs w:val="21"/>
        </w:rPr>
        <w:t>ADV</w:t>
      </w:r>
      <w:proofErr w:type="spellEnd"/>
      <w:r>
        <w:rPr>
          <w:rFonts w:ascii="Times New Roman" w:hAnsi="Times New Roman"/>
          <w:szCs w:val="21"/>
        </w:rPr>
        <w:t xml:space="preserve">, </w:t>
      </w:r>
      <w:proofErr w:type="spellStart"/>
      <w:r>
        <w:rPr>
          <w:rFonts w:ascii="Times New Roman" w:hAnsi="Times New Roman"/>
          <w:szCs w:val="21"/>
        </w:rPr>
        <w:t>Adefovir</w:t>
      </w:r>
      <w:proofErr w:type="spellEnd"/>
      <w:r>
        <w:rPr>
          <w:rFonts w:ascii="Times New Roman" w:hAnsi="Times New Roman"/>
          <w:szCs w:val="21"/>
        </w:rPr>
        <w:t xml:space="preserve">; ALP, </w:t>
      </w:r>
      <w:hyperlink r:id="rId12" w:history="1">
        <w:r>
          <w:rPr>
            <w:rFonts w:ascii="Times New Roman" w:hAnsi="Times New Roman"/>
            <w:szCs w:val="21"/>
          </w:rPr>
          <w:t>alkaline</w:t>
        </w:r>
      </w:hyperlink>
      <w:r>
        <w:rPr>
          <w:rFonts w:ascii="Times New Roman" w:hAnsi="Times New Roman"/>
        </w:rPr>
        <w:t xml:space="preserve"> </w:t>
      </w:r>
      <w:hyperlink r:id="rId13" w:history="1">
        <w:r>
          <w:rPr>
            <w:rFonts w:ascii="Times New Roman" w:hAnsi="Times New Roman"/>
            <w:szCs w:val="21"/>
          </w:rPr>
          <w:t>phosphatase</w:t>
        </w:r>
      </w:hyperlink>
      <w:r>
        <w:rPr>
          <w:rFonts w:ascii="Times New Roman" w:hAnsi="Times New Roman"/>
        </w:rPr>
        <w:t>;</w:t>
      </w:r>
      <w:r>
        <w:rPr>
          <w:rFonts w:ascii="Times New Roman" w:hAnsi="Times New Roman"/>
          <w:szCs w:val="21"/>
        </w:rPr>
        <w:t xml:space="preserve"> ALT, alanine aminotransferase; AST, aspartate aminotransferase; BMI, body mass index; cccDNA, covalently closed circular DNA; </w:t>
      </w:r>
      <w:proofErr w:type="spellStart"/>
      <w:r>
        <w:rPr>
          <w:rFonts w:ascii="Times New Roman" w:hAnsi="Times New Roman"/>
          <w:szCs w:val="21"/>
        </w:rPr>
        <w:t>ETV</w:t>
      </w:r>
      <w:proofErr w:type="spellEnd"/>
      <w:r>
        <w:rPr>
          <w:rFonts w:ascii="Times New Roman" w:hAnsi="Times New Roman"/>
          <w:szCs w:val="21"/>
        </w:rPr>
        <w:t xml:space="preserve">, </w:t>
      </w:r>
      <w:proofErr w:type="spellStart"/>
      <w:r>
        <w:rPr>
          <w:rFonts w:ascii="Times New Roman" w:hAnsi="Times New Roman"/>
          <w:szCs w:val="21"/>
        </w:rPr>
        <w:t>Entecavir</w:t>
      </w:r>
      <w:proofErr w:type="spellEnd"/>
      <w:r>
        <w:rPr>
          <w:rFonts w:ascii="Times New Roman" w:hAnsi="Times New Roman"/>
          <w:szCs w:val="21"/>
        </w:rPr>
        <w:t xml:space="preserve">; HBV, hepatitis B virus; HBV RNA, hepatitis B virus ribonucleic acid; HBcrAg, hepatitis B core-related antigen; HBeAg, hepatitis B e antigen; HBsAg, hepatitis B surface antigen; NAs, nucleos(t)ide analogues; </w:t>
      </w:r>
      <w:proofErr w:type="spellStart"/>
      <w:r>
        <w:rPr>
          <w:rFonts w:ascii="Times New Roman" w:hAnsi="Times New Roman"/>
          <w:szCs w:val="21"/>
        </w:rPr>
        <w:t>TBIL</w:t>
      </w:r>
      <w:proofErr w:type="spellEnd"/>
      <w:r>
        <w:rPr>
          <w:rFonts w:ascii="Times New Roman" w:hAnsi="Times New Roman"/>
          <w:szCs w:val="21"/>
        </w:rPr>
        <w:t xml:space="preserve">, </w:t>
      </w:r>
      <w:hyperlink r:id="rId14" w:history="1">
        <w:r>
          <w:rPr>
            <w:rFonts w:ascii="Times New Roman" w:hAnsi="Times New Roman"/>
          </w:rPr>
          <w:t>total bilirubin</w:t>
        </w:r>
      </w:hyperlink>
      <w:r>
        <w:rPr>
          <w:rFonts w:ascii="Times New Roman" w:hAnsi="Times New Roman"/>
          <w:szCs w:val="21"/>
        </w:rPr>
        <w:t>.</w:t>
      </w:r>
    </w:p>
    <w:p w:rsidR="00C82356" w:rsidRDefault="00C82356">
      <w:pPr>
        <w:rPr>
          <w:rFonts w:ascii="Times New Roman" w:hAnsi="Times New Roman"/>
          <w:szCs w:val="21"/>
        </w:rPr>
      </w:pPr>
    </w:p>
    <w:p w:rsidR="00C82356" w:rsidRDefault="00C82356">
      <w:pPr>
        <w:rPr>
          <w:rFonts w:ascii="Times New Roman" w:eastAsia="宋体" w:hAnsi="Times New Roman"/>
        </w:rPr>
        <w:sectPr w:rsidR="00C82356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C82356" w:rsidRDefault="00B20B55">
      <w:pPr>
        <w:spacing w:line="360" w:lineRule="auto"/>
        <w:rPr>
          <w:rFonts w:ascii="Times New Roman" w:eastAsia="宋体" w:hAnsi="Times New Roman"/>
          <w:b/>
          <w:bCs/>
          <w:sz w:val="24"/>
          <w:szCs w:val="28"/>
        </w:rPr>
      </w:pPr>
      <w:r>
        <w:rPr>
          <w:rFonts w:ascii="Times New Roman" w:eastAsia="宋体" w:hAnsi="Times New Roman"/>
          <w:b/>
          <w:bCs/>
          <w:sz w:val="24"/>
          <w:szCs w:val="28"/>
        </w:rPr>
        <w:lastRenderedPageBreak/>
        <w:t>Supplemental Table 2</w:t>
      </w:r>
      <w:r>
        <w:rPr>
          <w:rFonts w:ascii="Times New Roman" w:eastAsia="宋体" w:hAnsi="Times New Roman" w:hint="eastAsia"/>
          <w:b/>
          <w:bCs/>
          <w:sz w:val="24"/>
          <w:szCs w:val="28"/>
        </w:rPr>
        <w:t>.</w:t>
      </w:r>
      <w:r>
        <w:rPr>
          <w:rFonts w:ascii="Times New Roman" w:eastAsia="宋体" w:hAnsi="Times New Roman"/>
          <w:b/>
          <w:bCs/>
          <w:sz w:val="24"/>
          <w:szCs w:val="28"/>
        </w:rPr>
        <w:t xml:space="preserve"> </w:t>
      </w:r>
      <w:proofErr w:type="spellStart"/>
      <w:r>
        <w:rPr>
          <w:rFonts w:ascii="Times New Roman" w:eastAsia="宋体" w:hAnsi="Times New Roman"/>
          <w:b/>
          <w:bCs/>
          <w:sz w:val="24"/>
          <w:szCs w:val="28"/>
        </w:rPr>
        <w:t>Revelance</w:t>
      </w:r>
      <w:proofErr w:type="spellEnd"/>
      <w:r>
        <w:rPr>
          <w:rFonts w:ascii="Times New Roman" w:eastAsia="宋体" w:hAnsi="Times New Roman"/>
          <w:b/>
          <w:bCs/>
          <w:sz w:val="24"/>
          <w:szCs w:val="28"/>
        </w:rPr>
        <w:t xml:space="preserve"> of clinical parameters at baseline with cumulative HBeAg clearance by analysis</w:t>
      </w:r>
    </w:p>
    <w:tbl>
      <w:tblPr>
        <w:tblW w:w="9110" w:type="dxa"/>
        <w:tblInd w:w="10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28"/>
        <w:gridCol w:w="2418"/>
        <w:gridCol w:w="1585"/>
        <w:gridCol w:w="979"/>
      </w:tblGrid>
      <w:tr w:rsidR="00C82356">
        <w:trPr>
          <w:trHeight w:val="222"/>
        </w:trPr>
        <w:tc>
          <w:tcPr>
            <w:tcW w:w="412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Variables</w:t>
            </w:r>
          </w:p>
        </w:tc>
        <w:tc>
          <w:tcPr>
            <w:tcW w:w="241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Cumulative incidence estimation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i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Univariate analysis</w:t>
            </w:r>
          </w:p>
        </w:tc>
      </w:tr>
      <w:tr w:rsidR="00C82356">
        <w:trPr>
          <w:trHeight w:val="367"/>
        </w:trPr>
        <w:tc>
          <w:tcPr>
            <w:tcW w:w="412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 xml:space="preserve">Log rank </w:t>
            </w:r>
            <w:r>
              <w:rPr>
                <w:rFonts w:ascii="Times New Roman" w:eastAsia="宋体" w:hAnsi="Times New Roman"/>
                <w:szCs w:val="21"/>
              </w:rPr>
              <w:sym w:font="Symbol" w:char="F063"/>
            </w:r>
            <w:r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  <w:r>
              <w:rPr>
                <w:rFonts w:ascii="Times New Roman" w:eastAsia="宋体" w:hAnsi="Times New Roman"/>
                <w:szCs w:val="21"/>
              </w:rPr>
              <w:t xml:space="preserve"> test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i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 xml:space="preserve"> value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†</w:t>
            </w:r>
          </w:p>
        </w:tc>
      </w:tr>
      <w:tr w:rsidR="00C82356">
        <w:trPr>
          <w:trHeight w:val="354"/>
        </w:trPr>
        <w:tc>
          <w:tcPr>
            <w:tcW w:w="4128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Age, years</w:t>
            </w:r>
          </w:p>
        </w:tc>
        <w:tc>
          <w:tcPr>
            <w:tcW w:w="2418" w:type="dxa"/>
            <w:tcBorders>
              <w:top w:val="nil"/>
            </w:tcBorders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0.968</w:t>
            </w:r>
          </w:p>
        </w:tc>
        <w:tc>
          <w:tcPr>
            <w:tcW w:w="979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0.325</w:t>
            </w:r>
          </w:p>
        </w:tc>
      </w:tr>
      <w:tr w:rsidR="00C82356">
        <w:trPr>
          <w:trHeight w:val="354"/>
        </w:trPr>
        <w:tc>
          <w:tcPr>
            <w:tcW w:w="4128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&lt;35</w:t>
            </w:r>
          </w:p>
        </w:tc>
        <w:tc>
          <w:tcPr>
            <w:tcW w:w="2418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59%</w:t>
            </w:r>
          </w:p>
        </w:tc>
        <w:tc>
          <w:tcPr>
            <w:tcW w:w="1585" w:type="dxa"/>
            <w:tcBorders>
              <w:top w:val="nil"/>
            </w:tcBorders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tcBorders>
              <w:top w:val="nil"/>
            </w:tcBorders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≥35</w:t>
            </w:r>
          </w:p>
        </w:tc>
        <w:tc>
          <w:tcPr>
            <w:tcW w:w="2418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49%</w:t>
            </w:r>
          </w:p>
        </w:tc>
        <w:tc>
          <w:tcPr>
            <w:tcW w:w="1585" w:type="dxa"/>
            <w:tcBorders>
              <w:top w:val="nil"/>
            </w:tcBorders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tcBorders>
              <w:top w:val="nil"/>
            </w:tcBorders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60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Sex (%)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2.394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0.122</w:t>
            </w:r>
          </w:p>
        </w:tc>
      </w:tr>
      <w:tr w:rsidR="00C82356">
        <w:trPr>
          <w:trHeight w:val="243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Male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53%</w:t>
            </w: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1.762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0.184</w:t>
            </w:r>
          </w:p>
        </w:tc>
      </w:tr>
      <w:tr w:rsidR="00C82356">
        <w:trPr>
          <w:trHeight w:val="243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female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63%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43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NAs</w:t>
            </w:r>
            <w:r>
              <w:rPr>
                <w:rFonts w:ascii="Times New Roman" w:eastAsia="宋体" w:hAnsi="Times New Roman"/>
                <w:szCs w:val="21"/>
              </w:rPr>
              <w:t>（</w:t>
            </w:r>
            <w:r>
              <w:rPr>
                <w:rFonts w:ascii="Times New Roman" w:eastAsia="宋体" w:hAnsi="Times New Roman"/>
                <w:szCs w:val="21"/>
              </w:rPr>
              <w:t>%</w:t>
            </w:r>
            <w:r>
              <w:rPr>
                <w:rFonts w:ascii="Times New Roman" w:eastAsia="宋体" w:hAnsi="Times New Roman"/>
                <w:szCs w:val="21"/>
              </w:rPr>
              <w:t>）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1.287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0.257</w:t>
            </w:r>
          </w:p>
        </w:tc>
      </w:tr>
      <w:tr w:rsidR="00C82356">
        <w:trPr>
          <w:trHeight w:val="243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/>
                <w:szCs w:val="21"/>
              </w:rPr>
              <w:t>ETV</w:t>
            </w:r>
            <w:proofErr w:type="spellEnd"/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55%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43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/>
                <w:szCs w:val="21"/>
              </w:rPr>
              <w:t>ADV</w:t>
            </w:r>
            <w:proofErr w:type="spellEnd"/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59%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34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BMI Kg/m</w:t>
            </w:r>
            <w:r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1.387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0.239</w:t>
            </w:r>
          </w:p>
        </w:tc>
      </w:tr>
      <w:tr w:rsidR="00C82356">
        <w:trPr>
          <w:trHeight w:val="34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&lt;24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38%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34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≥24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71%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286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HBV genotype</w:t>
            </w:r>
            <w:r>
              <w:rPr>
                <w:rFonts w:ascii="Times New Roman" w:hAnsi="Times New Roman"/>
                <w:szCs w:val="21"/>
              </w:rPr>
              <w:t>†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0.001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0.974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C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63%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B/ others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33%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 xml:space="preserve">ALT, </w:t>
            </w:r>
            <w:r>
              <w:rPr>
                <w:rFonts w:ascii="Times New Roman" w:eastAsia="宋体" w:hAnsi="Times New Roman"/>
                <w:kern w:val="0"/>
                <w:szCs w:val="21"/>
              </w:rPr>
              <w:t>U/L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0.241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0.624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&lt;80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51%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≥80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74%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AST,</w:t>
            </w:r>
            <w:r>
              <w:rPr>
                <w:rFonts w:ascii="Times New Roman" w:eastAsia="宋体" w:hAnsi="Times New Roman"/>
                <w:kern w:val="0"/>
                <w:szCs w:val="21"/>
              </w:rPr>
              <w:t xml:space="preserve"> U/L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1.352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0.245</w:t>
            </w:r>
          </w:p>
        </w:tc>
      </w:tr>
      <w:tr w:rsidR="00C82356">
        <w:trPr>
          <w:trHeight w:val="239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&lt;80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51%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39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≥80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75%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39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AST/ALT ratio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0.488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0.485</w:t>
            </w:r>
          </w:p>
        </w:tc>
      </w:tr>
      <w:tr w:rsidR="00C82356">
        <w:trPr>
          <w:trHeight w:val="239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&lt;1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51%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239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≥1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74%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/>
                <w:szCs w:val="21"/>
              </w:rPr>
              <w:t>TBIL</w:t>
            </w:r>
            <w:proofErr w:type="spellEnd"/>
            <w:r>
              <w:rPr>
                <w:rFonts w:ascii="Times New Roman" w:eastAsia="宋体" w:hAnsi="Times New Roman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kern w:val="0"/>
                <w:szCs w:val="21"/>
              </w:rPr>
              <w:t>μ</w:t>
            </w:r>
            <w:r>
              <w:rPr>
                <w:rFonts w:ascii="Times New Roman" w:eastAsia="AdvP7DA6" w:hAnsi="Times New Roman"/>
                <w:kern w:val="0"/>
                <w:szCs w:val="21"/>
              </w:rPr>
              <w:t>mol</w:t>
            </w:r>
            <w:proofErr w:type="spellEnd"/>
            <w:r>
              <w:rPr>
                <w:rFonts w:ascii="Times New Roman" w:eastAsia="AdvP7DA6" w:hAnsi="Times New Roman"/>
                <w:kern w:val="0"/>
                <w:szCs w:val="21"/>
              </w:rPr>
              <w:t>/L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1.409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0.235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&lt;20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58%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≥20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57%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ALP,  U/L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0.130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0.718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&lt;88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59%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≥88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54%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HBsAg</w:t>
            </w:r>
            <w:r>
              <w:rPr>
                <w:rFonts w:ascii="Times New Roman" w:eastAsia="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/>
                <w:szCs w:val="21"/>
              </w:rPr>
              <w:t>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 xml:space="preserve"> IU/mL 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4.814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  <w:t>0.028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≤3.77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56%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&gt;3.77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62%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HBV DNA 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 xml:space="preserve"> IU/mL 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6.434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b/>
                <w:color w:val="FF0000"/>
                <w:szCs w:val="21"/>
              </w:rPr>
            </w:pPr>
            <w: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  <w:t>0.011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lastRenderedPageBreak/>
              <w:t>&lt;6.79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58%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≥6.79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48%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HBV RNA 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 xml:space="preserve"> copies/mL 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7.364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b/>
                <w:color w:val="000000" w:themeColor="text1"/>
                <w:szCs w:val="21"/>
              </w:rPr>
              <w:t>0.007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&lt;5.45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59%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≥5.45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52%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FF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HBcrAg(log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 xml:space="preserve"> U/mL 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2.776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0.096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&lt;7.33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51%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≥7.33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53%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Intrahepatic HBV DNA (log10copies/10</w:t>
            </w:r>
            <w:r>
              <w:rPr>
                <w:rFonts w:ascii="Times New Roman" w:eastAsia="宋体" w:hAnsi="Times New Roman"/>
                <w:szCs w:val="21"/>
                <w:vertAlign w:val="superscript"/>
              </w:rPr>
              <w:t>5</w:t>
            </w:r>
            <w:r>
              <w:rPr>
                <w:rFonts w:ascii="Times New Roman" w:eastAsia="宋体" w:hAnsi="Times New Roman"/>
                <w:szCs w:val="21"/>
              </w:rPr>
              <w:t xml:space="preserve"> cell)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0.447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0.504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&lt;6.60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51%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≥6.60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60%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cccDNA (log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Cs w:val="21"/>
              </w:rPr>
              <w:t>copies/10</w:t>
            </w:r>
            <w:r>
              <w:rPr>
                <w:rFonts w:ascii="Times New Roman" w:eastAsia="宋体" w:hAnsi="Times New Roman"/>
                <w:szCs w:val="21"/>
                <w:vertAlign w:val="superscript"/>
              </w:rPr>
              <w:t xml:space="preserve">5 </w:t>
            </w:r>
            <w:r>
              <w:rPr>
                <w:rFonts w:ascii="Times New Roman" w:eastAsia="宋体" w:hAnsi="Times New Roman"/>
                <w:szCs w:val="21"/>
              </w:rPr>
              <w:t>cell)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1.604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0.205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&lt;4.9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56%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≥4.9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57%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color w:val="000000" w:themeColor="text1"/>
                <w:szCs w:val="21"/>
              </w:rPr>
              <w:t>HBV DNA(Baseline-6m)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0.438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0.508</w:t>
            </w:r>
          </w:p>
        </w:tc>
      </w:tr>
      <w:tr w:rsidR="00C82356">
        <w:trPr>
          <w:trHeight w:val="354"/>
        </w:trPr>
        <w:tc>
          <w:tcPr>
            <w:tcW w:w="9110" w:type="dxa"/>
            <w:gridSpan w:val="4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b/>
                <w:szCs w:val="21"/>
              </w:rPr>
              <w:t>Decrease after 6 months treatment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color w:val="000000" w:themeColor="text1"/>
                <w:szCs w:val="21"/>
              </w:rPr>
              <w:t>&lt;3.50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48%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color w:val="000000" w:themeColor="text1"/>
                <w:szCs w:val="21"/>
              </w:rPr>
              <w:t>≥3.50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Cs w:val="21"/>
              </w:rPr>
              <w:t>59%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color w:val="000000" w:themeColor="text1"/>
                <w:szCs w:val="21"/>
              </w:rPr>
              <w:t>HBV RNA(Baseline-6m)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2.971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0.085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color w:val="000000" w:themeColor="text1"/>
                <w:szCs w:val="21"/>
              </w:rPr>
              <w:t>≤0.56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47%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color w:val="000000" w:themeColor="text1"/>
                <w:szCs w:val="21"/>
              </w:rPr>
              <w:t>&gt;0.56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71%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color w:val="000000" w:themeColor="text1"/>
                <w:szCs w:val="21"/>
              </w:rPr>
              <w:t>HBsAg (Baseline-6m)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0.680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0.410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color w:val="000000" w:themeColor="text1"/>
                <w:szCs w:val="21"/>
              </w:rPr>
              <w:t>≤0.02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73%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color w:val="000000" w:themeColor="text1"/>
                <w:szCs w:val="21"/>
              </w:rPr>
              <w:t>&gt;0.02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57%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/>
                <w:color w:val="000000" w:themeColor="text1"/>
                <w:szCs w:val="21"/>
              </w:rPr>
              <w:t>HBcrAg(Baseline-6m)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0.363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0.547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≤0.23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46%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&gt;0.23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56%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HBV DNA (Baseline-12m) </w:t>
            </w:r>
            <w:r>
              <w:rPr>
                <w:rFonts w:ascii="Times New Roman" w:hAnsi="Times New Roman"/>
                <w:szCs w:val="21"/>
              </w:rPr>
              <w:t>(log</w:t>
            </w:r>
            <w:r>
              <w:rPr>
                <w:rFonts w:ascii="Times New Roman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hAnsi="Times New Roman"/>
                <w:szCs w:val="21"/>
              </w:rPr>
              <w:t xml:space="preserve"> IU/mL)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0.276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0.599</w:t>
            </w:r>
          </w:p>
        </w:tc>
      </w:tr>
      <w:tr w:rsidR="00C82356">
        <w:trPr>
          <w:trHeight w:val="354"/>
        </w:trPr>
        <w:tc>
          <w:tcPr>
            <w:tcW w:w="9110" w:type="dxa"/>
            <w:gridSpan w:val="4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b/>
                <w:szCs w:val="21"/>
              </w:rPr>
              <w:t>Decrease after 12 months treatment</w:t>
            </w:r>
          </w:p>
        </w:tc>
      </w:tr>
      <w:tr w:rsidR="00C82356">
        <w:trPr>
          <w:trHeight w:val="252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&lt;3.92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49%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≥3.92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59%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HBV RNA (Baseline-12m) </w:t>
            </w:r>
            <w:r>
              <w:rPr>
                <w:rFonts w:ascii="Times New Roman" w:hAnsi="Times New Roman"/>
                <w:szCs w:val="21"/>
              </w:rPr>
              <w:t>(log</w:t>
            </w:r>
            <w:r>
              <w:rPr>
                <w:rFonts w:ascii="Times New Roman" w:hAnsi="Times New Roman"/>
                <w:szCs w:val="21"/>
                <w:vertAlign w:val="subscript"/>
              </w:rPr>
              <w:t>10</w:t>
            </w:r>
            <w:r>
              <w:rPr>
                <w:rFonts w:ascii="Times New Roman" w:hAnsi="Times New Roman"/>
                <w:szCs w:val="21"/>
              </w:rPr>
              <w:t xml:space="preserve"> copies/mL)</w:t>
            </w:r>
          </w:p>
        </w:tc>
        <w:tc>
          <w:tcPr>
            <w:tcW w:w="2418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&lt;0.63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49%</w:t>
            </w:r>
          </w:p>
        </w:tc>
        <w:tc>
          <w:tcPr>
            <w:tcW w:w="1585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0.995</w:t>
            </w:r>
          </w:p>
        </w:tc>
        <w:tc>
          <w:tcPr>
            <w:tcW w:w="979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0.319</w:t>
            </w:r>
          </w:p>
        </w:tc>
      </w:tr>
      <w:tr w:rsidR="00C82356">
        <w:trPr>
          <w:trHeight w:val="354"/>
        </w:trPr>
        <w:tc>
          <w:tcPr>
            <w:tcW w:w="4128" w:type="dxa"/>
            <w:shd w:val="clear" w:color="auto" w:fill="auto"/>
          </w:tcPr>
          <w:p w:rsidR="00C82356" w:rsidRDefault="00B20B55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≥0.63</w:t>
            </w:r>
          </w:p>
        </w:tc>
        <w:tc>
          <w:tcPr>
            <w:tcW w:w="2418" w:type="dxa"/>
            <w:shd w:val="clear" w:color="auto" w:fill="auto"/>
          </w:tcPr>
          <w:p w:rsidR="00C82356" w:rsidRDefault="00B20B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63%</w:t>
            </w:r>
          </w:p>
        </w:tc>
        <w:tc>
          <w:tcPr>
            <w:tcW w:w="1585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  <w:tc>
          <w:tcPr>
            <w:tcW w:w="979" w:type="dxa"/>
            <w:shd w:val="clear" w:color="auto" w:fill="auto"/>
          </w:tcPr>
          <w:p w:rsidR="00C82356" w:rsidRDefault="00C82356">
            <w:pPr>
              <w:spacing w:line="276" w:lineRule="auto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</w:tr>
    </w:tbl>
    <w:p w:rsidR="00C82356" w:rsidRDefault="00B20B55">
      <w:pPr>
        <w:rPr>
          <w:rFonts w:ascii="Times New Roman" w:eastAsia="宋体" w:hAnsi="Times New Roman"/>
        </w:rPr>
      </w:pPr>
      <w:r>
        <w:rPr>
          <w:rFonts w:ascii="Times New Roman" w:hAnsi="Times New Roman"/>
          <w:szCs w:val="21"/>
        </w:rPr>
        <w:t>†</w:t>
      </w:r>
      <w:r>
        <w:rPr>
          <w:rFonts w:ascii="Times New Roman" w:eastAsia="宋体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Thirty-nine patients with available genotype data were analyzed.</w:t>
      </w:r>
    </w:p>
    <w:p w:rsidR="00C82356" w:rsidRDefault="00B20B55">
      <w:pPr>
        <w:rPr>
          <w:rFonts w:ascii="Times New Roman" w:eastAsia="宋体" w:hAnsi="Times New Roman"/>
        </w:rPr>
      </w:pPr>
      <w:proofErr w:type="spellStart"/>
      <w:r>
        <w:rPr>
          <w:rFonts w:ascii="Times New Roman" w:hAnsi="Times New Roman"/>
          <w:szCs w:val="21"/>
        </w:rPr>
        <w:t>Abbrevation</w:t>
      </w:r>
      <w:proofErr w:type="spellEnd"/>
      <w:r>
        <w:rPr>
          <w:rFonts w:ascii="Times New Roman" w:hAnsi="Times New Roman"/>
          <w:szCs w:val="21"/>
        </w:rPr>
        <w:t xml:space="preserve">: </w:t>
      </w:r>
      <w:proofErr w:type="spellStart"/>
      <w:r>
        <w:rPr>
          <w:rFonts w:ascii="Times New Roman" w:hAnsi="Times New Roman"/>
          <w:szCs w:val="21"/>
        </w:rPr>
        <w:t>ADV</w:t>
      </w:r>
      <w:proofErr w:type="spellEnd"/>
      <w:r>
        <w:rPr>
          <w:rFonts w:ascii="Times New Roman" w:hAnsi="Times New Roman"/>
          <w:szCs w:val="21"/>
        </w:rPr>
        <w:t xml:space="preserve">, </w:t>
      </w:r>
      <w:proofErr w:type="spellStart"/>
      <w:r>
        <w:rPr>
          <w:rFonts w:ascii="Times New Roman" w:hAnsi="Times New Roman"/>
          <w:szCs w:val="21"/>
        </w:rPr>
        <w:t>Adefovir</w:t>
      </w:r>
      <w:proofErr w:type="spellEnd"/>
      <w:r>
        <w:rPr>
          <w:rFonts w:ascii="Times New Roman" w:hAnsi="Times New Roman"/>
          <w:szCs w:val="21"/>
        </w:rPr>
        <w:t xml:space="preserve">; ALP, </w:t>
      </w:r>
      <w:hyperlink r:id="rId15" w:history="1">
        <w:r>
          <w:rPr>
            <w:rFonts w:ascii="Times New Roman" w:hAnsi="Times New Roman"/>
            <w:szCs w:val="21"/>
          </w:rPr>
          <w:t>alkaline</w:t>
        </w:r>
      </w:hyperlink>
      <w:r>
        <w:rPr>
          <w:rFonts w:ascii="Times New Roman" w:hAnsi="Times New Roman"/>
        </w:rPr>
        <w:t xml:space="preserve"> </w:t>
      </w:r>
      <w:hyperlink r:id="rId16" w:history="1">
        <w:r>
          <w:rPr>
            <w:rFonts w:ascii="Times New Roman" w:hAnsi="Times New Roman"/>
            <w:szCs w:val="21"/>
          </w:rPr>
          <w:t>phosphatase</w:t>
        </w:r>
      </w:hyperlink>
      <w:r>
        <w:rPr>
          <w:rFonts w:ascii="Times New Roman" w:hAnsi="Times New Roman"/>
        </w:rPr>
        <w:t>;</w:t>
      </w:r>
      <w:r>
        <w:rPr>
          <w:rFonts w:ascii="Times New Roman" w:hAnsi="Times New Roman"/>
          <w:szCs w:val="21"/>
        </w:rPr>
        <w:t xml:space="preserve"> ALT, alanine aminotransferase; AST, aspartate aminotransferase; BMI, body mass index; cccDNA, covalently closed circular DNA; </w:t>
      </w:r>
      <w:proofErr w:type="spellStart"/>
      <w:r>
        <w:rPr>
          <w:rFonts w:ascii="Times New Roman" w:hAnsi="Times New Roman"/>
          <w:szCs w:val="21"/>
        </w:rPr>
        <w:t>ETV</w:t>
      </w:r>
      <w:proofErr w:type="spellEnd"/>
      <w:r>
        <w:rPr>
          <w:rFonts w:ascii="Times New Roman" w:hAnsi="Times New Roman"/>
          <w:szCs w:val="21"/>
        </w:rPr>
        <w:t xml:space="preserve">, </w:t>
      </w:r>
      <w:proofErr w:type="spellStart"/>
      <w:r>
        <w:rPr>
          <w:rFonts w:ascii="Times New Roman" w:hAnsi="Times New Roman"/>
          <w:szCs w:val="21"/>
        </w:rPr>
        <w:t>Entecavir</w:t>
      </w:r>
      <w:proofErr w:type="spellEnd"/>
      <w:r>
        <w:rPr>
          <w:rFonts w:ascii="Times New Roman" w:hAnsi="Times New Roman"/>
          <w:szCs w:val="21"/>
        </w:rPr>
        <w:t xml:space="preserve">; HBV, hepatitis B virus; HBV RNA, hepatitis B virus ribonucleic acid; HBcrAg, hepatitis B core-related antigen; HBeAg, hepatitis B e antigen; HBsAg, hepatitis B surface antigen; NAs, nucleos(t)ide analogues; </w:t>
      </w:r>
      <w:proofErr w:type="spellStart"/>
      <w:r>
        <w:rPr>
          <w:rFonts w:ascii="Times New Roman" w:hAnsi="Times New Roman"/>
          <w:szCs w:val="21"/>
        </w:rPr>
        <w:t>TBIL</w:t>
      </w:r>
      <w:proofErr w:type="spellEnd"/>
      <w:r>
        <w:rPr>
          <w:rFonts w:ascii="Times New Roman" w:hAnsi="Times New Roman"/>
          <w:szCs w:val="21"/>
        </w:rPr>
        <w:t xml:space="preserve">, </w:t>
      </w:r>
      <w:hyperlink r:id="rId17" w:history="1">
        <w:r>
          <w:rPr>
            <w:rFonts w:ascii="Times New Roman" w:hAnsi="Times New Roman"/>
          </w:rPr>
          <w:t>total bilirubin</w:t>
        </w:r>
      </w:hyperlink>
      <w:r>
        <w:rPr>
          <w:rFonts w:ascii="Times New Roman" w:hAnsi="Times New Roman"/>
          <w:szCs w:val="21"/>
        </w:rPr>
        <w:t>.</w:t>
      </w:r>
    </w:p>
    <w:p w:rsidR="00C82356" w:rsidRDefault="00B20B55">
      <w:pPr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 w:type="page"/>
      </w:r>
    </w:p>
    <w:p w:rsidR="00C82356" w:rsidRDefault="00C82356">
      <w:pPr>
        <w:rPr>
          <w:rFonts w:ascii="Times New Roman" w:eastAsia="宋体" w:hAnsi="Times New Roman"/>
        </w:rPr>
        <w:sectPr w:rsidR="00C82356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C82356" w:rsidRDefault="00B20B55">
      <w:pPr>
        <w:spacing w:line="360" w:lineRule="auto"/>
        <w:jc w:val="left"/>
        <w:rPr>
          <w:rFonts w:ascii="Times New Roman" w:eastAsia="宋体" w:hAnsi="Times New Roman"/>
          <w:b/>
          <w:bCs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eastAsia="宋体" w:hAnsi="Times New Roman"/>
          <w:b/>
          <w:bCs/>
          <w:sz w:val="24"/>
          <w:szCs w:val="24"/>
        </w:rPr>
        <w:t>Table 3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r>
        <w:rPr>
          <w:rFonts w:ascii="Times New Roman" w:eastAsia="宋体" w:hAnsi="Times New Roman"/>
          <w:b/>
          <w:bCs/>
          <w:sz w:val="24"/>
          <w:szCs w:val="24"/>
        </w:rPr>
        <w:t xml:space="preserve"> Comparison of 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decreased value of clinical variables after 6 or 12 months treatment </w:t>
      </w:r>
      <w:r>
        <w:rPr>
          <w:rFonts w:ascii="Times New Roman" w:eastAsia="宋体" w:hAnsi="Times New Roman"/>
          <w:b/>
          <w:bCs/>
          <w:sz w:val="24"/>
          <w:szCs w:val="24"/>
        </w:rPr>
        <w:t>between HBeAg clearance/non-clearance and seroconversion/non-seroconversion</w:t>
      </w:r>
    </w:p>
    <w:tbl>
      <w:tblPr>
        <w:tblW w:w="930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4"/>
        <w:gridCol w:w="1305"/>
        <w:gridCol w:w="1995"/>
        <w:gridCol w:w="2430"/>
        <w:gridCol w:w="1161"/>
      </w:tblGrid>
      <w:tr w:rsidR="00C82356">
        <w:trPr>
          <w:trHeight w:val="16"/>
        </w:trPr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2356" w:rsidRDefault="00B20B55">
            <w:pPr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Variables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Total</w:t>
            </w:r>
          </w:p>
          <w:p w:rsidR="00C82356" w:rsidRDefault="00B20B55">
            <w:pPr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Patients (n=83)</w:t>
            </w: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2356" w:rsidRDefault="00B20B55">
            <w:pPr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HBeAg clearance/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seroconversion</w:t>
            </w:r>
          </w:p>
          <w:p w:rsidR="00C82356" w:rsidRDefault="00B20B55">
            <w:pPr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 xml:space="preserve"> (n=53/37)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2356" w:rsidRDefault="00B20B55">
            <w:pPr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HBeAg non-</w:t>
            </w:r>
            <w:proofErr w:type="spellStart"/>
            <w:r>
              <w:rPr>
                <w:rFonts w:ascii="Times New Roman" w:eastAsia="宋体" w:hAnsi="Times New Roman"/>
                <w:sz w:val="24"/>
                <w:szCs w:val="24"/>
              </w:rPr>
              <w:t>clerance</w:t>
            </w:r>
            <w:proofErr w:type="spellEnd"/>
            <w:r>
              <w:rPr>
                <w:rFonts w:ascii="Times New Roman" w:eastAsia="宋体" w:hAnsi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non-seroconversion (n=30/46)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2356" w:rsidRDefault="00B20B55">
            <w:pPr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i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/>
                <w:sz w:val="24"/>
                <w:szCs w:val="24"/>
              </w:rPr>
              <w:t xml:space="preserve"> value†</w:t>
            </w:r>
          </w:p>
        </w:tc>
      </w:tr>
      <w:tr w:rsidR="00C82356">
        <w:trPr>
          <w:trHeight w:val="16"/>
        </w:trPr>
        <w:tc>
          <w:tcPr>
            <w:tcW w:w="9305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82356" w:rsidRDefault="00B20B55">
            <w:pPr>
              <w:jc w:val="left"/>
              <w:rPr>
                <w:rFonts w:ascii="Times New Roman" w:eastAsia="宋体" w:hAnsi="Times New Roman"/>
                <w:i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HBeAg clearance</w:t>
            </w:r>
          </w:p>
        </w:tc>
      </w:tr>
      <w:tr w:rsidR="00C82356">
        <w:trPr>
          <w:trHeight w:val="16"/>
        </w:trPr>
        <w:tc>
          <w:tcPr>
            <w:tcW w:w="9305" w:type="dxa"/>
            <w:gridSpan w:val="5"/>
            <w:tcBorders>
              <w:top w:val="nil"/>
              <w:bottom w:val="nil"/>
            </w:tcBorders>
            <w:shd w:val="clear" w:color="auto" w:fill="auto"/>
          </w:tcPr>
          <w:p w:rsidR="00C82356" w:rsidRDefault="00B20B55">
            <w:pPr>
              <w:jc w:val="left"/>
              <w:rPr>
                <w:rFonts w:ascii="Times New Roman" w:eastAsia="宋体" w:hAnsi="Times New Roman"/>
                <w:i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Decrease after 6 months treatment</w:t>
            </w:r>
          </w:p>
        </w:tc>
      </w:tr>
      <w:tr w:rsidR="00C82356">
        <w:trPr>
          <w:trHeight w:val="16"/>
        </w:trPr>
        <w:tc>
          <w:tcPr>
            <w:tcW w:w="2414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HBsAg (Baseline-6m) </w:t>
            </w:r>
            <w:r>
              <w:rPr>
                <w:rFonts w:ascii="Times New Roman" w:hAnsi="Times New Roman"/>
                <w:sz w:val="24"/>
                <w:szCs w:val="24"/>
              </w:rPr>
              <w:t>(log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IU/mL)</w:t>
            </w:r>
          </w:p>
        </w:tc>
        <w:tc>
          <w:tcPr>
            <w:tcW w:w="1305" w:type="dxa"/>
            <w:tcBorders>
              <w:top w:val="nil"/>
            </w:tcBorders>
          </w:tcPr>
          <w:p w:rsidR="00C82356" w:rsidRDefault="00B20B55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0.05±0.56</w:t>
            </w:r>
          </w:p>
        </w:tc>
        <w:tc>
          <w:tcPr>
            <w:tcW w:w="1995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-0.41±0.60</w:t>
            </w:r>
          </w:p>
        </w:tc>
        <w:tc>
          <w:tcPr>
            <w:tcW w:w="2430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0.19±0.46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0.023</w:t>
            </w:r>
          </w:p>
        </w:tc>
      </w:tr>
      <w:tr w:rsidR="00C82356">
        <w:trPr>
          <w:trHeight w:val="16"/>
        </w:trPr>
        <w:tc>
          <w:tcPr>
            <w:tcW w:w="2414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HBV DNA (Baseline-6m) </w:t>
            </w:r>
            <w:r>
              <w:rPr>
                <w:rFonts w:ascii="Times New Roman" w:hAnsi="Times New Roman"/>
                <w:sz w:val="24"/>
                <w:szCs w:val="24"/>
              </w:rPr>
              <w:t>(log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IU/mL)</w:t>
            </w:r>
          </w:p>
        </w:tc>
        <w:tc>
          <w:tcPr>
            <w:tcW w:w="1305" w:type="dxa"/>
          </w:tcPr>
          <w:p w:rsidR="00C82356" w:rsidRDefault="00B20B55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3.37±1.85</w:t>
            </w:r>
          </w:p>
        </w:tc>
        <w:tc>
          <w:tcPr>
            <w:tcW w:w="1995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3.10±1.70</w:t>
            </w:r>
          </w:p>
        </w:tc>
        <w:tc>
          <w:tcPr>
            <w:tcW w:w="2430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3.42±2.07</w:t>
            </w:r>
          </w:p>
        </w:tc>
        <w:tc>
          <w:tcPr>
            <w:tcW w:w="1161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0.480</w:t>
            </w:r>
          </w:p>
        </w:tc>
      </w:tr>
      <w:tr w:rsidR="00C82356">
        <w:trPr>
          <w:trHeight w:val="16"/>
        </w:trPr>
        <w:tc>
          <w:tcPr>
            <w:tcW w:w="2414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HBV RNA (Baseline-6m) </w:t>
            </w:r>
            <w:r>
              <w:rPr>
                <w:rFonts w:ascii="Times New Roman" w:hAnsi="Times New Roman"/>
                <w:sz w:val="24"/>
                <w:szCs w:val="24"/>
              </w:rPr>
              <w:t>(log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copies/mL)</w:t>
            </w:r>
          </w:p>
        </w:tc>
        <w:tc>
          <w:tcPr>
            <w:tcW w:w="1305" w:type="dxa"/>
          </w:tcPr>
          <w:p w:rsidR="00C82356" w:rsidRDefault="00B20B55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0.94±1.23</w:t>
            </w:r>
          </w:p>
        </w:tc>
        <w:tc>
          <w:tcPr>
            <w:tcW w:w="1995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0.95±1.14</w:t>
            </w:r>
          </w:p>
        </w:tc>
        <w:tc>
          <w:tcPr>
            <w:tcW w:w="2430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0.55±0.88</w:t>
            </w:r>
          </w:p>
        </w:tc>
        <w:tc>
          <w:tcPr>
            <w:tcW w:w="1161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0.041</w:t>
            </w:r>
          </w:p>
        </w:tc>
      </w:tr>
      <w:tr w:rsidR="00C82356">
        <w:trPr>
          <w:trHeight w:val="16"/>
        </w:trPr>
        <w:tc>
          <w:tcPr>
            <w:tcW w:w="2414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HBcrAg(Baseline-6m) 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(log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 xml:space="preserve"> U/mL )</w:t>
            </w:r>
          </w:p>
        </w:tc>
        <w:tc>
          <w:tcPr>
            <w:tcW w:w="1305" w:type="dxa"/>
          </w:tcPr>
          <w:p w:rsidR="00C82356" w:rsidRDefault="00B20B5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0.51±0.88</w:t>
            </w:r>
          </w:p>
        </w:tc>
        <w:tc>
          <w:tcPr>
            <w:tcW w:w="1995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0.66±0.91</w:t>
            </w:r>
          </w:p>
        </w:tc>
        <w:tc>
          <w:tcPr>
            <w:tcW w:w="2430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0.37±0.98</w:t>
            </w:r>
          </w:p>
        </w:tc>
        <w:tc>
          <w:tcPr>
            <w:tcW w:w="1161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0.445</w:t>
            </w:r>
          </w:p>
        </w:tc>
      </w:tr>
      <w:tr w:rsidR="00C82356">
        <w:trPr>
          <w:trHeight w:val="16"/>
        </w:trPr>
        <w:tc>
          <w:tcPr>
            <w:tcW w:w="9305" w:type="dxa"/>
            <w:gridSpan w:val="5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Decrease after 12 months treatment</w:t>
            </w:r>
          </w:p>
        </w:tc>
      </w:tr>
      <w:tr w:rsidR="00C82356">
        <w:trPr>
          <w:trHeight w:val="16"/>
        </w:trPr>
        <w:tc>
          <w:tcPr>
            <w:tcW w:w="2414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HBV DNA (Baseline-12m) </w:t>
            </w:r>
            <w:r>
              <w:rPr>
                <w:rFonts w:ascii="Times New Roman" w:hAnsi="Times New Roman"/>
                <w:sz w:val="24"/>
                <w:szCs w:val="24"/>
              </w:rPr>
              <w:t>(log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IU/mL)</w:t>
            </w:r>
          </w:p>
        </w:tc>
        <w:tc>
          <w:tcPr>
            <w:tcW w:w="1305" w:type="dxa"/>
          </w:tcPr>
          <w:p w:rsidR="00C82356" w:rsidRDefault="00B20B5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3.65±2.02</w:t>
            </w:r>
          </w:p>
        </w:tc>
        <w:tc>
          <w:tcPr>
            <w:tcW w:w="1995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3.52±2.06</w:t>
            </w:r>
          </w:p>
        </w:tc>
        <w:tc>
          <w:tcPr>
            <w:tcW w:w="2430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3.87±1.96</w:t>
            </w:r>
          </w:p>
        </w:tc>
        <w:tc>
          <w:tcPr>
            <w:tcW w:w="1161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0.454</w:t>
            </w:r>
          </w:p>
        </w:tc>
      </w:tr>
      <w:tr w:rsidR="00C82356">
        <w:trPr>
          <w:trHeight w:val="16"/>
        </w:trPr>
        <w:tc>
          <w:tcPr>
            <w:tcW w:w="2414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HBV RNA (Baseline-12m) </w:t>
            </w:r>
            <w:r>
              <w:rPr>
                <w:rFonts w:ascii="Times New Roman" w:hAnsi="Times New Roman"/>
                <w:sz w:val="24"/>
                <w:szCs w:val="24"/>
              </w:rPr>
              <w:t>(log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copies/mL)</w:t>
            </w:r>
          </w:p>
        </w:tc>
        <w:tc>
          <w:tcPr>
            <w:tcW w:w="1305" w:type="dxa"/>
          </w:tcPr>
          <w:p w:rsidR="00C82356" w:rsidRDefault="00B20B5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1.22±1.51</w:t>
            </w:r>
          </w:p>
        </w:tc>
        <w:tc>
          <w:tcPr>
            <w:tcW w:w="1995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1.37±1.66</w:t>
            </w:r>
          </w:p>
        </w:tc>
        <w:tc>
          <w:tcPr>
            <w:tcW w:w="2430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0.97±1.19</w:t>
            </w:r>
          </w:p>
        </w:tc>
        <w:tc>
          <w:tcPr>
            <w:tcW w:w="1161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0.337</w:t>
            </w:r>
          </w:p>
        </w:tc>
      </w:tr>
      <w:tr w:rsidR="00C82356">
        <w:trPr>
          <w:trHeight w:val="16"/>
        </w:trPr>
        <w:tc>
          <w:tcPr>
            <w:tcW w:w="9305" w:type="dxa"/>
            <w:gridSpan w:val="5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HBeAg seroconversion</w:t>
            </w:r>
          </w:p>
        </w:tc>
      </w:tr>
      <w:tr w:rsidR="00C82356">
        <w:trPr>
          <w:trHeight w:val="16"/>
        </w:trPr>
        <w:tc>
          <w:tcPr>
            <w:tcW w:w="9305" w:type="dxa"/>
            <w:gridSpan w:val="5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Decrease after 6 months treatment</w:t>
            </w:r>
          </w:p>
        </w:tc>
      </w:tr>
      <w:tr w:rsidR="00C82356">
        <w:trPr>
          <w:trHeight w:val="16"/>
        </w:trPr>
        <w:tc>
          <w:tcPr>
            <w:tcW w:w="2414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HBsAg (Baseline-6m) (log</w:t>
            </w: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 xml:space="preserve"> IU/mL)</w:t>
            </w:r>
          </w:p>
        </w:tc>
        <w:tc>
          <w:tcPr>
            <w:tcW w:w="1305" w:type="dxa"/>
          </w:tcPr>
          <w:p w:rsidR="00C82356" w:rsidRDefault="00B20B55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995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-0.02±0.38</w:t>
            </w:r>
          </w:p>
        </w:tc>
        <w:tc>
          <w:tcPr>
            <w:tcW w:w="2430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0.11±0.66</w:t>
            </w:r>
          </w:p>
        </w:tc>
        <w:tc>
          <w:tcPr>
            <w:tcW w:w="1161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0.245</w:t>
            </w:r>
          </w:p>
        </w:tc>
      </w:tr>
      <w:tr w:rsidR="00C82356">
        <w:trPr>
          <w:trHeight w:val="16"/>
        </w:trPr>
        <w:tc>
          <w:tcPr>
            <w:tcW w:w="2414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HBV DNA (Baseline-6m) (log</w:t>
            </w: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 xml:space="preserve"> IU/mL)</w:t>
            </w:r>
          </w:p>
        </w:tc>
        <w:tc>
          <w:tcPr>
            <w:tcW w:w="1305" w:type="dxa"/>
          </w:tcPr>
          <w:p w:rsidR="00C82356" w:rsidRDefault="00B20B55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995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3.23±1.87</w:t>
            </w:r>
          </w:p>
        </w:tc>
        <w:tc>
          <w:tcPr>
            <w:tcW w:w="2430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3.49±1.86</w:t>
            </w:r>
          </w:p>
        </w:tc>
        <w:tc>
          <w:tcPr>
            <w:tcW w:w="1161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0.530</w:t>
            </w:r>
          </w:p>
        </w:tc>
      </w:tr>
      <w:tr w:rsidR="00C82356">
        <w:trPr>
          <w:trHeight w:val="16"/>
        </w:trPr>
        <w:tc>
          <w:tcPr>
            <w:tcW w:w="2414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 xml:space="preserve">HBV RNA (Baseline-6m) </w:t>
            </w:r>
            <w:r>
              <w:rPr>
                <w:rFonts w:ascii="Times New Roman" w:hAnsi="Times New Roman"/>
                <w:sz w:val="24"/>
                <w:szCs w:val="24"/>
              </w:rPr>
              <w:t>(log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copies/mL)</w:t>
            </w:r>
          </w:p>
        </w:tc>
        <w:tc>
          <w:tcPr>
            <w:tcW w:w="1305" w:type="dxa"/>
          </w:tcPr>
          <w:p w:rsidR="00C82356" w:rsidRDefault="00B20B55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995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1.23±1.43</w:t>
            </w:r>
          </w:p>
        </w:tc>
        <w:tc>
          <w:tcPr>
            <w:tcW w:w="2430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0.70±1.00</w:t>
            </w:r>
          </w:p>
        </w:tc>
        <w:tc>
          <w:tcPr>
            <w:tcW w:w="1161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0.089</w:t>
            </w:r>
          </w:p>
        </w:tc>
      </w:tr>
      <w:tr w:rsidR="00C82356">
        <w:trPr>
          <w:trHeight w:val="16"/>
        </w:trPr>
        <w:tc>
          <w:tcPr>
            <w:tcW w:w="2414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HBcrAg (Baseline-6m) (log</w:t>
            </w: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 xml:space="preserve"> U/mL)</w:t>
            </w:r>
          </w:p>
        </w:tc>
        <w:tc>
          <w:tcPr>
            <w:tcW w:w="1305" w:type="dxa"/>
          </w:tcPr>
          <w:p w:rsidR="00C82356" w:rsidRDefault="00B20B55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995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0.70±0.94</w:t>
            </w:r>
          </w:p>
        </w:tc>
        <w:tc>
          <w:tcPr>
            <w:tcW w:w="2430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0.38±0.83</w:t>
            </w:r>
          </w:p>
        </w:tc>
        <w:tc>
          <w:tcPr>
            <w:tcW w:w="1161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0.431</w:t>
            </w:r>
          </w:p>
        </w:tc>
      </w:tr>
      <w:tr w:rsidR="00C82356">
        <w:trPr>
          <w:trHeight w:val="16"/>
        </w:trPr>
        <w:tc>
          <w:tcPr>
            <w:tcW w:w="9305" w:type="dxa"/>
            <w:gridSpan w:val="5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Decrease after 12 months treatment</w:t>
            </w:r>
          </w:p>
        </w:tc>
      </w:tr>
      <w:tr w:rsidR="00C82356">
        <w:trPr>
          <w:trHeight w:val="16"/>
        </w:trPr>
        <w:tc>
          <w:tcPr>
            <w:tcW w:w="2414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HBV DNA (Baseline-12m) (log</w:t>
            </w: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 xml:space="preserve"> IU/mL)</w:t>
            </w:r>
          </w:p>
        </w:tc>
        <w:tc>
          <w:tcPr>
            <w:tcW w:w="1305" w:type="dxa"/>
          </w:tcPr>
          <w:p w:rsidR="00C82356" w:rsidRDefault="00B20B55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995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3.56±2.10</w:t>
            </w:r>
          </w:p>
        </w:tc>
        <w:tc>
          <w:tcPr>
            <w:tcW w:w="2430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3.72±1.98</w:t>
            </w:r>
          </w:p>
        </w:tc>
        <w:tc>
          <w:tcPr>
            <w:tcW w:w="1161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0.723</w:t>
            </w:r>
          </w:p>
        </w:tc>
      </w:tr>
      <w:tr w:rsidR="00C82356">
        <w:trPr>
          <w:trHeight w:val="16"/>
        </w:trPr>
        <w:tc>
          <w:tcPr>
            <w:tcW w:w="2414" w:type="dxa"/>
            <w:shd w:val="clear" w:color="auto" w:fill="auto"/>
          </w:tcPr>
          <w:p w:rsidR="00C82356" w:rsidRDefault="00B20B55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 xml:space="preserve">HBV RNA (Baseline-12m) </w:t>
            </w:r>
            <w:r>
              <w:rPr>
                <w:rFonts w:ascii="Times New Roman" w:hAnsi="Times New Roman"/>
                <w:sz w:val="24"/>
                <w:szCs w:val="24"/>
              </w:rPr>
              <w:t>(log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copies/mL)</w:t>
            </w:r>
          </w:p>
        </w:tc>
        <w:tc>
          <w:tcPr>
            <w:tcW w:w="1305" w:type="dxa"/>
          </w:tcPr>
          <w:p w:rsidR="00C82356" w:rsidRDefault="00B20B55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995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1.48±1.76</w:t>
            </w:r>
          </w:p>
        </w:tc>
        <w:tc>
          <w:tcPr>
            <w:tcW w:w="2430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1.03±1.28</w:t>
            </w:r>
          </w:p>
        </w:tc>
        <w:tc>
          <w:tcPr>
            <w:tcW w:w="1161" w:type="dxa"/>
            <w:shd w:val="clear" w:color="auto" w:fill="auto"/>
          </w:tcPr>
          <w:p w:rsidR="00C82356" w:rsidRDefault="00B20B55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0.336</w:t>
            </w:r>
          </w:p>
        </w:tc>
      </w:tr>
    </w:tbl>
    <w:p w:rsidR="00C82356" w:rsidRDefault="00B20B55">
      <w:pPr>
        <w:jc w:val="left"/>
        <w:rPr>
          <w:rFonts w:ascii="Times New Roman" w:eastAsia="宋体" w:hAnsi="Times New Roman"/>
          <w:sz w:val="22"/>
        </w:rPr>
      </w:pPr>
      <w:r>
        <w:rPr>
          <w:rFonts w:ascii="Times New Roman" w:eastAsia="宋体" w:hAnsi="Times New Roman"/>
          <w:sz w:val="22"/>
        </w:rPr>
        <w:t>†P values are acquired between HBeAg clearance/seroconversion and non-clearance/</w:t>
      </w:r>
      <w:r>
        <w:rPr>
          <w:rFonts w:ascii="Times New Roman" w:eastAsia="宋体" w:hAnsi="Times New Roman" w:hint="eastAsia"/>
          <w:sz w:val="22"/>
        </w:rPr>
        <w:t xml:space="preserve"> </w:t>
      </w:r>
      <w:r>
        <w:rPr>
          <w:rFonts w:ascii="Times New Roman" w:eastAsia="宋体" w:hAnsi="Times New Roman"/>
          <w:sz w:val="22"/>
        </w:rPr>
        <w:t>non-seroconversion.</w:t>
      </w:r>
    </w:p>
    <w:p w:rsidR="00C82356" w:rsidRDefault="00B20B55">
      <w:pPr>
        <w:rPr>
          <w:rFonts w:ascii="Times New Roman" w:eastAsia="宋体" w:hAnsi="Times New Roman"/>
          <w:sz w:val="22"/>
        </w:rPr>
      </w:pPr>
      <w:proofErr w:type="spellStart"/>
      <w:r>
        <w:rPr>
          <w:rFonts w:ascii="Times New Roman" w:hAnsi="Times New Roman"/>
          <w:sz w:val="22"/>
        </w:rPr>
        <w:t>Abbrevation</w:t>
      </w:r>
      <w:proofErr w:type="spellEnd"/>
      <w:r>
        <w:rPr>
          <w:rFonts w:ascii="Times New Roman" w:hAnsi="Times New Roman"/>
          <w:sz w:val="22"/>
        </w:rPr>
        <w:t>: HBV, hepatitis B virus; HBV RNA, hepatitis B virus ribonucleic acid; HBcrAg, hepatitis B core-related antigen; HBeAg, hepatitis B e antigen; HBsAg, hepatitis B surface antigen.</w:t>
      </w:r>
    </w:p>
    <w:p w:rsidR="00C82356" w:rsidRDefault="00C82356">
      <w:pPr>
        <w:rPr>
          <w:rFonts w:ascii="Times New Roman" w:hAnsi="Times New Roman"/>
          <w:sz w:val="24"/>
          <w:szCs w:val="24"/>
        </w:rPr>
        <w:sectPr w:rsidR="00C82356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C82356" w:rsidRDefault="00B20B55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/>
          <w:b/>
          <w:bCs/>
          <w:sz w:val="24"/>
          <w:szCs w:val="24"/>
        </w:rPr>
        <w:t>Table 4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ROC analysis of baseline indicators related to HBeAg clearance and seroconversion</w:t>
      </w:r>
    </w:p>
    <w:tbl>
      <w:tblPr>
        <w:tblStyle w:val="a6"/>
        <w:tblW w:w="86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993"/>
        <w:gridCol w:w="952"/>
        <w:gridCol w:w="591"/>
        <w:gridCol w:w="739"/>
        <w:gridCol w:w="739"/>
        <w:gridCol w:w="679"/>
      </w:tblGrid>
      <w:tr w:rsidR="00C82356">
        <w:trPr>
          <w:trHeight w:val="313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Variable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AUC(95%CI)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value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Cut-off value</w:t>
            </w:r>
          </w:p>
        </w:tc>
        <w:tc>
          <w:tcPr>
            <w:tcW w:w="591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Sp</w:t>
            </w:r>
            <w:proofErr w:type="spellEnd"/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PLR</w:t>
            </w:r>
          </w:p>
        </w:tc>
        <w:tc>
          <w:tcPr>
            <w:tcW w:w="679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NLR</w:t>
            </w:r>
            <w:proofErr w:type="spellEnd"/>
          </w:p>
        </w:tc>
      </w:tr>
      <w:tr w:rsidR="00C82356">
        <w:trPr>
          <w:trHeight w:val="313"/>
        </w:trPr>
        <w:tc>
          <w:tcPr>
            <w:tcW w:w="8662" w:type="dxa"/>
            <w:gridSpan w:val="8"/>
            <w:tcBorders>
              <w:top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HBeAg clearance</w:t>
            </w:r>
          </w:p>
        </w:tc>
      </w:tr>
      <w:tr w:rsidR="00C82356">
        <w:trPr>
          <w:trHeight w:val="313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HBsAg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0.776(0.631-0.885)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0.0003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0.89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0.65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2.54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0.17</w:t>
            </w:r>
          </w:p>
        </w:tc>
      </w:tr>
      <w:tr w:rsidR="00C82356">
        <w:trPr>
          <w:trHeight w:val="313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HBV DNA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0.726(0.618-0.819)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7.41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0.74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0.73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2.76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0.36</w:t>
            </w:r>
          </w:p>
        </w:tc>
      </w:tr>
      <w:tr w:rsidR="00C82356">
        <w:trPr>
          <w:trHeight w:val="239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HBV RNA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0.811(0.704-0.893)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5.43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0.68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0.81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3.68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0.39</w:t>
            </w:r>
          </w:p>
        </w:tc>
      </w:tr>
      <w:tr w:rsidR="00C82356">
        <w:trPr>
          <w:trHeight w:val="313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HBcrAg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0.781(0.633-0.891)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7.00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0.65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0.84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4.14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0.41</w:t>
            </w:r>
          </w:p>
        </w:tc>
      </w:tr>
      <w:tr w:rsidR="00C82356">
        <w:trPr>
          <w:trHeight w:val="143"/>
        </w:trPr>
        <w:tc>
          <w:tcPr>
            <w:tcW w:w="8662" w:type="dxa"/>
            <w:gridSpan w:val="8"/>
          </w:tcPr>
          <w:p w:rsidR="00C82356" w:rsidRDefault="00B20B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Combined prediction of HBeAg clearance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HBV RNA, HBV DNA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0.816(0.708-0.896)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0.51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0.81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0.67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2.43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0.29</w:t>
            </w:r>
          </w:p>
        </w:tc>
      </w:tr>
      <w:tr w:rsidR="00C82356">
        <w:trPr>
          <w:trHeight w:val="323"/>
        </w:trPr>
        <w:tc>
          <w:tcPr>
            <w:tcW w:w="8662" w:type="dxa"/>
            <w:gridSpan w:val="8"/>
          </w:tcPr>
          <w:p w:rsidR="00C82356" w:rsidRDefault="00B20B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HBeAg seroconversion</w:t>
            </w:r>
          </w:p>
        </w:tc>
      </w:tr>
      <w:tr w:rsidR="00C82356">
        <w:trPr>
          <w:trHeight w:val="274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HBsAg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0.644(0.491-0.779)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0.0866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3.98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0.56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1.80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0.36</w:t>
            </w:r>
          </w:p>
        </w:tc>
      </w:tr>
      <w:tr w:rsidR="00C82356">
        <w:trPr>
          <w:trHeight w:val="34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HBV DNA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0.650(0.538-0.752)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0.0141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7.56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0.78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0.56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1.80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0.38</w:t>
            </w:r>
          </w:p>
        </w:tc>
      </w:tr>
      <w:tr w:rsidR="00C82356">
        <w:trPr>
          <w:trHeight w:val="223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HBV RNA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0.676(0.557-0.780)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0.0049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5.78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0.72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0.57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1.68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0.49</w:t>
            </w:r>
          </w:p>
        </w:tc>
      </w:tr>
      <w:tr w:rsidR="00C82356">
        <w:trPr>
          <w:trHeight w:val="25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HBcrAg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0.647(0.491-0.784)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0.1056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5.82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0.39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0.93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5.25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0.66</w:t>
            </w:r>
          </w:p>
        </w:tc>
      </w:tr>
      <w:tr w:rsidR="00C82356">
        <w:trPr>
          <w:trHeight w:val="251"/>
        </w:trPr>
        <w:tc>
          <w:tcPr>
            <w:tcW w:w="8662" w:type="dxa"/>
            <w:gridSpan w:val="8"/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Combined prediction of HBeAg seroconversion</w:t>
            </w:r>
          </w:p>
        </w:tc>
      </w:tr>
      <w:tr w:rsidR="00C82356">
        <w:trPr>
          <w:trHeight w:val="251"/>
        </w:trPr>
        <w:tc>
          <w:tcPr>
            <w:tcW w:w="1985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HBV RNA, HBV DNA, HBsAg, HBcrAg combination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0.773(0.615-0.889)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0.0002</w:t>
            </w:r>
          </w:p>
        </w:tc>
        <w:tc>
          <w:tcPr>
            <w:tcW w:w="952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0.34</w:t>
            </w:r>
          </w:p>
        </w:tc>
        <w:tc>
          <w:tcPr>
            <w:tcW w:w="591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0.83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0.61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2.13</w:t>
            </w:r>
          </w:p>
        </w:tc>
        <w:tc>
          <w:tcPr>
            <w:tcW w:w="679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0.27</w:t>
            </w:r>
          </w:p>
        </w:tc>
      </w:tr>
    </w:tbl>
    <w:p w:rsidR="00C82356" w:rsidRDefault="00B20B55">
      <w:pPr>
        <w:rPr>
          <w:rFonts w:ascii="Times New Roman" w:hAnsi="Times New Roman"/>
          <w:sz w:val="22"/>
        </w:rPr>
      </w:pPr>
      <w:proofErr w:type="spellStart"/>
      <w:r>
        <w:rPr>
          <w:rFonts w:ascii="Times New Roman" w:hAnsi="Times New Roman"/>
          <w:sz w:val="22"/>
        </w:rPr>
        <w:t>Abbrevation</w:t>
      </w:r>
      <w:proofErr w:type="spellEnd"/>
      <w:r>
        <w:rPr>
          <w:rFonts w:ascii="Times New Roman" w:hAnsi="Times New Roman"/>
          <w:sz w:val="22"/>
        </w:rPr>
        <w:t xml:space="preserve">: AUC: area under curve; HBV, hepatitis B virus; CI: confidence interval; HBV RNA, hepatitis B virus ribonucleic acid; HBcrAg, hepatitis B core-related antigen; HBeAg, hepatitis B e antigen; HBsAg, hepatitis B surface antigen; Se: sensitivity; ROC, receiver operating characteristic curve; </w:t>
      </w:r>
      <w:proofErr w:type="spellStart"/>
      <w:r>
        <w:rPr>
          <w:rFonts w:ascii="Times New Roman" w:hAnsi="Times New Roman"/>
          <w:sz w:val="22"/>
        </w:rPr>
        <w:t>Sp</w:t>
      </w:r>
      <w:proofErr w:type="spellEnd"/>
      <w:r>
        <w:rPr>
          <w:rFonts w:ascii="Times New Roman" w:hAnsi="Times New Roman"/>
          <w:sz w:val="22"/>
        </w:rPr>
        <w:t xml:space="preserve">: specificity; PLR: positive likelihood ratio; </w:t>
      </w:r>
      <w:proofErr w:type="spellStart"/>
      <w:r>
        <w:rPr>
          <w:rFonts w:ascii="Times New Roman" w:hAnsi="Times New Roman"/>
          <w:sz w:val="22"/>
        </w:rPr>
        <w:t>NLR</w:t>
      </w:r>
      <w:proofErr w:type="spellEnd"/>
      <w:r>
        <w:rPr>
          <w:rFonts w:ascii="Times New Roman" w:hAnsi="Times New Roman"/>
          <w:sz w:val="22"/>
        </w:rPr>
        <w:t>: negative likelihood ratio.</w:t>
      </w:r>
    </w:p>
    <w:p w:rsidR="00C82356" w:rsidRDefault="00B20B55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:rsidR="00C82356" w:rsidRDefault="00B20B55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hint="eastAsia"/>
          <w:b/>
          <w:bCs/>
          <w:sz w:val="24"/>
          <w:szCs w:val="24"/>
        </w:rPr>
        <w:t>5.</w:t>
      </w:r>
      <w:r>
        <w:rPr>
          <w:rFonts w:ascii="Times New Roman" w:hAnsi="Times New Roman"/>
          <w:b/>
          <w:bCs/>
          <w:sz w:val="24"/>
          <w:szCs w:val="24"/>
        </w:rPr>
        <w:t xml:space="preserve"> ROC analysis of baseline indicators related to HBeAg clearance and seroconversion</w:t>
      </w:r>
    </w:p>
    <w:tbl>
      <w:tblPr>
        <w:tblStyle w:val="12"/>
        <w:tblW w:w="499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9"/>
        <w:gridCol w:w="1939"/>
        <w:gridCol w:w="860"/>
        <w:gridCol w:w="832"/>
        <w:gridCol w:w="658"/>
        <w:gridCol w:w="584"/>
        <w:gridCol w:w="740"/>
        <w:gridCol w:w="637"/>
      </w:tblGrid>
      <w:tr w:rsidR="00C82356">
        <w:trPr>
          <w:trHeight w:val="313"/>
        </w:trPr>
        <w:tc>
          <w:tcPr>
            <w:tcW w:w="1535" w:type="pct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Variable</w:t>
            </w:r>
          </w:p>
        </w:tc>
        <w:tc>
          <w:tcPr>
            <w:tcW w:w="1075" w:type="pct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AUC(95%CI)</w:t>
            </w: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 xml:space="preserve"> value</w:t>
            </w:r>
          </w:p>
        </w:tc>
        <w:tc>
          <w:tcPr>
            <w:tcW w:w="461" w:type="pct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Cut-off value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Se</w:t>
            </w:r>
          </w:p>
        </w:tc>
        <w:tc>
          <w:tcPr>
            <w:tcW w:w="324" w:type="pct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Sp</w:t>
            </w:r>
            <w:proofErr w:type="spellEnd"/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PLR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NLR</w:t>
            </w:r>
            <w:proofErr w:type="spellEnd"/>
          </w:p>
        </w:tc>
      </w:tr>
      <w:tr w:rsidR="00C82356">
        <w:trPr>
          <w:trHeight w:val="143"/>
        </w:trPr>
        <w:tc>
          <w:tcPr>
            <w:tcW w:w="5000" w:type="pct"/>
            <w:gridSpan w:val="8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Combined prediction of HBeAg clearance</w:t>
            </w:r>
          </w:p>
        </w:tc>
      </w:tr>
      <w:tr w:rsidR="00C82356">
        <w:trPr>
          <w:trHeight w:val="261"/>
        </w:trPr>
        <w:tc>
          <w:tcPr>
            <w:tcW w:w="1535" w:type="pct"/>
          </w:tcPr>
          <w:p w:rsidR="00C82356" w:rsidRDefault="00B20B55">
            <w:pPr>
              <w:ind w:left="105" w:hangingChars="50" w:hanging="105"/>
              <w:rPr>
                <w:rFonts w:ascii="Times New Roman" w:hAnsi="Times New Roman"/>
                <w:szCs w:val="21"/>
              </w:rPr>
            </w:pPr>
            <w:bookmarkStart w:id="3" w:name="_Hlk39830275"/>
            <w:r>
              <w:rPr>
                <w:rFonts w:ascii="Times New Roman" w:hAnsi="Times New Roman"/>
                <w:szCs w:val="21"/>
              </w:rPr>
              <w:t>HBV RNA, HBV DNA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0.816 (0.708-0.896)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&lt;0.001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0.51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0.81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0.67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2.43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0.29</w:t>
            </w:r>
          </w:p>
        </w:tc>
      </w:tr>
      <w:bookmarkEnd w:id="3"/>
      <w:tr w:rsidR="00C82356">
        <w:trPr>
          <w:trHeight w:val="26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RNA, HBsAg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0.771 (0.620-0.884)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&lt;0.001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0.62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0.70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0.76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2.99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0.39</w:t>
            </w:r>
          </w:p>
        </w:tc>
      </w:tr>
      <w:tr w:rsidR="00C82356">
        <w:trPr>
          <w:trHeight w:val="26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RNA, HBcrAg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0.798 (0.646-0.906)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&lt;0.001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0.62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0.77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0.75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3.08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0.31</w:t>
            </w:r>
          </w:p>
        </w:tc>
      </w:tr>
      <w:tr w:rsidR="00C82356">
        <w:trPr>
          <w:trHeight w:val="26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DNA, HBsAg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0.739 (0.590-0.856)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0.002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0.50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0.85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0.65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2.43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0.23</w:t>
            </w:r>
          </w:p>
        </w:tc>
      </w:tr>
      <w:tr w:rsidR="00C82356">
        <w:trPr>
          <w:trHeight w:val="26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DNA, HBcrAg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0.783 (0.635-0.892)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&lt;0.001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0.77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0.50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1.00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0.50</w:t>
            </w:r>
          </w:p>
        </w:tc>
      </w:tr>
      <w:tr w:rsidR="00C82356">
        <w:trPr>
          <w:trHeight w:val="26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HBsAg, HBcrAg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0.798 (0.650-0.904)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&lt;0.001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0.64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0.68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0.84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4.31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0.38</w:t>
            </w:r>
          </w:p>
        </w:tc>
      </w:tr>
      <w:tr w:rsidR="00C82356">
        <w:trPr>
          <w:trHeight w:val="26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RNA, HBV DNA, HBsAg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0.778 (0.627-0.889)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&lt;0.001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0.45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0.85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0.58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2.07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0.25</w:t>
            </w:r>
          </w:p>
        </w:tc>
      </w:tr>
      <w:tr w:rsidR="00C82356">
        <w:trPr>
          <w:trHeight w:val="26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RNA, HBV DNA, HBcrAg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0.800 (0.649-0.908)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&lt;0.001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0.80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0.50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1.00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0.50</w:t>
            </w:r>
          </w:p>
        </w:tc>
      </w:tr>
      <w:tr w:rsidR="00C82356">
        <w:trPr>
          <w:trHeight w:val="26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RNA, HBsAg, HBcrAg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0.793 (0.637-0.903)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&lt;0.001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0.61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0.76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0.75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3.04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0.32</w:t>
            </w:r>
          </w:p>
        </w:tc>
      </w:tr>
      <w:tr w:rsidR="00C82356">
        <w:trPr>
          <w:trHeight w:val="26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DNA, HBsAg, HBcrAg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0.798 (0.650-0.904)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&lt;0.001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0.71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0.64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0.95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12.16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0.38</w:t>
            </w:r>
          </w:p>
        </w:tc>
      </w:tr>
      <w:tr w:rsidR="00C82356">
        <w:trPr>
          <w:trHeight w:val="16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RNA, HBV DNA, HBsAg, HBcrAg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0.790 (0.635-0.901)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&lt;0.001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0.80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0.44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1.00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0.56</w:t>
            </w:r>
          </w:p>
        </w:tc>
      </w:tr>
      <w:tr w:rsidR="00C82356">
        <w:trPr>
          <w:trHeight w:val="251"/>
        </w:trPr>
        <w:tc>
          <w:tcPr>
            <w:tcW w:w="5000" w:type="pct"/>
            <w:gridSpan w:val="8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Combined prediction of HBeAg seroconversion</w:t>
            </w:r>
          </w:p>
        </w:tc>
      </w:tr>
      <w:tr w:rsidR="00C82356">
        <w:trPr>
          <w:trHeight w:val="25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RNA, HBV DNA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0.677 (0.558-0.781)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0.0044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0.30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0.97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0.33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1.45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0.09</w:t>
            </w:r>
          </w:p>
        </w:tc>
      </w:tr>
      <w:tr w:rsidR="00C82356">
        <w:trPr>
          <w:trHeight w:val="25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RNA, HBsAg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0.715 (0.559-0.840)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0.0076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0.41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0.75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0.67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2.25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0.37</w:t>
            </w:r>
          </w:p>
        </w:tc>
      </w:tr>
      <w:tr w:rsidR="00C82356">
        <w:trPr>
          <w:trHeight w:val="25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RNA, HBcrAg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0.722 (0.563-0.849)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0.006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0.38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0.78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0.63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2.07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0.36</w:t>
            </w:r>
          </w:p>
        </w:tc>
      </w:tr>
      <w:tr w:rsidR="00C82356">
        <w:trPr>
          <w:trHeight w:val="25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DNA, HBsAg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0.609 (0.456-0.748)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0.2102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0.52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0.35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0.89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3.15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0.73</w:t>
            </w:r>
          </w:p>
        </w:tc>
      </w:tr>
      <w:tr w:rsidR="00C82356">
        <w:trPr>
          <w:trHeight w:val="25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DNA, HBcrAg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0.679 (0.523-0.810)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0.0386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0.39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0.72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0.63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1.95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0.44</w:t>
            </w:r>
          </w:p>
        </w:tc>
      </w:tr>
      <w:tr w:rsidR="00C82356">
        <w:trPr>
          <w:trHeight w:val="25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HBsAg, HBcrAg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0.665 (0.506-0.800)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0.0703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0.60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0.39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0.96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10.11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0.64</w:t>
            </w:r>
          </w:p>
        </w:tc>
      </w:tr>
      <w:tr w:rsidR="00C82356">
        <w:trPr>
          <w:trHeight w:val="25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HBV </w:t>
            </w:r>
            <w:r>
              <w:rPr>
                <w:rFonts w:ascii="Times New Roman" w:hAnsi="Times New Roman"/>
                <w:szCs w:val="21"/>
              </w:rPr>
              <w:t xml:space="preserve">RNA, </w:t>
            </w:r>
            <w:r>
              <w:rPr>
                <w:rFonts w:ascii="Times New Roman" w:hAnsi="Times New Roman" w:hint="eastAsia"/>
                <w:szCs w:val="21"/>
              </w:rPr>
              <w:t xml:space="preserve">HBV </w:t>
            </w:r>
            <w:r>
              <w:rPr>
                <w:rFonts w:ascii="Times New Roman" w:hAnsi="Times New Roman"/>
                <w:szCs w:val="21"/>
              </w:rPr>
              <w:t>DNA, HBsAg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0.723 (0.567-0.847)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0.0049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0.34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0.85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0.58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2.04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0.26</w:t>
            </w:r>
          </w:p>
        </w:tc>
      </w:tr>
      <w:tr w:rsidR="00C82356">
        <w:trPr>
          <w:trHeight w:val="25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RNA, HBV DNA, HBcrAg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0.713 (0.553-0.843)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0.0093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0.38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0.78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0.63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2.07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0.36</w:t>
            </w:r>
          </w:p>
        </w:tc>
      </w:tr>
      <w:tr w:rsidR="00C82356">
        <w:trPr>
          <w:trHeight w:val="25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HBV RNA, HBsAg, HBcrAg </w:t>
            </w:r>
            <w:r>
              <w:rPr>
                <w:rFonts w:ascii="Times New Roman" w:hAnsi="Times New Roman"/>
                <w:szCs w:val="21"/>
              </w:rPr>
              <w:lastRenderedPageBreak/>
              <w:t>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0.761 (0.602-0.880)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0.0005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0.35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0.83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0.61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2.13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0.27</w:t>
            </w:r>
          </w:p>
        </w:tc>
      </w:tr>
      <w:tr w:rsidR="00C82356">
        <w:trPr>
          <w:trHeight w:val="251"/>
        </w:trPr>
        <w:tc>
          <w:tcPr>
            <w:tcW w:w="153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DNA, HBsAg, HBcrAg combination</w:t>
            </w:r>
          </w:p>
        </w:tc>
        <w:tc>
          <w:tcPr>
            <w:tcW w:w="107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0.692 (0.535-0.822)</w:t>
            </w:r>
          </w:p>
        </w:tc>
        <w:tc>
          <w:tcPr>
            <w:tcW w:w="477" w:type="pct"/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0.0292</w:t>
            </w:r>
          </w:p>
        </w:tc>
        <w:tc>
          <w:tcPr>
            <w:tcW w:w="461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0.39</w:t>
            </w:r>
          </w:p>
        </w:tc>
        <w:tc>
          <w:tcPr>
            <w:tcW w:w="365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0.72</w:t>
            </w:r>
          </w:p>
        </w:tc>
        <w:tc>
          <w:tcPr>
            <w:tcW w:w="324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0.69</w:t>
            </w:r>
          </w:p>
        </w:tc>
        <w:tc>
          <w:tcPr>
            <w:tcW w:w="410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2.35</w:t>
            </w:r>
          </w:p>
        </w:tc>
        <w:tc>
          <w:tcPr>
            <w:tcW w:w="348" w:type="pct"/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0.40</w:t>
            </w:r>
          </w:p>
        </w:tc>
      </w:tr>
      <w:tr w:rsidR="00C82356">
        <w:trPr>
          <w:trHeight w:val="251"/>
        </w:trPr>
        <w:tc>
          <w:tcPr>
            <w:tcW w:w="1535" w:type="pct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RNA, HBV DNA, HBsAg, HBcrAg combination</w:t>
            </w:r>
          </w:p>
        </w:tc>
        <w:tc>
          <w:tcPr>
            <w:tcW w:w="1075" w:type="pct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0.773 (0.615-0.889)</w:t>
            </w:r>
          </w:p>
        </w:tc>
        <w:tc>
          <w:tcPr>
            <w:tcW w:w="477" w:type="pct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0.0002</w:t>
            </w:r>
          </w:p>
        </w:tc>
        <w:tc>
          <w:tcPr>
            <w:tcW w:w="461" w:type="pct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0.34</w:t>
            </w:r>
          </w:p>
        </w:tc>
        <w:tc>
          <w:tcPr>
            <w:tcW w:w="365" w:type="pct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0.83</w:t>
            </w:r>
          </w:p>
        </w:tc>
        <w:tc>
          <w:tcPr>
            <w:tcW w:w="324" w:type="pct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0.61</w:t>
            </w:r>
          </w:p>
        </w:tc>
        <w:tc>
          <w:tcPr>
            <w:tcW w:w="410" w:type="pct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2.13</w:t>
            </w:r>
          </w:p>
        </w:tc>
        <w:tc>
          <w:tcPr>
            <w:tcW w:w="348" w:type="pct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0.27</w:t>
            </w:r>
          </w:p>
        </w:tc>
      </w:tr>
    </w:tbl>
    <w:p w:rsidR="00C82356" w:rsidRDefault="00B20B55">
      <w:pPr>
        <w:rPr>
          <w:rFonts w:ascii="Times New Roman" w:hAnsi="Times New Roman"/>
        </w:rPr>
      </w:pPr>
      <w:proofErr w:type="spellStart"/>
      <w:r>
        <w:rPr>
          <w:rFonts w:ascii="Times New Roman" w:hAnsi="Times New Roman"/>
          <w:szCs w:val="21"/>
        </w:rPr>
        <w:t>Abbrevation</w:t>
      </w:r>
      <w:proofErr w:type="spellEnd"/>
      <w:r>
        <w:rPr>
          <w:rFonts w:ascii="Times New Roman" w:hAnsi="Times New Roman"/>
          <w:szCs w:val="21"/>
        </w:rPr>
        <w:t xml:space="preserve">: </w:t>
      </w:r>
      <w:r>
        <w:rPr>
          <w:rFonts w:ascii="Times New Roman" w:hAnsi="Times New Roman"/>
        </w:rPr>
        <w:t xml:space="preserve">AUC: area under curve; </w:t>
      </w:r>
      <w:r>
        <w:rPr>
          <w:rFonts w:ascii="Times New Roman" w:hAnsi="Times New Roman"/>
          <w:szCs w:val="21"/>
        </w:rPr>
        <w:t xml:space="preserve">HBV, hepatitis B virus; </w:t>
      </w:r>
      <w:r>
        <w:rPr>
          <w:rFonts w:ascii="Times New Roman" w:hAnsi="Times New Roman"/>
        </w:rPr>
        <w:t xml:space="preserve">CI: confidence interval; </w:t>
      </w:r>
      <w:r>
        <w:rPr>
          <w:rFonts w:ascii="Times New Roman" w:hAnsi="Times New Roman"/>
          <w:szCs w:val="21"/>
        </w:rPr>
        <w:t>HBV RNA, hepatitis B virus ribonucleic acid; HBcrAg, hepatitis B core-related antigen; HBeAg, hepatitis B e antigen; HBsAg, hepatitis B surface antigen;</w:t>
      </w:r>
      <w:r>
        <w:rPr>
          <w:rFonts w:ascii="Times New Roman" w:hAnsi="Times New Roman"/>
        </w:rPr>
        <w:t xml:space="preserve"> Se: sensitivity; ROC, receiver operating characteristic curve; </w:t>
      </w:r>
      <w:proofErr w:type="spellStart"/>
      <w:r>
        <w:rPr>
          <w:rFonts w:ascii="Times New Roman" w:hAnsi="Times New Roman"/>
        </w:rPr>
        <w:t>Sp</w:t>
      </w:r>
      <w:proofErr w:type="spellEnd"/>
      <w:r>
        <w:rPr>
          <w:rFonts w:ascii="Times New Roman" w:hAnsi="Times New Roman"/>
        </w:rPr>
        <w:t xml:space="preserve">: specificity; PLR: positive likelihood ratio; </w:t>
      </w:r>
      <w:proofErr w:type="spellStart"/>
      <w:r>
        <w:rPr>
          <w:rFonts w:ascii="Times New Roman" w:hAnsi="Times New Roman"/>
        </w:rPr>
        <w:t>NLR</w:t>
      </w:r>
      <w:proofErr w:type="spellEnd"/>
      <w:r>
        <w:rPr>
          <w:rFonts w:ascii="Times New Roman" w:hAnsi="Times New Roman"/>
        </w:rPr>
        <w:t>: negative likelihood ratio.</w:t>
      </w:r>
    </w:p>
    <w:p w:rsidR="00C82356" w:rsidRDefault="00B20B55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C82356" w:rsidRDefault="00B20B55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hint="eastAsia"/>
          <w:b/>
          <w:bCs/>
          <w:sz w:val="24"/>
          <w:szCs w:val="24"/>
        </w:rPr>
        <w:t>6.</w:t>
      </w:r>
      <w:r>
        <w:rPr>
          <w:rFonts w:ascii="Times New Roman" w:hAnsi="Times New Roman"/>
          <w:b/>
          <w:bCs/>
          <w:sz w:val="24"/>
          <w:szCs w:val="24"/>
        </w:rPr>
        <w:t xml:space="preserve"> Indicators at month 6 to predict HBeAg clearance and seroconversion</w:t>
      </w:r>
    </w:p>
    <w:tbl>
      <w:tblPr>
        <w:tblStyle w:val="12"/>
        <w:tblW w:w="86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993"/>
        <w:gridCol w:w="952"/>
        <w:gridCol w:w="591"/>
        <w:gridCol w:w="739"/>
        <w:gridCol w:w="739"/>
        <w:gridCol w:w="679"/>
      </w:tblGrid>
      <w:tr w:rsidR="00C82356">
        <w:trPr>
          <w:trHeight w:val="313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Variable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AUC(95%CI)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P</w:t>
            </w:r>
            <w:r>
              <w:rPr>
                <w:rFonts w:ascii="Times New Roman" w:hAnsi="Times New Roman"/>
              </w:rPr>
              <w:t xml:space="preserve"> value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Cut-off value</w:t>
            </w:r>
          </w:p>
        </w:tc>
        <w:tc>
          <w:tcPr>
            <w:tcW w:w="591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Sp</w:t>
            </w:r>
            <w:proofErr w:type="spellEnd"/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PLR</w:t>
            </w:r>
          </w:p>
        </w:tc>
        <w:tc>
          <w:tcPr>
            <w:tcW w:w="679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NLR</w:t>
            </w:r>
            <w:proofErr w:type="spellEnd"/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HBeAg clearance</w:t>
            </w:r>
          </w:p>
        </w:tc>
        <w:tc>
          <w:tcPr>
            <w:tcW w:w="1984" w:type="dxa"/>
          </w:tcPr>
          <w:p w:rsidR="00C82356" w:rsidRDefault="00C8235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C82356" w:rsidRDefault="00C8235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52" w:type="dxa"/>
          </w:tcPr>
          <w:p w:rsidR="00C82356" w:rsidRDefault="00C82356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591" w:type="dxa"/>
          </w:tcPr>
          <w:p w:rsidR="00C82356" w:rsidRDefault="00C8235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39" w:type="dxa"/>
          </w:tcPr>
          <w:p w:rsidR="00C82356" w:rsidRDefault="00C8235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39" w:type="dxa"/>
          </w:tcPr>
          <w:p w:rsidR="00C82356" w:rsidRDefault="00C8235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79" w:type="dxa"/>
          </w:tcPr>
          <w:p w:rsidR="00C82356" w:rsidRDefault="00C82356">
            <w:pPr>
              <w:rPr>
                <w:rFonts w:ascii="Times New Roman" w:hAnsi="Times New Roman"/>
                <w:b/>
              </w:rPr>
            </w:pP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HBsAg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0.654 (0.501-0.786)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0.0776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4.02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0.89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0.45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1.62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0.25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DNA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0.741 (0.632-0.832)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2.16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0.93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7.50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0.54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0.863 (0.763-0.932)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4.93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0.76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3.22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0.29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HBcrAg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0.848 (0.712-0.937)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6.11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0.65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0.35</w:t>
            </w:r>
          </w:p>
        </w:tc>
      </w:tr>
      <w:tr w:rsidR="00C82356">
        <w:trPr>
          <w:trHeight w:val="143"/>
        </w:trPr>
        <w:tc>
          <w:tcPr>
            <w:tcW w:w="8662" w:type="dxa"/>
            <w:gridSpan w:val="8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Combined prediction of HBeAg clearance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HBV DNA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0.860 (0.758-0.930)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0.56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0.75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3.20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0.27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HBsAg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0.843 (0.697-0.936)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0.70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0.67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0.89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6.00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0.38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0.859 (0.712-0.948)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0.71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0.68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0.94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12.27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0.34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DNA, HBsAg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0.722 (0.572-0.843)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0.0040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0.60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0.75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2.81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0.40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DNA,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0.850 (0.714-0.938)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0.74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0.65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0.35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HBsAg,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0.836 (0.696-0.929)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0.74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0.40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HBV DNA, HBsAg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0.847 (0.703-0.939)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0.66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0.67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0.89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6.00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0.38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HBV DNA,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0.848 (0.700-0.942)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0.76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0.59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0.41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HBsAg,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0.861 (0.715-0.950)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0.69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0.68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0.89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6.14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0.36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DNA, HBsAg,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0.836(0.696-0.929)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0.73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0.40</w:t>
            </w:r>
          </w:p>
        </w:tc>
      </w:tr>
      <w:tr w:rsidR="00C82356">
        <w:trPr>
          <w:trHeight w:val="1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HBV DNA, HBsAg,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0.851 (0.703-0.944)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0.43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0.82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3.68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0.23</w:t>
            </w:r>
          </w:p>
        </w:tc>
      </w:tr>
      <w:tr w:rsidR="00C82356">
        <w:trPr>
          <w:trHeight w:val="161"/>
        </w:trPr>
        <w:tc>
          <w:tcPr>
            <w:tcW w:w="8662" w:type="dxa"/>
            <w:gridSpan w:val="8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HBeAg seroconversion</w:t>
            </w:r>
          </w:p>
        </w:tc>
      </w:tr>
      <w:tr w:rsidR="00C82356">
        <w:trPr>
          <w:trHeight w:val="1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HBsAg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0.548 (0.396-0.694)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0.5726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4.15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1.28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0.34</w:t>
            </w:r>
          </w:p>
        </w:tc>
      </w:tr>
      <w:tr w:rsidR="00C82356">
        <w:trPr>
          <w:trHeight w:val="1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DNA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0.635 (0.521-0.738)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0.0284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2.43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0.56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1.83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0.64</w:t>
            </w:r>
          </w:p>
        </w:tc>
      </w:tr>
      <w:tr w:rsidR="00C82356">
        <w:trPr>
          <w:trHeight w:val="1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0.747 (0.631-0.841)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4.81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0.66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2.29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0.33</w:t>
            </w:r>
          </w:p>
        </w:tc>
      </w:tr>
      <w:tr w:rsidR="00C82356">
        <w:trPr>
          <w:trHeight w:val="1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HBcrAg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0.762 (0.613-0.875)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0.0010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5.92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0.67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0.89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6.22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0.37</w:t>
            </w:r>
          </w:p>
        </w:tc>
      </w:tr>
      <w:tr w:rsidR="00C82356">
        <w:trPr>
          <w:trHeight w:val="251"/>
        </w:trPr>
        <w:tc>
          <w:tcPr>
            <w:tcW w:w="8662" w:type="dxa"/>
            <w:gridSpan w:val="8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>Combined prediction of HBeAg seroconversion</w:t>
            </w:r>
          </w:p>
        </w:tc>
      </w:tr>
      <w:tr w:rsidR="00C82356">
        <w:trPr>
          <w:trHeight w:val="25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HBV DNA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0.744 (0.629-0.838)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0.50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0.66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0.76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2.76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0.45</w:t>
            </w:r>
          </w:p>
        </w:tc>
      </w:tr>
      <w:tr w:rsidR="00C82356">
        <w:trPr>
          <w:trHeight w:val="25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HBsAg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0.829 (0.683-0.926)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0.43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2.89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0.22</w:t>
            </w:r>
          </w:p>
        </w:tc>
      </w:tr>
      <w:tr w:rsidR="00C82356">
        <w:trPr>
          <w:trHeight w:val="25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0.821 (0.670-0.923)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0.46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0.82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2.82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0.25</w:t>
            </w:r>
          </w:p>
        </w:tc>
      </w:tr>
      <w:tr w:rsidR="00C82356">
        <w:trPr>
          <w:trHeight w:val="25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DNA, HBsAg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0.733 (0.584-0.852)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0.0023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0.43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0.75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2.53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0.36</w:t>
            </w:r>
          </w:p>
        </w:tc>
      </w:tr>
      <w:tr w:rsidR="00C82356">
        <w:trPr>
          <w:trHeight w:val="25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DNA,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0.788 (0.642-0.894)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0.0002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0.43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0.83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2.92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0.23</w:t>
            </w:r>
          </w:p>
        </w:tc>
      </w:tr>
      <w:tr w:rsidR="00C82356">
        <w:trPr>
          <w:trHeight w:val="25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HBsAg,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0.790 (0.643-0.897)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0.0002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0.58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0.67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0.93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9.00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0.36</w:t>
            </w:r>
          </w:p>
        </w:tc>
      </w:tr>
      <w:tr w:rsidR="00C82356">
        <w:trPr>
          <w:trHeight w:val="25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HBV DNA, HBsAg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0.825 (0.678-0.923)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0.49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0.74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0.79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3.54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0.33</w:t>
            </w:r>
          </w:p>
        </w:tc>
      </w:tr>
      <w:tr w:rsidR="00C82356">
        <w:trPr>
          <w:trHeight w:val="25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HBV DNA,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0.824 (0.673-0.925)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0.39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0.82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2.82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0.25</w:t>
            </w:r>
          </w:p>
        </w:tc>
      </w:tr>
      <w:tr w:rsidR="00C82356">
        <w:trPr>
          <w:trHeight w:val="25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HBsAg,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0.863 (0.719-0.950)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0.45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0.82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0.83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4.94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0.21</w:t>
            </w:r>
          </w:p>
        </w:tc>
      </w:tr>
      <w:tr w:rsidR="00C82356">
        <w:trPr>
          <w:trHeight w:val="25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DNA, HBsAg, HBcrAg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0.798 (0.652-0.903)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0.72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0.89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6.50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0.31</w:t>
            </w:r>
          </w:p>
        </w:tc>
      </w:tr>
      <w:tr w:rsidR="00C82356">
        <w:trPr>
          <w:trHeight w:val="251"/>
        </w:trPr>
        <w:tc>
          <w:tcPr>
            <w:tcW w:w="1985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HBV DNA, HBsAg, HBcrAg combination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0.860 (0.716-0.948)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0.22</w:t>
            </w:r>
          </w:p>
        </w:tc>
        <w:tc>
          <w:tcPr>
            <w:tcW w:w="591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0.94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0.67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2.82</w:t>
            </w:r>
          </w:p>
        </w:tc>
        <w:tc>
          <w:tcPr>
            <w:tcW w:w="679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0.09</w:t>
            </w:r>
          </w:p>
        </w:tc>
      </w:tr>
    </w:tbl>
    <w:p w:rsidR="00C82356" w:rsidRDefault="00B20B55">
      <w:pPr>
        <w:rPr>
          <w:rFonts w:ascii="Times New Roman" w:hAnsi="Times New Roman"/>
        </w:rPr>
      </w:pPr>
      <w:proofErr w:type="spellStart"/>
      <w:r>
        <w:rPr>
          <w:rFonts w:ascii="Times New Roman" w:hAnsi="Times New Roman"/>
          <w:szCs w:val="21"/>
        </w:rPr>
        <w:t>Abbrevation</w:t>
      </w:r>
      <w:proofErr w:type="spellEnd"/>
      <w:r>
        <w:rPr>
          <w:rFonts w:ascii="Times New Roman" w:hAnsi="Times New Roman"/>
          <w:szCs w:val="21"/>
        </w:rPr>
        <w:t xml:space="preserve">: </w:t>
      </w:r>
      <w:r>
        <w:rPr>
          <w:rFonts w:ascii="Times New Roman" w:hAnsi="Times New Roman"/>
        </w:rPr>
        <w:t xml:space="preserve">AUC: area under curve; </w:t>
      </w:r>
      <w:r>
        <w:rPr>
          <w:rFonts w:ascii="Times New Roman" w:hAnsi="Times New Roman"/>
          <w:szCs w:val="21"/>
        </w:rPr>
        <w:t xml:space="preserve">HBV, hepatitis B virus; </w:t>
      </w:r>
      <w:r>
        <w:rPr>
          <w:rFonts w:ascii="Times New Roman" w:hAnsi="Times New Roman"/>
        </w:rPr>
        <w:t xml:space="preserve">CI: confidence interval; </w:t>
      </w:r>
      <w:r>
        <w:rPr>
          <w:rFonts w:ascii="Times New Roman" w:hAnsi="Times New Roman"/>
          <w:szCs w:val="21"/>
        </w:rPr>
        <w:t>HBV RNA, hepatitis B virus ribonucleic acid; HBcrAg, hepatitis B core-related antigen; HBeAg, hepatitis B e antigen; HBsAg, hepatitis B surface antigen;</w:t>
      </w:r>
      <w:r>
        <w:rPr>
          <w:rFonts w:ascii="Times New Roman" w:hAnsi="Times New Roman"/>
        </w:rPr>
        <w:t xml:space="preserve"> Se: sensitivity; ROC, receiver operating characteristic curve; </w:t>
      </w:r>
      <w:proofErr w:type="spellStart"/>
      <w:r>
        <w:rPr>
          <w:rFonts w:ascii="Times New Roman" w:hAnsi="Times New Roman"/>
        </w:rPr>
        <w:t>Sp</w:t>
      </w:r>
      <w:proofErr w:type="spellEnd"/>
      <w:r>
        <w:rPr>
          <w:rFonts w:ascii="Times New Roman" w:hAnsi="Times New Roman"/>
        </w:rPr>
        <w:t xml:space="preserve">: specificity; PLR: positive likelihood ratio; </w:t>
      </w:r>
      <w:proofErr w:type="spellStart"/>
      <w:r>
        <w:rPr>
          <w:rFonts w:ascii="Times New Roman" w:hAnsi="Times New Roman"/>
        </w:rPr>
        <w:t>NLR</w:t>
      </w:r>
      <w:proofErr w:type="spellEnd"/>
      <w:r>
        <w:rPr>
          <w:rFonts w:ascii="Times New Roman" w:hAnsi="Times New Roman"/>
        </w:rPr>
        <w:t>: negative likelihood ratio.</w:t>
      </w:r>
    </w:p>
    <w:p w:rsidR="00C82356" w:rsidRDefault="00B20B55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C82356" w:rsidRDefault="00B20B55">
      <w:pPr>
        <w:spacing w:line="360" w:lineRule="auto"/>
        <w:jc w:val="left"/>
        <w:rPr>
          <w:rFonts w:ascii="Times New Roman" w:hAnsi="Times New Roman"/>
          <w:b/>
          <w:bCs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lastRenderedPageBreak/>
        <w:t xml:space="preserve">Supplementary Table </w:t>
      </w:r>
      <w:r>
        <w:rPr>
          <w:rFonts w:ascii="Times New Roman" w:hAnsi="Times New Roman" w:hint="eastAsia"/>
          <w:b/>
          <w:bCs/>
          <w:sz w:val="24"/>
          <w:szCs w:val="28"/>
        </w:rPr>
        <w:t>7.</w:t>
      </w:r>
      <w:r>
        <w:rPr>
          <w:rFonts w:ascii="Times New Roman" w:hAnsi="Times New Roman"/>
          <w:b/>
          <w:bCs/>
          <w:sz w:val="24"/>
          <w:szCs w:val="28"/>
        </w:rPr>
        <w:t xml:space="preserve"> Indicators at month 12 to predict HBeAg clearance and seroconversion</w:t>
      </w:r>
    </w:p>
    <w:tbl>
      <w:tblPr>
        <w:tblStyle w:val="12"/>
        <w:tblW w:w="86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993"/>
        <w:gridCol w:w="952"/>
        <w:gridCol w:w="591"/>
        <w:gridCol w:w="739"/>
        <w:gridCol w:w="739"/>
        <w:gridCol w:w="679"/>
      </w:tblGrid>
      <w:tr w:rsidR="00C82356">
        <w:trPr>
          <w:trHeight w:val="313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Variable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AUC(95%CI)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P</w:t>
            </w:r>
            <w:r>
              <w:rPr>
                <w:rFonts w:ascii="Times New Roman" w:hAnsi="Times New Roman"/>
              </w:rPr>
              <w:t xml:space="preserve"> value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Cut-off value</w:t>
            </w:r>
          </w:p>
        </w:tc>
        <w:tc>
          <w:tcPr>
            <w:tcW w:w="591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Sp</w:t>
            </w:r>
            <w:proofErr w:type="spellEnd"/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PLR</w:t>
            </w:r>
          </w:p>
        </w:tc>
        <w:tc>
          <w:tcPr>
            <w:tcW w:w="679" w:type="dxa"/>
            <w:tcBorders>
              <w:top w:val="single" w:sz="4" w:space="0" w:color="auto"/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NLR</w:t>
            </w:r>
            <w:proofErr w:type="spellEnd"/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HBeAg clearance</w:t>
            </w:r>
          </w:p>
        </w:tc>
        <w:tc>
          <w:tcPr>
            <w:tcW w:w="1984" w:type="dxa"/>
          </w:tcPr>
          <w:p w:rsidR="00C82356" w:rsidRDefault="00C8235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C82356" w:rsidRDefault="00C8235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52" w:type="dxa"/>
          </w:tcPr>
          <w:p w:rsidR="00C82356" w:rsidRDefault="00C82356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591" w:type="dxa"/>
          </w:tcPr>
          <w:p w:rsidR="00C82356" w:rsidRDefault="00C8235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39" w:type="dxa"/>
          </w:tcPr>
          <w:p w:rsidR="00C82356" w:rsidRDefault="00C8235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39" w:type="dxa"/>
          </w:tcPr>
          <w:p w:rsidR="00C82356" w:rsidRDefault="00C8235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79" w:type="dxa"/>
          </w:tcPr>
          <w:p w:rsidR="00C82356" w:rsidRDefault="00C82356">
            <w:pPr>
              <w:rPr>
                <w:rFonts w:ascii="Times New Roman" w:hAnsi="Times New Roman"/>
                <w:b/>
              </w:rPr>
            </w:pP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DNA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0.708 (0.598-0.804)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0.0004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2.47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0.73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0.70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2.44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0.38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0.859 (0.758-0.929)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5.01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0.91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0.68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2.83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</w:t>
            </w:r>
          </w:p>
        </w:tc>
      </w:tr>
      <w:tr w:rsidR="00C82356">
        <w:trPr>
          <w:trHeight w:val="143"/>
        </w:trPr>
        <w:tc>
          <w:tcPr>
            <w:tcW w:w="8662" w:type="dxa"/>
            <w:gridSpan w:val="8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Combined prediction of HBeAg clearance</w:t>
            </w:r>
          </w:p>
        </w:tc>
      </w:tr>
      <w:tr w:rsidR="00C82356">
        <w:trPr>
          <w:trHeight w:val="2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HBV DNA combination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0.860 (0.759-0.930)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0.51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0.87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3.03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0.19</w:t>
            </w:r>
          </w:p>
        </w:tc>
      </w:tr>
      <w:tr w:rsidR="00C82356">
        <w:trPr>
          <w:trHeight w:val="161"/>
        </w:trPr>
        <w:tc>
          <w:tcPr>
            <w:tcW w:w="8662" w:type="dxa"/>
            <w:gridSpan w:val="8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HBeAg seroconversion</w:t>
            </w:r>
          </w:p>
        </w:tc>
      </w:tr>
      <w:tr w:rsidR="00C82356">
        <w:trPr>
          <w:trHeight w:val="1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DNA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0.654 (0.541-0.755)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0.0095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2.47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0.75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0.57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1.72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0.44</w:t>
            </w:r>
          </w:p>
        </w:tc>
      </w:tr>
      <w:tr w:rsidR="00C82356">
        <w:trPr>
          <w:trHeight w:val="161"/>
        </w:trPr>
        <w:tc>
          <w:tcPr>
            <w:tcW w:w="1985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</w:t>
            </w:r>
          </w:p>
        </w:tc>
        <w:tc>
          <w:tcPr>
            <w:tcW w:w="1984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0.744 (0.629-0.839)</w:t>
            </w:r>
          </w:p>
        </w:tc>
        <w:tc>
          <w:tcPr>
            <w:tcW w:w="993" w:type="dxa"/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4.11</w:t>
            </w:r>
          </w:p>
        </w:tc>
        <w:tc>
          <w:tcPr>
            <w:tcW w:w="591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0.77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0.62</w:t>
            </w:r>
          </w:p>
        </w:tc>
        <w:tc>
          <w:tcPr>
            <w:tcW w:w="73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2.03</w:t>
            </w:r>
          </w:p>
        </w:tc>
        <w:tc>
          <w:tcPr>
            <w:tcW w:w="679" w:type="dxa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0.36</w:t>
            </w:r>
          </w:p>
        </w:tc>
      </w:tr>
      <w:tr w:rsidR="00C82356">
        <w:trPr>
          <w:trHeight w:val="251"/>
        </w:trPr>
        <w:tc>
          <w:tcPr>
            <w:tcW w:w="8662" w:type="dxa"/>
            <w:gridSpan w:val="8"/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Combined prediction of HBeAg seroconversion</w:t>
            </w:r>
          </w:p>
        </w:tc>
      </w:tr>
      <w:tr w:rsidR="00C82356">
        <w:trPr>
          <w:trHeight w:val="251"/>
        </w:trPr>
        <w:tc>
          <w:tcPr>
            <w:tcW w:w="1985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HBV RNA, HBV DNA combination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0.748 (0.633-0.842)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&lt;0.0001</w:t>
            </w:r>
          </w:p>
        </w:tc>
        <w:tc>
          <w:tcPr>
            <w:tcW w:w="952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0.33</w:t>
            </w:r>
          </w:p>
        </w:tc>
        <w:tc>
          <w:tcPr>
            <w:tcW w:w="591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0.87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1.93</w:t>
            </w:r>
          </w:p>
        </w:tc>
        <w:tc>
          <w:tcPr>
            <w:tcW w:w="679" w:type="dxa"/>
            <w:tcBorders>
              <w:bottom w:val="single" w:sz="4" w:space="0" w:color="auto"/>
            </w:tcBorders>
          </w:tcPr>
          <w:p w:rsidR="00C82356" w:rsidRDefault="00B20B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0.24</w:t>
            </w:r>
          </w:p>
        </w:tc>
      </w:tr>
    </w:tbl>
    <w:p w:rsidR="00C82356" w:rsidRDefault="00B20B55">
      <w:pPr>
        <w:rPr>
          <w:rFonts w:ascii="Times New Roman" w:hAnsi="Times New Roman"/>
        </w:rPr>
      </w:pPr>
      <w:proofErr w:type="spellStart"/>
      <w:r>
        <w:rPr>
          <w:rFonts w:ascii="Times New Roman" w:hAnsi="Times New Roman"/>
          <w:szCs w:val="21"/>
        </w:rPr>
        <w:t>Abbrevation</w:t>
      </w:r>
      <w:proofErr w:type="spellEnd"/>
      <w:r>
        <w:rPr>
          <w:rFonts w:ascii="Times New Roman" w:hAnsi="Times New Roman"/>
          <w:szCs w:val="21"/>
        </w:rPr>
        <w:t xml:space="preserve">: </w:t>
      </w:r>
      <w:r>
        <w:rPr>
          <w:rFonts w:ascii="Times New Roman" w:hAnsi="Times New Roman"/>
        </w:rPr>
        <w:t xml:space="preserve">AUC: area under curve; </w:t>
      </w:r>
      <w:r>
        <w:rPr>
          <w:rFonts w:ascii="Times New Roman" w:hAnsi="Times New Roman"/>
          <w:szCs w:val="21"/>
        </w:rPr>
        <w:t xml:space="preserve">HBV, hepatitis B virus; </w:t>
      </w:r>
      <w:r>
        <w:rPr>
          <w:rFonts w:ascii="Times New Roman" w:hAnsi="Times New Roman"/>
        </w:rPr>
        <w:t xml:space="preserve">CI: confidence interval; </w:t>
      </w:r>
      <w:r>
        <w:rPr>
          <w:rFonts w:ascii="Times New Roman" w:hAnsi="Times New Roman"/>
          <w:szCs w:val="21"/>
        </w:rPr>
        <w:t>HBV RNA, hepatitis B virus ribonucleic acid; HBcrAg, hepatitis B core-related antigen; HBeAg, hepatitis B e antigen; HBsAg, hepatitis B surface antigen;</w:t>
      </w:r>
      <w:r>
        <w:rPr>
          <w:rFonts w:ascii="Times New Roman" w:hAnsi="Times New Roman"/>
        </w:rPr>
        <w:t xml:space="preserve"> Se: sensitivity; ROC, receiver operating characteristic curve; </w:t>
      </w:r>
      <w:proofErr w:type="spellStart"/>
      <w:r>
        <w:rPr>
          <w:rFonts w:ascii="Times New Roman" w:hAnsi="Times New Roman"/>
        </w:rPr>
        <w:t>Sp</w:t>
      </w:r>
      <w:proofErr w:type="spellEnd"/>
      <w:r>
        <w:rPr>
          <w:rFonts w:ascii="Times New Roman" w:hAnsi="Times New Roman"/>
        </w:rPr>
        <w:t xml:space="preserve">: specificity; PLR: positive likelihood ratio; </w:t>
      </w:r>
      <w:proofErr w:type="spellStart"/>
      <w:r>
        <w:rPr>
          <w:rFonts w:ascii="Times New Roman" w:hAnsi="Times New Roman"/>
        </w:rPr>
        <w:t>NLR</w:t>
      </w:r>
      <w:proofErr w:type="spellEnd"/>
      <w:r>
        <w:rPr>
          <w:rFonts w:ascii="Times New Roman" w:hAnsi="Times New Roman"/>
        </w:rPr>
        <w:t>: negative likelihood ratio.</w:t>
      </w:r>
    </w:p>
    <w:p w:rsidR="00C82356" w:rsidRDefault="00C82356">
      <w:pPr>
        <w:rPr>
          <w:rFonts w:ascii="Times New Roman" w:hAnsi="Times New Roman"/>
        </w:rPr>
      </w:pPr>
    </w:p>
    <w:p w:rsidR="00C82356" w:rsidRDefault="00C82356"/>
    <w:sectPr w:rsidR="00C82356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405" w:rsidRDefault="00FC5405">
      <w:r>
        <w:separator/>
      </w:r>
    </w:p>
  </w:endnote>
  <w:endnote w:type="continuationSeparator" w:id="0">
    <w:p w:rsidR="00FC5405" w:rsidRDefault="00FC5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Sans Typewriter">
    <w:panose1 w:val="020B0602040502020304"/>
    <w:charset w:val="00"/>
    <w:family w:val="swiss"/>
    <w:pitch w:val="fixed"/>
    <w:sig w:usb0="01002B87" w:usb1="00000000" w:usb2="00000008" w:usb3="00000000" w:csb0="0001007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nionPro-It">
    <w:altName w:val="Times New Roman"/>
    <w:panose1 w:val="02040503050306090203"/>
    <w:charset w:val="00"/>
    <w:family w:val="roman"/>
    <w:pitch w:val="default"/>
    <w:sig w:usb0="00000000" w:usb1="00000000" w:usb2="00000000" w:usb3="00000000" w:csb0="00040001" w:csb1="00000000"/>
  </w:font>
  <w:font w:name="AdvP7DA6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4488020"/>
    </w:sdtPr>
    <w:sdtEndPr/>
    <w:sdtContent>
      <w:p w:rsidR="00EC59B1" w:rsidRDefault="00EC59B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12C5" w:rsidRPr="004E12C5">
          <w:rPr>
            <w:noProof/>
            <w:lang w:val="zh-CN"/>
          </w:rPr>
          <w:t>2</w:t>
        </w:r>
        <w:r>
          <w:fldChar w:fldCharType="end"/>
        </w:r>
      </w:p>
    </w:sdtContent>
  </w:sdt>
  <w:p w:rsidR="00EC59B1" w:rsidRDefault="00EC59B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405" w:rsidRDefault="00FC5405">
      <w:r>
        <w:separator/>
      </w:r>
    </w:p>
  </w:footnote>
  <w:footnote w:type="continuationSeparator" w:id="0">
    <w:p w:rsidR="00FC5405" w:rsidRDefault="00FC5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4647B1"/>
    <w:multiLevelType w:val="multilevel"/>
    <w:tmpl w:val="454647B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88F"/>
    <w:rsid w:val="00000D44"/>
    <w:rsid w:val="000234F8"/>
    <w:rsid w:val="00031B13"/>
    <w:rsid w:val="000515D4"/>
    <w:rsid w:val="00054499"/>
    <w:rsid w:val="00077ED5"/>
    <w:rsid w:val="00097E99"/>
    <w:rsid w:val="000A17CA"/>
    <w:rsid w:val="000C462C"/>
    <w:rsid w:val="000D6A5E"/>
    <w:rsid w:val="00101423"/>
    <w:rsid w:val="00105C9F"/>
    <w:rsid w:val="00110D40"/>
    <w:rsid w:val="00150131"/>
    <w:rsid w:val="001B6201"/>
    <w:rsid w:val="001E06C3"/>
    <w:rsid w:val="00201E18"/>
    <w:rsid w:val="00212E89"/>
    <w:rsid w:val="00221902"/>
    <w:rsid w:val="00227767"/>
    <w:rsid w:val="002315D8"/>
    <w:rsid w:val="0023438E"/>
    <w:rsid w:val="002352CD"/>
    <w:rsid w:val="0024394B"/>
    <w:rsid w:val="00245965"/>
    <w:rsid w:val="00246B92"/>
    <w:rsid w:val="00267577"/>
    <w:rsid w:val="00283A7C"/>
    <w:rsid w:val="00290C24"/>
    <w:rsid w:val="002A019B"/>
    <w:rsid w:val="002A1345"/>
    <w:rsid w:val="002B12D9"/>
    <w:rsid w:val="002E388F"/>
    <w:rsid w:val="002E5B8A"/>
    <w:rsid w:val="002E6238"/>
    <w:rsid w:val="002E6AE9"/>
    <w:rsid w:val="002F6525"/>
    <w:rsid w:val="00361EB1"/>
    <w:rsid w:val="00376EB9"/>
    <w:rsid w:val="00381F17"/>
    <w:rsid w:val="00384CD0"/>
    <w:rsid w:val="003861A2"/>
    <w:rsid w:val="003910A7"/>
    <w:rsid w:val="003B2BC0"/>
    <w:rsid w:val="003B3F13"/>
    <w:rsid w:val="003B46B5"/>
    <w:rsid w:val="003B766F"/>
    <w:rsid w:val="004931EC"/>
    <w:rsid w:val="004B2D0E"/>
    <w:rsid w:val="004B315D"/>
    <w:rsid w:val="004B444E"/>
    <w:rsid w:val="004E12C5"/>
    <w:rsid w:val="0050440C"/>
    <w:rsid w:val="00512F0B"/>
    <w:rsid w:val="005243D4"/>
    <w:rsid w:val="00531794"/>
    <w:rsid w:val="005422DD"/>
    <w:rsid w:val="0054299C"/>
    <w:rsid w:val="00564F63"/>
    <w:rsid w:val="00567655"/>
    <w:rsid w:val="00594EE8"/>
    <w:rsid w:val="005953ED"/>
    <w:rsid w:val="005B6E51"/>
    <w:rsid w:val="005D5DDD"/>
    <w:rsid w:val="00602322"/>
    <w:rsid w:val="0063131D"/>
    <w:rsid w:val="006369A4"/>
    <w:rsid w:val="00650026"/>
    <w:rsid w:val="00681CF0"/>
    <w:rsid w:val="006824FC"/>
    <w:rsid w:val="006D2F25"/>
    <w:rsid w:val="006E38DA"/>
    <w:rsid w:val="0071571A"/>
    <w:rsid w:val="007428BF"/>
    <w:rsid w:val="00760755"/>
    <w:rsid w:val="007611E5"/>
    <w:rsid w:val="00781EA5"/>
    <w:rsid w:val="007A3C25"/>
    <w:rsid w:val="007D3C7D"/>
    <w:rsid w:val="007D40F2"/>
    <w:rsid w:val="007E41E4"/>
    <w:rsid w:val="007E6035"/>
    <w:rsid w:val="007F5664"/>
    <w:rsid w:val="008114ED"/>
    <w:rsid w:val="00833664"/>
    <w:rsid w:val="00842D2F"/>
    <w:rsid w:val="00864C91"/>
    <w:rsid w:val="008805E1"/>
    <w:rsid w:val="00884067"/>
    <w:rsid w:val="00885B8E"/>
    <w:rsid w:val="008B2E7C"/>
    <w:rsid w:val="008C291C"/>
    <w:rsid w:val="008F3B1F"/>
    <w:rsid w:val="00927BA9"/>
    <w:rsid w:val="00980CC9"/>
    <w:rsid w:val="009A1082"/>
    <w:rsid w:val="009B0F6E"/>
    <w:rsid w:val="009B1638"/>
    <w:rsid w:val="009C590D"/>
    <w:rsid w:val="009D2698"/>
    <w:rsid w:val="009D7259"/>
    <w:rsid w:val="009E4B94"/>
    <w:rsid w:val="009F55F9"/>
    <w:rsid w:val="00A157D9"/>
    <w:rsid w:val="00A456D7"/>
    <w:rsid w:val="00A74900"/>
    <w:rsid w:val="00AA4E82"/>
    <w:rsid w:val="00AB3A88"/>
    <w:rsid w:val="00AB5687"/>
    <w:rsid w:val="00AD028F"/>
    <w:rsid w:val="00AD5788"/>
    <w:rsid w:val="00AE5AC7"/>
    <w:rsid w:val="00AE7AE7"/>
    <w:rsid w:val="00B024C8"/>
    <w:rsid w:val="00B20B55"/>
    <w:rsid w:val="00B2739F"/>
    <w:rsid w:val="00B31DC5"/>
    <w:rsid w:val="00B32C4B"/>
    <w:rsid w:val="00B42EDB"/>
    <w:rsid w:val="00B43D39"/>
    <w:rsid w:val="00B60B14"/>
    <w:rsid w:val="00B94D97"/>
    <w:rsid w:val="00B95A08"/>
    <w:rsid w:val="00BA6FB9"/>
    <w:rsid w:val="00BC4F66"/>
    <w:rsid w:val="00BF5D6C"/>
    <w:rsid w:val="00BF7869"/>
    <w:rsid w:val="00C350BB"/>
    <w:rsid w:val="00C40A47"/>
    <w:rsid w:val="00C44619"/>
    <w:rsid w:val="00C55BBA"/>
    <w:rsid w:val="00C82356"/>
    <w:rsid w:val="00CA4AE8"/>
    <w:rsid w:val="00CA6153"/>
    <w:rsid w:val="00CB4FCF"/>
    <w:rsid w:val="00CC4F90"/>
    <w:rsid w:val="00D01B92"/>
    <w:rsid w:val="00D20C04"/>
    <w:rsid w:val="00D31300"/>
    <w:rsid w:val="00D55093"/>
    <w:rsid w:val="00D57F3B"/>
    <w:rsid w:val="00DD4A17"/>
    <w:rsid w:val="00DF0DC2"/>
    <w:rsid w:val="00E12E60"/>
    <w:rsid w:val="00E214FA"/>
    <w:rsid w:val="00E267CE"/>
    <w:rsid w:val="00E346A6"/>
    <w:rsid w:val="00E418CA"/>
    <w:rsid w:val="00E44D31"/>
    <w:rsid w:val="00E61DC6"/>
    <w:rsid w:val="00E8019A"/>
    <w:rsid w:val="00EA3C5C"/>
    <w:rsid w:val="00EA4320"/>
    <w:rsid w:val="00EC59B1"/>
    <w:rsid w:val="00EC6D4F"/>
    <w:rsid w:val="00EE2952"/>
    <w:rsid w:val="00F4545C"/>
    <w:rsid w:val="00F5715E"/>
    <w:rsid w:val="00F64A3D"/>
    <w:rsid w:val="00F90DF7"/>
    <w:rsid w:val="00F92C9A"/>
    <w:rsid w:val="00FB3BC7"/>
    <w:rsid w:val="00FC5405"/>
    <w:rsid w:val="00FD19BE"/>
    <w:rsid w:val="1DC26EC3"/>
    <w:rsid w:val="453078CB"/>
    <w:rsid w:val="4DC20F7E"/>
    <w:rsid w:val="4E9B02F8"/>
    <w:rsid w:val="5D030EC9"/>
    <w:rsid w:val="66674C90"/>
    <w:rsid w:val="7005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BE58847-815C-439A-9DE9-309B30C11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 w:qFormat="1"/>
    <w:lsdException w:name="index 2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20B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20B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qFormat/>
    <w:pPr>
      <w:widowControl/>
      <w:spacing w:after="100"/>
      <w:ind w:left="440"/>
    </w:pPr>
    <w:rPr>
      <w:rFonts w:ascii="Calibri" w:eastAsia="宋体" w:hAnsi="Calibri"/>
      <w:kern w:val="0"/>
      <w:sz w:val="24"/>
    </w:r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0">
    <w:name w:val="toc 1"/>
    <w:basedOn w:val="a"/>
    <w:next w:val="a"/>
    <w:link w:val="1Char0"/>
    <w:uiPriority w:val="39"/>
    <w:qFormat/>
    <w:pPr>
      <w:spacing w:before="120" w:after="120" w:line="312" w:lineRule="auto"/>
      <w:ind w:leftChars="100" w:left="100" w:rightChars="100" w:right="100"/>
    </w:pPr>
    <w:rPr>
      <w:rFonts w:asciiTheme="minorHAnsi" w:eastAsiaTheme="minorEastAsia" w:hAnsiTheme="minorHAnsi" w:cstheme="minorBidi"/>
      <w:sz w:val="24"/>
      <w:szCs w:val="24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uiPriority w:val="99"/>
    <w:semiHidden/>
    <w:unhideWhenUsed/>
    <w:qFormat/>
    <w:rPr>
      <w:rFonts w:asciiTheme="minorHAnsi" w:eastAsiaTheme="minorEastAsia" w:hAnsiTheme="minorHAnsi" w:cstheme="minorBidi"/>
    </w:rPr>
  </w:style>
  <w:style w:type="paragraph" w:styleId="20">
    <w:name w:val="index 2"/>
    <w:basedOn w:val="a"/>
    <w:next w:val="a"/>
    <w:uiPriority w:val="99"/>
    <w:semiHidden/>
    <w:unhideWhenUsed/>
    <w:qFormat/>
    <w:pPr>
      <w:ind w:leftChars="200" w:left="200"/>
    </w:pPr>
    <w:rPr>
      <w:rFonts w:asciiTheme="minorHAnsi" w:eastAsiaTheme="minorEastAsia" w:hAnsiTheme="minorHAnsi" w:cstheme="minorBidi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Char0">
    <w:name w:val="目录 1 Char"/>
    <w:link w:val="10"/>
    <w:uiPriority w:val="39"/>
    <w:qFormat/>
    <w:rPr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table" w:customStyle="1" w:styleId="12">
    <w:name w:val="网格型1"/>
    <w:basedOn w:val="a1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skip">
    <w:name w:val="skip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2Char">
    <w:name w:val="标题 2 Char"/>
    <w:basedOn w:val="a0"/>
    <w:link w:val="2"/>
    <w:uiPriority w:val="9"/>
    <w:rsid w:val="00B20B5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20B55"/>
    <w:rPr>
      <w:rFonts w:ascii="等线" w:eastAsia="等线" w:hAnsi="等线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javascript:;" TargetMode="Externa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javascript:;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tiff"/><Relationship Id="rId5" Type="http://schemas.openxmlformats.org/officeDocument/2006/relationships/settings" Target="settings.xml"/><Relationship Id="rId15" Type="http://schemas.openxmlformats.org/officeDocument/2006/relationships/hyperlink" Target="javascript:;" TargetMode="Externa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mailto:zhengsujun003@126.com" TargetMode="External"/><Relationship Id="rId14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2369E8-966D-4B05-883D-80C48E149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20</Pages>
  <Words>3523</Words>
  <Characters>20085</Characters>
  <Application>Microsoft Office Word</Application>
  <DocSecurity>0</DocSecurity>
  <Lines>167</Lines>
  <Paragraphs>47</Paragraphs>
  <ScaleCrop>false</ScaleCrop>
  <Company/>
  <LinksUpToDate>false</LinksUpToDate>
  <CharactersWithSpaces>23561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T470p</dc:creator>
  <cp:lastModifiedBy>T470p</cp:lastModifiedBy>
  <cp:revision>75</cp:revision>
  <dcterms:created xsi:type="dcterms:W3CDTF">2020-04-25T23:25:00Z</dcterms:created>
  <dcterms:modified xsi:type="dcterms:W3CDTF">2021-07-12T11:48:00Z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37FA2662248D446383A4464E9A7052F3</vt:lpwstr>
  </property>
</Properties>
</file>