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145FC" w14:textId="4223AE02" w:rsidR="00856012" w:rsidRDefault="002956F3" w:rsidP="004B5717">
      <w:pPr>
        <w:rPr>
          <w:rFonts w:asciiTheme="majorBidi" w:hAnsiTheme="majorBidi" w:cstheme="majorBidi"/>
          <w:b/>
          <w:bCs/>
          <w:sz w:val="28"/>
          <w:szCs w:val="28"/>
        </w:rPr>
      </w:pPr>
      <w:r w:rsidRPr="008038AB">
        <w:rPr>
          <w:rFonts w:asciiTheme="majorBidi" w:hAnsiTheme="majorBidi" w:cstheme="majorBidi"/>
          <w:b/>
          <w:bCs/>
          <w:sz w:val="28"/>
          <w:szCs w:val="28"/>
        </w:rPr>
        <w:t xml:space="preserve">Supplementary </w:t>
      </w:r>
      <w:r w:rsidR="008038AB" w:rsidRPr="008038AB">
        <w:rPr>
          <w:rFonts w:asciiTheme="majorBidi" w:hAnsiTheme="majorBidi" w:cstheme="majorBidi"/>
          <w:b/>
          <w:bCs/>
          <w:sz w:val="28"/>
          <w:szCs w:val="28"/>
        </w:rPr>
        <w:t>M</w:t>
      </w:r>
      <w:r w:rsidRPr="008038AB">
        <w:rPr>
          <w:rFonts w:asciiTheme="majorBidi" w:hAnsiTheme="majorBidi" w:cstheme="majorBidi"/>
          <w:b/>
          <w:bCs/>
          <w:sz w:val="28"/>
          <w:szCs w:val="28"/>
        </w:rPr>
        <w:t>ethod</w:t>
      </w:r>
      <w:r w:rsidR="008038AB" w:rsidRPr="008038AB">
        <w:rPr>
          <w:rFonts w:asciiTheme="majorBidi" w:hAnsiTheme="majorBidi" w:cstheme="majorBidi"/>
          <w:b/>
          <w:bCs/>
          <w:sz w:val="28"/>
          <w:szCs w:val="28"/>
        </w:rPr>
        <w:t>s and Results</w:t>
      </w:r>
    </w:p>
    <w:p w14:paraId="792F620B" w14:textId="77777777" w:rsidR="00126B57" w:rsidRPr="004B5717" w:rsidRDefault="00126B57" w:rsidP="004B5717">
      <w:pPr>
        <w:rPr>
          <w:rFonts w:asciiTheme="majorBidi" w:hAnsiTheme="majorBidi" w:cstheme="majorBidi"/>
          <w:b/>
          <w:bCs/>
          <w:sz w:val="28"/>
          <w:szCs w:val="28"/>
        </w:rPr>
      </w:pPr>
    </w:p>
    <w:p w14:paraId="5BDDB32B" w14:textId="4F47EC97" w:rsidR="00126B57" w:rsidRDefault="00432C8D" w:rsidP="00126B57">
      <w:pPr>
        <w:jc w:val="both"/>
        <w:rPr>
          <w:rFonts w:asciiTheme="majorBidi" w:hAnsiTheme="majorBidi" w:cstheme="majorBidi"/>
          <w:b/>
          <w:bCs/>
          <w:sz w:val="24"/>
          <w:szCs w:val="24"/>
        </w:rPr>
      </w:pPr>
      <w:r>
        <w:rPr>
          <w:rFonts w:asciiTheme="majorBidi" w:hAnsiTheme="majorBidi" w:cstheme="majorBidi"/>
          <w:b/>
          <w:bCs/>
          <w:sz w:val="24"/>
          <w:szCs w:val="24"/>
        </w:rPr>
        <w:t>Supplementary Methods</w:t>
      </w:r>
    </w:p>
    <w:p w14:paraId="734B188F" w14:textId="14D22A94" w:rsidR="002956F3" w:rsidRPr="00A90D1E" w:rsidRDefault="00AC00C5" w:rsidP="00AC00C5">
      <w:pPr>
        <w:jc w:val="both"/>
        <w:rPr>
          <w:rFonts w:asciiTheme="majorBidi" w:hAnsiTheme="majorBidi" w:cstheme="majorBidi"/>
          <w:b/>
          <w:bCs/>
          <w:sz w:val="24"/>
          <w:szCs w:val="24"/>
        </w:rPr>
      </w:pPr>
      <w:r>
        <w:rPr>
          <w:rFonts w:asciiTheme="majorBidi" w:hAnsiTheme="majorBidi" w:cstheme="majorBidi"/>
          <w:b/>
          <w:bCs/>
          <w:sz w:val="24"/>
          <w:szCs w:val="24"/>
        </w:rPr>
        <w:t>Q</w:t>
      </w:r>
      <w:r w:rsidR="002956F3" w:rsidRPr="00A90D1E">
        <w:rPr>
          <w:rFonts w:asciiTheme="majorBidi" w:hAnsiTheme="majorBidi" w:cstheme="majorBidi"/>
          <w:b/>
          <w:bCs/>
          <w:sz w:val="24"/>
          <w:szCs w:val="24"/>
        </w:rPr>
        <w:t xml:space="preserve">uality control </w:t>
      </w:r>
      <w:r w:rsidR="004E3A90">
        <w:rPr>
          <w:rFonts w:asciiTheme="majorBidi" w:hAnsiTheme="majorBidi" w:cstheme="majorBidi"/>
          <w:b/>
          <w:bCs/>
          <w:sz w:val="24"/>
          <w:szCs w:val="24"/>
        </w:rPr>
        <w:t xml:space="preserve">of </w:t>
      </w:r>
      <w:r w:rsidR="002956F3" w:rsidRPr="00A90D1E">
        <w:rPr>
          <w:rFonts w:asciiTheme="majorBidi" w:hAnsiTheme="majorBidi" w:cstheme="majorBidi"/>
          <w:b/>
          <w:bCs/>
          <w:sz w:val="24"/>
          <w:szCs w:val="24"/>
        </w:rPr>
        <w:t>metabolomic</w:t>
      </w:r>
      <w:r w:rsidR="004E3A90">
        <w:rPr>
          <w:rFonts w:asciiTheme="majorBidi" w:hAnsiTheme="majorBidi" w:cstheme="majorBidi"/>
          <w:b/>
          <w:bCs/>
          <w:sz w:val="24"/>
          <w:szCs w:val="24"/>
        </w:rPr>
        <w:t>s data</w:t>
      </w:r>
    </w:p>
    <w:p w14:paraId="00FE5F12" w14:textId="1BD2E6C1" w:rsidR="002057C6" w:rsidRPr="002D587A" w:rsidRDefault="008C0A42" w:rsidP="002C2DB3">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Serum levels of 517 targeted metabolites were measured using liquid chromatography-mass spectrometry (LC-MS) at </w:t>
      </w:r>
      <w:proofErr w:type="spellStart"/>
      <w:r>
        <w:rPr>
          <w:rFonts w:asciiTheme="majorBidi" w:hAnsiTheme="majorBidi" w:cstheme="majorBidi"/>
          <w:sz w:val="24"/>
          <w:szCs w:val="24"/>
        </w:rPr>
        <w:t>Biocrates</w:t>
      </w:r>
      <w:proofErr w:type="spellEnd"/>
      <w:r>
        <w:rPr>
          <w:rFonts w:asciiTheme="majorBidi" w:hAnsiTheme="majorBidi" w:cstheme="majorBidi"/>
          <w:sz w:val="24"/>
          <w:szCs w:val="24"/>
        </w:rPr>
        <w:t xml:space="preserve"> Inc. The targeted metabolomics approach utilized the </w:t>
      </w:r>
      <w:proofErr w:type="spellStart"/>
      <w:r>
        <w:rPr>
          <w:rFonts w:asciiTheme="majorBidi" w:hAnsiTheme="majorBidi" w:cstheme="majorBidi"/>
          <w:sz w:val="24"/>
          <w:szCs w:val="24"/>
        </w:rPr>
        <w:t>MxP</w:t>
      </w:r>
      <w:proofErr w:type="spellEnd"/>
      <w:r>
        <w:rPr>
          <w:rFonts w:asciiTheme="majorBidi" w:hAnsiTheme="majorBidi" w:cstheme="majorBidi"/>
          <w:sz w:val="24"/>
          <w:szCs w:val="24"/>
        </w:rPr>
        <w:t>® Quant 500 assay, which primarily focused on various lipids</w:t>
      </w:r>
      <w:r w:rsidR="00F44183">
        <w:rPr>
          <w:rFonts w:asciiTheme="majorBidi" w:hAnsiTheme="majorBidi" w:cstheme="majorBidi"/>
          <w:sz w:val="24"/>
          <w:szCs w:val="24"/>
        </w:rPr>
        <w:t xml:space="preserve"> </w:t>
      </w:r>
      <w:r>
        <w:rPr>
          <w:rFonts w:asciiTheme="majorBidi" w:hAnsiTheme="majorBidi" w:cstheme="majorBidi"/>
          <w:sz w:val="24"/>
          <w:szCs w:val="24"/>
        </w:rPr>
        <w:t>but also included amino acid-related metabolites</w:t>
      </w:r>
      <w:r w:rsidR="00774F5C">
        <w:rPr>
          <w:rFonts w:asciiTheme="majorBidi" w:hAnsiTheme="majorBidi" w:cstheme="majorBidi"/>
          <w:sz w:val="24"/>
          <w:szCs w:val="24"/>
        </w:rPr>
        <w:t xml:space="preserve"> and</w:t>
      </w:r>
      <w:r>
        <w:rPr>
          <w:rFonts w:asciiTheme="majorBidi" w:hAnsiTheme="majorBidi" w:cstheme="majorBidi"/>
          <w:sz w:val="24"/>
          <w:szCs w:val="24"/>
        </w:rPr>
        <w:t xml:space="preserve"> assays for eicosanoids and oxysterols.</w:t>
      </w:r>
      <w:r w:rsidR="004E3A90">
        <w:rPr>
          <w:rFonts w:asciiTheme="majorBidi" w:hAnsiTheme="majorBidi" w:cstheme="majorBidi"/>
          <w:sz w:val="24"/>
          <w:szCs w:val="24"/>
        </w:rPr>
        <w:t xml:space="preserve"> </w:t>
      </w:r>
      <w:r w:rsidR="006D1022">
        <w:rPr>
          <w:rFonts w:asciiTheme="majorBidi" w:hAnsiTheme="majorBidi" w:cstheme="majorBidi"/>
          <w:sz w:val="24"/>
          <w:szCs w:val="24"/>
        </w:rPr>
        <w:t>Our previous pa</w:t>
      </w:r>
      <w:r w:rsidR="0006646D">
        <w:rPr>
          <w:rFonts w:asciiTheme="majorBidi" w:hAnsiTheme="majorBidi" w:cstheme="majorBidi"/>
          <w:sz w:val="24"/>
          <w:szCs w:val="24"/>
        </w:rPr>
        <w:t xml:space="preserve">per </w:t>
      </w:r>
      <w:r w:rsidR="00F75045">
        <w:rPr>
          <w:rFonts w:asciiTheme="majorBidi" w:hAnsiTheme="majorBidi" w:cstheme="majorBidi"/>
          <w:sz w:val="24"/>
          <w:szCs w:val="24"/>
        </w:rPr>
        <w:fldChar w:fldCharType="begin"/>
      </w:r>
      <w:r w:rsidR="004860AC">
        <w:rPr>
          <w:rFonts w:asciiTheme="majorBidi" w:hAnsiTheme="majorBidi" w:cstheme="majorBidi"/>
          <w:sz w:val="24"/>
          <w:szCs w:val="24"/>
        </w:rPr>
        <w:instrText xml:space="preserve"> ADDIN EN.CITE &lt;EndNote&gt;&lt;Cite&gt;&lt;Author&gt;Noroozi&lt;/Author&gt;&lt;Year&gt;2025&lt;/Year&gt;&lt;RecNum&gt;5&lt;/RecNum&gt;&lt;DisplayText&gt;[1]&lt;/DisplayText&gt;&lt;record&gt;&lt;rec-number&gt;5&lt;/rec-number&gt;&lt;foreign-keys&gt;&lt;key app="EN" db-id="wzrdx9s5uss2t6edw5ypfssvtxws2wpwr2xx" timestamp="1747846780"&gt;5&lt;/key&gt;&lt;/foreign-keys&gt;&lt;ref-type name="Journal Article"&gt;17&lt;/ref-type&gt;&lt;contributors&gt;&lt;authors&gt;&lt;author&gt;Noroozi, Rezvan&lt;/author&gt;&lt;author&gt;Tsai, Hui-Hsin&lt;/author&gt;&lt;author&gt;Yu, Ketian&lt;/author&gt;&lt;author&gt;Bronson, Paola&lt;/author&gt;&lt;author&gt;Samuel, Karunakar&lt;/author&gt;&lt;author&gt;Trinh, Kien&lt;/author&gt;&lt;author&gt;Wei, Ru&lt;/author&gt;&lt;author&gt;Tsai, Ellen&lt;/author&gt;&lt;author&gt;Briggs, Farren BS&lt;/author&gt;&lt;author&gt;Bhargava, Pavan&lt;/author&gt;&lt;/authors&gt;&lt;/contributors&gt;&lt;titles&gt;&lt;title&gt;Metabolic and lipid alterations in multiple sclerosis linked to disease severity&lt;/title&gt;&lt;secondary-title&gt;Multiple Sclerosis Journal&lt;/secondary-title&gt;&lt;/titles&gt;&lt;periodical&gt;&lt;full-title&gt;Multiple Sclerosis Journal&lt;/full-title&gt;&lt;/periodical&gt;&lt;pages&gt;13524585251325468&lt;/pages&gt;&lt;dates&gt;&lt;year&gt;2025&lt;/year&gt;&lt;/dates&gt;&lt;isbn&gt;1352-4585&lt;/isbn&gt;&lt;urls&gt;&lt;/urls&gt;&lt;/record&gt;&lt;/Cite&gt;&lt;/EndNote&gt;</w:instrText>
      </w:r>
      <w:r w:rsidR="00F75045">
        <w:rPr>
          <w:rFonts w:asciiTheme="majorBidi" w:hAnsiTheme="majorBidi" w:cstheme="majorBidi"/>
          <w:sz w:val="24"/>
          <w:szCs w:val="24"/>
        </w:rPr>
        <w:fldChar w:fldCharType="separate"/>
      </w:r>
      <w:r w:rsidR="004860AC">
        <w:rPr>
          <w:rFonts w:asciiTheme="majorBidi" w:hAnsiTheme="majorBidi" w:cstheme="majorBidi"/>
          <w:noProof/>
          <w:sz w:val="24"/>
          <w:szCs w:val="24"/>
        </w:rPr>
        <w:t>[1]</w:t>
      </w:r>
      <w:r w:rsidR="00F75045">
        <w:rPr>
          <w:rFonts w:asciiTheme="majorBidi" w:hAnsiTheme="majorBidi" w:cstheme="majorBidi"/>
          <w:sz w:val="24"/>
          <w:szCs w:val="24"/>
        </w:rPr>
        <w:fldChar w:fldCharType="end"/>
      </w:r>
      <w:r w:rsidR="006D1022">
        <w:rPr>
          <w:rFonts w:asciiTheme="majorBidi" w:hAnsiTheme="majorBidi" w:cstheme="majorBidi"/>
          <w:sz w:val="24"/>
          <w:szCs w:val="24"/>
        </w:rPr>
        <w:t xml:space="preserve"> reported the detailed pipeline for quality control of metabolomics profiles and the samples included</w:t>
      </w:r>
      <w:r w:rsidR="00260165">
        <w:rPr>
          <w:rFonts w:asciiTheme="majorBidi" w:hAnsiTheme="majorBidi" w:cstheme="majorBidi"/>
          <w:sz w:val="24"/>
          <w:szCs w:val="24"/>
        </w:rPr>
        <w:t>.</w:t>
      </w:r>
      <w:r w:rsidR="00774F5C">
        <w:rPr>
          <w:rFonts w:asciiTheme="majorBidi" w:hAnsiTheme="majorBidi" w:cstheme="majorBidi"/>
          <w:sz w:val="24"/>
          <w:szCs w:val="24"/>
        </w:rPr>
        <w:t xml:space="preserve"> </w:t>
      </w:r>
    </w:p>
    <w:p w14:paraId="1426A502" w14:textId="1AF92695" w:rsidR="007F622E" w:rsidRPr="008B0814" w:rsidRDefault="005E71D4" w:rsidP="007F622E">
      <w:pPr>
        <w:spacing w:line="240" w:lineRule="auto"/>
        <w:jc w:val="both"/>
        <w:rPr>
          <w:rFonts w:asciiTheme="majorBidi" w:hAnsiTheme="majorBidi" w:cstheme="majorBidi"/>
          <w:color w:val="000000" w:themeColor="text1"/>
          <w:sz w:val="24"/>
          <w:szCs w:val="24"/>
        </w:rPr>
      </w:pPr>
      <w:r w:rsidRPr="008B0814">
        <w:rPr>
          <w:rFonts w:asciiTheme="majorBidi" w:hAnsiTheme="majorBidi" w:cstheme="majorBidi"/>
          <w:b/>
          <w:bCs/>
          <w:color w:val="000000" w:themeColor="text1"/>
          <w:sz w:val="24"/>
          <w:szCs w:val="24"/>
        </w:rPr>
        <w:t xml:space="preserve">Supplementary Table 1. </w:t>
      </w:r>
      <w:r w:rsidR="00713926" w:rsidRPr="008B0814">
        <w:rPr>
          <w:rFonts w:asciiTheme="majorBidi" w:hAnsiTheme="majorBidi" w:cstheme="majorBidi"/>
          <w:color w:val="000000" w:themeColor="text1"/>
          <w:sz w:val="24"/>
          <w:szCs w:val="24"/>
        </w:rPr>
        <w:t>Categories of Disease-Modifying Therapies (DMTs) Based on Efficacy Levels.</w:t>
      </w:r>
    </w:p>
    <w:tbl>
      <w:tblPr>
        <w:tblStyle w:val="PlainTable4"/>
        <w:tblW w:w="0" w:type="auto"/>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1583"/>
        <w:gridCol w:w="1837"/>
        <w:gridCol w:w="5940"/>
      </w:tblGrid>
      <w:tr w:rsidR="008B0814" w:rsidRPr="008B0814" w14:paraId="0B555F7B" w14:textId="77777777" w:rsidTr="008B0814">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83" w:type="dxa"/>
            <w:tcBorders>
              <w:bottom w:val="single" w:sz="4" w:space="0" w:color="auto"/>
            </w:tcBorders>
            <w:shd w:val="clear" w:color="auto" w:fill="FFFFFF" w:themeFill="background1"/>
            <w:noWrap/>
            <w:hideMark/>
          </w:tcPr>
          <w:p w14:paraId="1DA4D10C" w14:textId="77777777" w:rsidR="007F622E" w:rsidRPr="008B0814" w:rsidRDefault="007F622E" w:rsidP="007F622E">
            <w:pPr>
              <w:jc w:val="both"/>
              <w:rPr>
                <w:rFonts w:asciiTheme="majorBidi" w:hAnsiTheme="majorBidi" w:cstheme="majorBidi"/>
                <w:color w:val="000000" w:themeColor="text1"/>
                <w:sz w:val="24"/>
                <w:szCs w:val="24"/>
              </w:rPr>
            </w:pPr>
            <w:r w:rsidRPr="008B0814">
              <w:rPr>
                <w:rFonts w:asciiTheme="majorBidi" w:hAnsiTheme="majorBidi" w:cstheme="majorBidi"/>
                <w:color w:val="000000" w:themeColor="text1"/>
                <w:sz w:val="24"/>
                <w:szCs w:val="24"/>
              </w:rPr>
              <w:t>Efficacy level</w:t>
            </w:r>
          </w:p>
        </w:tc>
        <w:tc>
          <w:tcPr>
            <w:tcW w:w="1837" w:type="dxa"/>
            <w:tcBorders>
              <w:bottom w:val="single" w:sz="4" w:space="0" w:color="auto"/>
            </w:tcBorders>
            <w:shd w:val="clear" w:color="auto" w:fill="FFFFFF" w:themeFill="background1"/>
            <w:noWrap/>
            <w:hideMark/>
          </w:tcPr>
          <w:p w14:paraId="56F46DCF" w14:textId="77777777" w:rsidR="007F622E" w:rsidRPr="008B0814" w:rsidRDefault="007F622E" w:rsidP="007F622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8B0814">
              <w:rPr>
                <w:rFonts w:asciiTheme="majorBidi" w:hAnsiTheme="majorBidi" w:cstheme="majorBidi"/>
                <w:color w:val="000000" w:themeColor="text1"/>
                <w:sz w:val="24"/>
                <w:szCs w:val="24"/>
              </w:rPr>
              <w:t>Administration</w:t>
            </w:r>
          </w:p>
        </w:tc>
        <w:tc>
          <w:tcPr>
            <w:tcW w:w="5940" w:type="dxa"/>
            <w:tcBorders>
              <w:bottom w:val="single" w:sz="4" w:space="0" w:color="auto"/>
            </w:tcBorders>
            <w:shd w:val="clear" w:color="auto" w:fill="FFFFFF" w:themeFill="background1"/>
            <w:noWrap/>
            <w:hideMark/>
          </w:tcPr>
          <w:p w14:paraId="7A257DBB" w14:textId="77777777" w:rsidR="007F622E" w:rsidRPr="008B0814" w:rsidRDefault="007F622E" w:rsidP="007F622E">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8B0814">
              <w:rPr>
                <w:rFonts w:asciiTheme="majorBidi" w:hAnsiTheme="majorBidi" w:cstheme="majorBidi"/>
                <w:color w:val="000000" w:themeColor="text1"/>
                <w:sz w:val="24"/>
                <w:szCs w:val="24"/>
              </w:rPr>
              <w:t xml:space="preserve">DMT </w:t>
            </w:r>
          </w:p>
        </w:tc>
      </w:tr>
      <w:tr w:rsidR="008B0814" w:rsidRPr="008B0814" w14:paraId="1BF3EB8F" w14:textId="77777777" w:rsidTr="008B081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83" w:type="dxa"/>
            <w:tcBorders>
              <w:top w:val="single" w:sz="4" w:space="0" w:color="auto"/>
              <w:bottom w:val="single" w:sz="4" w:space="0" w:color="auto"/>
            </w:tcBorders>
            <w:shd w:val="clear" w:color="auto" w:fill="FFFFFF" w:themeFill="background1"/>
            <w:noWrap/>
            <w:hideMark/>
          </w:tcPr>
          <w:p w14:paraId="653C9E90" w14:textId="77777777" w:rsidR="007F622E" w:rsidRPr="008B0814" w:rsidRDefault="007F622E" w:rsidP="007F622E">
            <w:pPr>
              <w:jc w:val="both"/>
              <w:rPr>
                <w:rFonts w:asciiTheme="majorBidi" w:hAnsiTheme="majorBidi" w:cstheme="majorBidi"/>
                <w:b w:val="0"/>
                <w:bCs w:val="0"/>
                <w:color w:val="000000" w:themeColor="text1"/>
                <w:sz w:val="24"/>
                <w:szCs w:val="24"/>
              </w:rPr>
            </w:pPr>
            <w:r w:rsidRPr="008B0814">
              <w:rPr>
                <w:rFonts w:asciiTheme="majorBidi" w:hAnsiTheme="majorBidi" w:cstheme="majorBidi"/>
                <w:b w:val="0"/>
                <w:bCs w:val="0"/>
                <w:color w:val="000000" w:themeColor="text1"/>
                <w:sz w:val="24"/>
                <w:szCs w:val="24"/>
              </w:rPr>
              <w:t xml:space="preserve">Low </w:t>
            </w:r>
          </w:p>
        </w:tc>
        <w:tc>
          <w:tcPr>
            <w:tcW w:w="1837" w:type="dxa"/>
            <w:tcBorders>
              <w:top w:val="single" w:sz="4" w:space="0" w:color="auto"/>
              <w:bottom w:val="single" w:sz="4" w:space="0" w:color="auto"/>
            </w:tcBorders>
            <w:shd w:val="clear" w:color="auto" w:fill="FFFFFF" w:themeFill="background1"/>
            <w:noWrap/>
            <w:hideMark/>
          </w:tcPr>
          <w:p w14:paraId="619BF2F2" w14:textId="77777777" w:rsidR="007F622E" w:rsidRPr="008B0814" w:rsidRDefault="007F622E" w:rsidP="007F622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r w:rsidRPr="008B0814">
              <w:rPr>
                <w:rFonts w:asciiTheme="majorBidi" w:hAnsiTheme="majorBidi" w:cstheme="majorBidi"/>
                <w:color w:val="000000" w:themeColor="text1"/>
                <w:sz w:val="24"/>
                <w:szCs w:val="24"/>
              </w:rPr>
              <w:t xml:space="preserve">Injectable </w:t>
            </w:r>
          </w:p>
        </w:tc>
        <w:tc>
          <w:tcPr>
            <w:tcW w:w="5940" w:type="dxa"/>
            <w:tcBorders>
              <w:top w:val="single" w:sz="4" w:space="0" w:color="auto"/>
              <w:bottom w:val="single" w:sz="4" w:space="0" w:color="auto"/>
            </w:tcBorders>
            <w:shd w:val="clear" w:color="auto" w:fill="FFFFFF" w:themeFill="background1"/>
            <w:noWrap/>
            <w:hideMark/>
          </w:tcPr>
          <w:p w14:paraId="36C418B0" w14:textId="77777777" w:rsidR="007F622E" w:rsidRPr="008B0814" w:rsidRDefault="007F622E" w:rsidP="007F622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r w:rsidRPr="008B0814">
              <w:rPr>
                <w:rFonts w:asciiTheme="majorBidi" w:hAnsiTheme="majorBidi" w:cstheme="majorBidi"/>
                <w:color w:val="000000" w:themeColor="text1"/>
                <w:sz w:val="24"/>
                <w:szCs w:val="24"/>
              </w:rPr>
              <w:t xml:space="preserve">Avonex (Interferon beta-1a), </w:t>
            </w:r>
            <w:proofErr w:type="spellStart"/>
            <w:r w:rsidRPr="008B0814">
              <w:rPr>
                <w:rFonts w:asciiTheme="majorBidi" w:hAnsiTheme="majorBidi" w:cstheme="majorBidi"/>
                <w:color w:val="000000" w:themeColor="text1"/>
                <w:sz w:val="24"/>
                <w:szCs w:val="24"/>
              </w:rPr>
              <w:t>Betaseron</w:t>
            </w:r>
            <w:proofErr w:type="spellEnd"/>
            <w:r w:rsidRPr="008B0814">
              <w:rPr>
                <w:rFonts w:asciiTheme="majorBidi" w:hAnsiTheme="majorBidi" w:cstheme="majorBidi"/>
                <w:color w:val="000000" w:themeColor="text1"/>
                <w:sz w:val="24"/>
                <w:szCs w:val="24"/>
              </w:rPr>
              <w:t xml:space="preserve"> (Interferon beta-1b), Copaxone (Glatiramer Acetate), </w:t>
            </w:r>
            <w:proofErr w:type="spellStart"/>
            <w:r w:rsidRPr="008B0814">
              <w:rPr>
                <w:rFonts w:asciiTheme="majorBidi" w:hAnsiTheme="majorBidi" w:cstheme="majorBidi"/>
                <w:color w:val="000000" w:themeColor="text1"/>
                <w:sz w:val="24"/>
                <w:szCs w:val="24"/>
              </w:rPr>
              <w:t>Plegridy</w:t>
            </w:r>
            <w:proofErr w:type="spellEnd"/>
            <w:r w:rsidRPr="008B0814">
              <w:rPr>
                <w:rFonts w:asciiTheme="majorBidi" w:hAnsiTheme="majorBidi" w:cstheme="majorBidi"/>
                <w:color w:val="000000" w:themeColor="text1"/>
                <w:sz w:val="24"/>
                <w:szCs w:val="24"/>
              </w:rPr>
              <w:t xml:space="preserve"> (Peginterferon beta-1a), Rebif (Interferon beta-1a)</w:t>
            </w:r>
          </w:p>
        </w:tc>
      </w:tr>
      <w:tr w:rsidR="008B0814" w:rsidRPr="008B0814" w14:paraId="3703AF47" w14:textId="77777777" w:rsidTr="008B0814">
        <w:trPr>
          <w:trHeight w:val="290"/>
        </w:trPr>
        <w:tc>
          <w:tcPr>
            <w:cnfStyle w:val="001000000000" w:firstRow="0" w:lastRow="0" w:firstColumn="1" w:lastColumn="0" w:oddVBand="0" w:evenVBand="0" w:oddHBand="0" w:evenHBand="0" w:firstRowFirstColumn="0" w:firstRowLastColumn="0" w:lastRowFirstColumn="0" w:lastRowLastColumn="0"/>
            <w:tcW w:w="1583" w:type="dxa"/>
            <w:tcBorders>
              <w:top w:val="single" w:sz="4" w:space="0" w:color="auto"/>
              <w:bottom w:val="single" w:sz="4" w:space="0" w:color="auto"/>
            </w:tcBorders>
            <w:shd w:val="clear" w:color="auto" w:fill="FFFFFF" w:themeFill="background1"/>
            <w:noWrap/>
            <w:hideMark/>
          </w:tcPr>
          <w:p w14:paraId="77A09BB2" w14:textId="77777777" w:rsidR="007F622E" w:rsidRPr="008B0814" w:rsidRDefault="007F622E" w:rsidP="007F622E">
            <w:pPr>
              <w:jc w:val="both"/>
              <w:rPr>
                <w:rFonts w:asciiTheme="majorBidi" w:hAnsiTheme="majorBidi" w:cstheme="majorBidi"/>
                <w:b w:val="0"/>
                <w:bCs w:val="0"/>
                <w:color w:val="000000" w:themeColor="text1"/>
                <w:sz w:val="24"/>
                <w:szCs w:val="24"/>
              </w:rPr>
            </w:pPr>
            <w:r w:rsidRPr="008B0814">
              <w:rPr>
                <w:rFonts w:asciiTheme="majorBidi" w:hAnsiTheme="majorBidi" w:cstheme="majorBidi"/>
                <w:b w:val="0"/>
                <w:bCs w:val="0"/>
                <w:color w:val="000000" w:themeColor="text1"/>
                <w:sz w:val="24"/>
                <w:szCs w:val="24"/>
              </w:rPr>
              <w:t xml:space="preserve">Moderate </w:t>
            </w:r>
          </w:p>
        </w:tc>
        <w:tc>
          <w:tcPr>
            <w:tcW w:w="1837" w:type="dxa"/>
            <w:tcBorders>
              <w:top w:val="single" w:sz="4" w:space="0" w:color="auto"/>
              <w:bottom w:val="single" w:sz="4" w:space="0" w:color="auto"/>
            </w:tcBorders>
            <w:shd w:val="clear" w:color="auto" w:fill="FFFFFF" w:themeFill="background1"/>
            <w:noWrap/>
            <w:hideMark/>
          </w:tcPr>
          <w:p w14:paraId="6781F831" w14:textId="77777777" w:rsidR="007F622E" w:rsidRPr="008B0814" w:rsidRDefault="007F622E" w:rsidP="007F622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r w:rsidRPr="008B0814">
              <w:rPr>
                <w:rFonts w:asciiTheme="majorBidi" w:hAnsiTheme="majorBidi" w:cstheme="majorBidi"/>
                <w:color w:val="000000" w:themeColor="text1"/>
                <w:sz w:val="24"/>
                <w:szCs w:val="24"/>
              </w:rPr>
              <w:t>Oral</w:t>
            </w:r>
          </w:p>
        </w:tc>
        <w:tc>
          <w:tcPr>
            <w:tcW w:w="5940" w:type="dxa"/>
            <w:tcBorders>
              <w:top w:val="single" w:sz="4" w:space="0" w:color="auto"/>
              <w:bottom w:val="single" w:sz="4" w:space="0" w:color="auto"/>
            </w:tcBorders>
            <w:shd w:val="clear" w:color="auto" w:fill="FFFFFF" w:themeFill="background1"/>
            <w:noWrap/>
            <w:hideMark/>
          </w:tcPr>
          <w:p w14:paraId="001B6BD0" w14:textId="77777777" w:rsidR="007F622E" w:rsidRPr="008B0814" w:rsidRDefault="007F622E" w:rsidP="007F622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rPr>
            </w:pPr>
            <w:proofErr w:type="spellStart"/>
            <w:r w:rsidRPr="008B0814">
              <w:rPr>
                <w:rFonts w:asciiTheme="majorBidi" w:hAnsiTheme="majorBidi" w:cstheme="majorBidi"/>
                <w:color w:val="000000" w:themeColor="text1"/>
                <w:sz w:val="24"/>
                <w:szCs w:val="24"/>
              </w:rPr>
              <w:t>Aubagio</w:t>
            </w:r>
            <w:proofErr w:type="spellEnd"/>
            <w:r w:rsidRPr="008B0814">
              <w:rPr>
                <w:rFonts w:asciiTheme="majorBidi" w:hAnsiTheme="majorBidi" w:cstheme="majorBidi"/>
                <w:color w:val="000000" w:themeColor="text1"/>
                <w:sz w:val="24"/>
                <w:szCs w:val="24"/>
              </w:rPr>
              <w:t xml:space="preserve"> (Teriflunomide), </w:t>
            </w:r>
            <w:proofErr w:type="spellStart"/>
            <w:r w:rsidRPr="008B0814">
              <w:rPr>
                <w:rFonts w:asciiTheme="majorBidi" w:hAnsiTheme="majorBidi" w:cstheme="majorBidi"/>
                <w:color w:val="000000" w:themeColor="text1"/>
                <w:sz w:val="24"/>
                <w:szCs w:val="24"/>
              </w:rPr>
              <w:t>Gilenya</w:t>
            </w:r>
            <w:proofErr w:type="spellEnd"/>
            <w:r w:rsidRPr="008B0814">
              <w:rPr>
                <w:rFonts w:asciiTheme="majorBidi" w:hAnsiTheme="majorBidi" w:cstheme="majorBidi"/>
                <w:color w:val="000000" w:themeColor="text1"/>
                <w:sz w:val="24"/>
                <w:szCs w:val="24"/>
              </w:rPr>
              <w:t xml:space="preserve"> (Fingolimod), </w:t>
            </w:r>
            <w:proofErr w:type="spellStart"/>
            <w:r w:rsidRPr="008B0814">
              <w:rPr>
                <w:rFonts w:asciiTheme="majorBidi" w:hAnsiTheme="majorBidi" w:cstheme="majorBidi"/>
                <w:color w:val="000000" w:themeColor="text1"/>
                <w:sz w:val="24"/>
                <w:szCs w:val="24"/>
              </w:rPr>
              <w:t>Mayzent</w:t>
            </w:r>
            <w:proofErr w:type="spellEnd"/>
            <w:r w:rsidRPr="008B0814">
              <w:rPr>
                <w:rFonts w:asciiTheme="majorBidi" w:hAnsiTheme="majorBidi" w:cstheme="majorBidi"/>
                <w:color w:val="000000" w:themeColor="text1"/>
                <w:sz w:val="24"/>
                <w:szCs w:val="24"/>
              </w:rPr>
              <w:t xml:space="preserve"> (Siponimod), Tecfidera (Dimethyl Fumarate)</w:t>
            </w:r>
          </w:p>
        </w:tc>
      </w:tr>
      <w:tr w:rsidR="008B0814" w:rsidRPr="008B0814" w14:paraId="5D222A2D" w14:textId="77777777" w:rsidTr="008B081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83" w:type="dxa"/>
            <w:tcBorders>
              <w:top w:val="single" w:sz="4" w:space="0" w:color="auto"/>
            </w:tcBorders>
            <w:shd w:val="clear" w:color="auto" w:fill="FFFFFF" w:themeFill="background1"/>
            <w:noWrap/>
            <w:hideMark/>
          </w:tcPr>
          <w:p w14:paraId="236810C9" w14:textId="77777777" w:rsidR="007F622E" w:rsidRPr="008B0814" w:rsidRDefault="007F622E" w:rsidP="007F622E">
            <w:pPr>
              <w:jc w:val="both"/>
              <w:rPr>
                <w:rFonts w:asciiTheme="majorBidi" w:hAnsiTheme="majorBidi" w:cstheme="majorBidi"/>
                <w:b w:val="0"/>
                <w:bCs w:val="0"/>
                <w:color w:val="000000" w:themeColor="text1"/>
                <w:sz w:val="24"/>
                <w:szCs w:val="24"/>
              </w:rPr>
            </w:pPr>
            <w:r w:rsidRPr="008B0814">
              <w:rPr>
                <w:rFonts w:asciiTheme="majorBidi" w:hAnsiTheme="majorBidi" w:cstheme="majorBidi"/>
                <w:b w:val="0"/>
                <w:bCs w:val="0"/>
                <w:color w:val="000000" w:themeColor="text1"/>
                <w:sz w:val="24"/>
                <w:szCs w:val="24"/>
              </w:rPr>
              <w:t xml:space="preserve">High </w:t>
            </w:r>
          </w:p>
        </w:tc>
        <w:tc>
          <w:tcPr>
            <w:tcW w:w="1837" w:type="dxa"/>
            <w:tcBorders>
              <w:top w:val="single" w:sz="4" w:space="0" w:color="auto"/>
            </w:tcBorders>
            <w:shd w:val="clear" w:color="auto" w:fill="FFFFFF" w:themeFill="background1"/>
            <w:noWrap/>
            <w:hideMark/>
          </w:tcPr>
          <w:p w14:paraId="6A58B6A6" w14:textId="77777777" w:rsidR="007F622E" w:rsidRPr="008B0814" w:rsidRDefault="007F622E" w:rsidP="007F622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r w:rsidRPr="008B0814">
              <w:rPr>
                <w:rFonts w:asciiTheme="majorBidi" w:hAnsiTheme="majorBidi" w:cstheme="majorBidi"/>
                <w:color w:val="000000" w:themeColor="text1"/>
                <w:sz w:val="24"/>
                <w:szCs w:val="24"/>
              </w:rPr>
              <w:t>Infusion</w:t>
            </w:r>
          </w:p>
        </w:tc>
        <w:tc>
          <w:tcPr>
            <w:tcW w:w="5940" w:type="dxa"/>
            <w:tcBorders>
              <w:top w:val="single" w:sz="4" w:space="0" w:color="auto"/>
            </w:tcBorders>
            <w:shd w:val="clear" w:color="auto" w:fill="FFFFFF" w:themeFill="background1"/>
            <w:noWrap/>
            <w:hideMark/>
          </w:tcPr>
          <w:p w14:paraId="6863F105" w14:textId="77777777" w:rsidR="007F622E" w:rsidRPr="008B0814" w:rsidRDefault="007F622E" w:rsidP="007F622E">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rPr>
            </w:pPr>
            <w:r w:rsidRPr="008B0814">
              <w:rPr>
                <w:rFonts w:asciiTheme="majorBidi" w:hAnsiTheme="majorBidi" w:cstheme="majorBidi"/>
                <w:color w:val="000000" w:themeColor="text1"/>
                <w:sz w:val="24"/>
                <w:szCs w:val="24"/>
              </w:rPr>
              <w:t xml:space="preserve">Lemtrada (Alemtuzumab), </w:t>
            </w:r>
            <w:proofErr w:type="spellStart"/>
            <w:r w:rsidRPr="008B0814">
              <w:rPr>
                <w:rFonts w:asciiTheme="majorBidi" w:hAnsiTheme="majorBidi" w:cstheme="majorBidi"/>
                <w:color w:val="000000" w:themeColor="text1"/>
                <w:sz w:val="24"/>
                <w:szCs w:val="24"/>
              </w:rPr>
              <w:t>Novantrone</w:t>
            </w:r>
            <w:proofErr w:type="spellEnd"/>
            <w:r w:rsidRPr="008B0814">
              <w:rPr>
                <w:rFonts w:asciiTheme="majorBidi" w:hAnsiTheme="majorBidi" w:cstheme="majorBidi"/>
                <w:color w:val="000000" w:themeColor="text1"/>
                <w:sz w:val="24"/>
                <w:szCs w:val="24"/>
              </w:rPr>
              <w:t xml:space="preserve"> (Mitoxantrone), Ocrevus (Ocrelizumab), Rituxan (Rituximab), Tysabri (Natalizumab)</w:t>
            </w:r>
          </w:p>
        </w:tc>
      </w:tr>
    </w:tbl>
    <w:p w14:paraId="1E780F01" w14:textId="77777777" w:rsidR="00904BEB" w:rsidRDefault="00904BEB" w:rsidP="00700134">
      <w:pPr>
        <w:pStyle w:val="Default"/>
        <w:rPr>
          <w:rFonts w:asciiTheme="majorBidi" w:hAnsiTheme="majorBidi" w:cstheme="majorBidi"/>
          <w:b/>
          <w:bCs/>
          <w:color w:val="auto"/>
        </w:rPr>
      </w:pPr>
    </w:p>
    <w:p w14:paraId="02F21B3D" w14:textId="77777777" w:rsidR="00904BEB" w:rsidRDefault="00904BEB" w:rsidP="00700134">
      <w:pPr>
        <w:pStyle w:val="Default"/>
        <w:rPr>
          <w:rFonts w:asciiTheme="majorBidi" w:hAnsiTheme="majorBidi" w:cstheme="majorBidi"/>
          <w:b/>
          <w:bCs/>
          <w:color w:val="auto"/>
        </w:rPr>
      </w:pPr>
    </w:p>
    <w:p w14:paraId="7167B9CA" w14:textId="77777777" w:rsidR="00550B44" w:rsidRDefault="00550B44" w:rsidP="00700134">
      <w:pPr>
        <w:pStyle w:val="Default"/>
        <w:rPr>
          <w:rFonts w:asciiTheme="majorBidi" w:hAnsiTheme="majorBidi" w:cstheme="majorBidi"/>
          <w:b/>
          <w:bCs/>
          <w:color w:val="auto"/>
        </w:rPr>
      </w:pPr>
    </w:p>
    <w:p w14:paraId="0786C7A1" w14:textId="77777777" w:rsidR="00550B44" w:rsidRDefault="00550B44" w:rsidP="00700134">
      <w:pPr>
        <w:pStyle w:val="Default"/>
        <w:rPr>
          <w:rFonts w:asciiTheme="majorBidi" w:hAnsiTheme="majorBidi" w:cstheme="majorBidi"/>
          <w:b/>
          <w:bCs/>
          <w:color w:val="auto"/>
        </w:rPr>
      </w:pPr>
    </w:p>
    <w:p w14:paraId="4F03F989" w14:textId="77777777" w:rsidR="00550B44" w:rsidRDefault="00550B44" w:rsidP="00700134">
      <w:pPr>
        <w:pStyle w:val="Default"/>
        <w:rPr>
          <w:rFonts w:asciiTheme="majorBidi" w:hAnsiTheme="majorBidi" w:cstheme="majorBidi"/>
          <w:b/>
          <w:bCs/>
          <w:color w:val="auto"/>
        </w:rPr>
      </w:pPr>
    </w:p>
    <w:p w14:paraId="2AB7CF2E" w14:textId="77777777" w:rsidR="00550B44" w:rsidRDefault="00550B44" w:rsidP="00700134">
      <w:pPr>
        <w:pStyle w:val="Default"/>
        <w:rPr>
          <w:rFonts w:asciiTheme="majorBidi" w:hAnsiTheme="majorBidi" w:cstheme="majorBidi"/>
          <w:b/>
          <w:bCs/>
          <w:color w:val="auto"/>
        </w:rPr>
      </w:pPr>
    </w:p>
    <w:p w14:paraId="0EC61E7A" w14:textId="77777777" w:rsidR="00550B44" w:rsidRDefault="00550B44" w:rsidP="00700134">
      <w:pPr>
        <w:pStyle w:val="Default"/>
        <w:rPr>
          <w:rFonts w:asciiTheme="majorBidi" w:hAnsiTheme="majorBidi" w:cstheme="majorBidi"/>
          <w:b/>
          <w:bCs/>
          <w:color w:val="auto"/>
        </w:rPr>
      </w:pPr>
    </w:p>
    <w:p w14:paraId="4D458D96" w14:textId="77777777" w:rsidR="00550B44" w:rsidRDefault="00550B44" w:rsidP="00700134">
      <w:pPr>
        <w:pStyle w:val="Default"/>
        <w:rPr>
          <w:rFonts w:asciiTheme="majorBidi" w:hAnsiTheme="majorBidi" w:cstheme="majorBidi"/>
          <w:b/>
          <w:bCs/>
          <w:color w:val="auto"/>
        </w:rPr>
      </w:pPr>
    </w:p>
    <w:p w14:paraId="6AF10082" w14:textId="77777777" w:rsidR="00550B44" w:rsidRDefault="00550B44" w:rsidP="00700134">
      <w:pPr>
        <w:pStyle w:val="Default"/>
        <w:rPr>
          <w:rFonts w:asciiTheme="majorBidi" w:hAnsiTheme="majorBidi" w:cstheme="majorBidi"/>
          <w:b/>
          <w:bCs/>
          <w:color w:val="auto"/>
        </w:rPr>
      </w:pPr>
    </w:p>
    <w:p w14:paraId="2AC9FD84" w14:textId="77777777" w:rsidR="00550B44" w:rsidRDefault="00550B44" w:rsidP="00700134">
      <w:pPr>
        <w:pStyle w:val="Default"/>
        <w:rPr>
          <w:rFonts w:asciiTheme="majorBidi" w:hAnsiTheme="majorBidi" w:cstheme="majorBidi"/>
          <w:b/>
          <w:bCs/>
          <w:color w:val="auto"/>
        </w:rPr>
      </w:pPr>
    </w:p>
    <w:p w14:paraId="44D732C3" w14:textId="77777777" w:rsidR="00550B44" w:rsidRDefault="00550B44" w:rsidP="00700134">
      <w:pPr>
        <w:pStyle w:val="Default"/>
        <w:rPr>
          <w:rFonts w:asciiTheme="majorBidi" w:hAnsiTheme="majorBidi" w:cstheme="majorBidi"/>
          <w:b/>
          <w:bCs/>
          <w:color w:val="auto"/>
        </w:rPr>
      </w:pPr>
    </w:p>
    <w:p w14:paraId="70E22910" w14:textId="77777777" w:rsidR="00550B44" w:rsidRDefault="00550B44" w:rsidP="00700134">
      <w:pPr>
        <w:pStyle w:val="Default"/>
        <w:rPr>
          <w:rFonts w:asciiTheme="majorBidi" w:hAnsiTheme="majorBidi" w:cstheme="majorBidi"/>
          <w:b/>
          <w:bCs/>
          <w:color w:val="auto"/>
        </w:rPr>
      </w:pPr>
    </w:p>
    <w:p w14:paraId="6A10C53B" w14:textId="77777777" w:rsidR="00550B44" w:rsidRDefault="00550B44" w:rsidP="00700134">
      <w:pPr>
        <w:pStyle w:val="Default"/>
        <w:rPr>
          <w:rFonts w:asciiTheme="majorBidi" w:hAnsiTheme="majorBidi" w:cstheme="majorBidi"/>
          <w:b/>
          <w:bCs/>
          <w:color w:val="auto"/>
        </w:rPr>
      </w:pPr>
    </w:p>
    <w:p w14:paraId="4EC8DE5E" w14:textId="77777777" w:rsidR="00550B44" w:rsidRDefault="00550B44" w:rsidP="00700134">
      <w:pPr>
        <w:pStyle w:val="Default"/>
        <w:rPr>
          <w:rFonts w:asciiTheme="majorBidi" w:hAnsiTheme="majorBidi" w:cstheme="majorBidi"/>
          <w:b/>
          <w:bCs/>
          <w:color w:val="auto"/>
        </w:rPr>
      </w:pPr>
    </w:p>
    <w:p w14:paraId="7F453796" w14:textId="77777777" w:rsidR="004860AC" w:rsidRDefault="004860AC" w:rsidP="00700134">
      <w:pPr>
        <w:pStyle w:val="Default"/>
        <w:rPr>
          <w:rFonts w:asciiTheme="majorBidi" w:hAnsiTheme="majorBidi" w:cstheme="majorBidi"/>
          <w:b/>
          <w:bCs/>
          <w:color w:val="auto"/>
        </w:rPr>
      </w:pPr>
    </w:p>
    <w:p w14:paraId="1800D161" w14:textId="77777777" w:rsidR="004860AC" w:rsidRDefault="004860AC" w:rsidP="00700134">
      <w:pPr>
        <w:pStyle w:val="Default"/>
        <w:rPr>
          <w:rFonts w:asciiTheme="majorBidi" w:hAnsiTheme="majorBidi" w:cstheme="majorBidi"/>
          <w:b/>
          <w:bCs/>
          <w:color w:val="auto"/>
        </w:rPr>
      </w:pPr>
    </w:p>
    <w:p w14:paraId="3D7C37CC" w14:textId="77777777" w:rsidR="00550B44" w:rsidRDefault="00550B44" w:rsidP="00700134">
      <w:pPr>
        <w:pStyle w:val="Default"/>
        <w:rPr>
          <w:rFonts w:asciiTheme="majorBidi" w:hAnsiTheme="majorBidi" w:cstheme="majorBidi"/>
          <w:b/>
          <w:bCs/>
          <w:color w:val="auto"/>
        </w:rPr>
      </w:pPr>
    </w:p>
    <w:p w14:paraId="700F690B" w14:textId="77777777" w:rsidR="00550B44" w:rsidRDefault="00550B44" w:rsidP="00700134">
      <w:pPr>
        <w:pStyle w:val="Default"/>
        <w:rPr>
          <w:rFonts w:asciiTheme="majorBidi" w:hAnsiTheme="majorBidi" w:cstheme="majorBidi"/>
          <w:b/>
          <w:bCs/>
          <w:color w:val="auto"/>
        </w:rPr>
      </w:pPr>
    </w:p>
    <w:p w14:paraId="4B4547C4" w14:textId="77777777" w:rsidR="00550B44" w:rsidRDefault="00550B44" w:rsidP="00700134">
      <w:pPr>
        <w:pStyle w:val="Default"/>
        <w:rPr>
          <w:rFonts w:asciiTheme="majorBidi" w:hAnsiTheme="majorBidi" w:cstheme="majorBidi"/>
          <w:b/>
          <w:bCs/>
          <w:color w:val="auto"/>
        </w:rPr>
      </w:pPr>
    </w:p>
    <w:p w14:paraId="244A928C" w14:textId="48DE1F1F" w:rsidR="00550B44" w:rsidRDefault="00550B44" w:rsidP="00904BEB">
      <w:pPr>
        <w:pStyle w:val="Default"/>
        <w:jc w:val="both"/>
        <w:rPr>
          <w:noProof/>
        </w:rPr>
      </w:pPr>
    </w:p>
    <w:p w14:paraId="063CDE84" w14:textId="4686FD35" w:rsidR="00550B44" w:rsidRDefault="00550B44" w:rsidP="00667044">
      <w:pPr>
        <w:pStyle w:val="Default"/>
        <w:jc w:val="both"/>
        <w:rPr>
          <w:noProof/>
        </w:rPr>
      </w:pPr>
    </w:p>
    <w:p w14:paraId="796D54E0" w14:textId="220FE899" w:rsidR="00550B44" w:rsidRDefault="00550B44" w:rsidP="00550B44">
      <w:pPr>
        <w:jc w:val="both"/>
        <w:rPr>
          <w:rFonts w:asciiTheme="majorBidi" w:hAnsiTheme="majorBidi" w:cstheme="majorBidi"/>
          <w:sz w:val="24"/>
          <w:szCs w:val="24"/>
        </w:rPr>
      </w:pPr>
      <w:r w:rsidRPr="008B0814">
        <w:rPr>
          <w:rFonts w:asciiTheme="majorBidi" w:hAnsiTheme="majorBidi" w:cstheme="majorBidi"/>
          <w:b/>
          <w:bCs/>
          <w:color w:val="000000" w:themeColor="text1"/>
          <w:sz w:val="24"/>
          <w:szCs w:val="24"/>
        </w:rPr>
        <w:t xml:space="preserve">Supplementary </w:t>
      </w:r>
      <w:r w:rsidRPr="00A90D1E">
        <w:rPr>
          <w:rFonts w:asciiTheme="majorBidi" w:hAnsiTheme="majorBidi" w:cstheme="majorBidi"/>
          <w:b/>
          <w:bCs/>
          <w:sz w:val="24"/>
          <w:szCs w:val="24"/>
        </w:rPr>
        <w:t xml:space="preserve">Figure </w:t>
      </w:r>
      <w:r w:rsidR="00F80ECF">
        <w:rPr>
          <w:rFonts w:asciiTheme="majorBidi" w:hAnsiTheme="majorBidi" w:cstheme="majorBidi"/>
          <w:b/>
          <w:bCs/>
          <w:sz w:val="24"/>
          <w:szCs w:val="24"/>
        </w:rPr>
        <w:t>1</w:t>
      </w:r>
      <w:r w:rsidRPr="00A90D1E">
        <w:rPr>
          <w:rFonts w:asciiTheme="majorBidi" w:hAnsiTheme="majorBidi" w:cstheme="majorBidi"/>
          <w:b/>
          <w:bCs/>
          <w:sz w:val="24"/>
          <w:szCs w:val="24"/>
        </w:rPr>
        <w:t xml:space="preserve">. </w:t>
      </w:r>
      <w:r w:rsidRPr="00A90D1E">
        <w:rPr>
          <w:rFonts w:asciiTheme="majorBidi" w:hAnsiTheme="majorBidi" w:cstheme="majorBidi"/>
          <w:sz w:val="24"/>
          <w:szCs w:val="24"/>
        </w:rPr>
        <w:t xml:space="preserve">Individual metabolites associated with </w:t>
      </w:r>
      <w:r>
        <w:rPr>
          <w:rFonts w:asciiTheme="majorBidi" w:hAnsiTheme="majorBidi" w:cstheme="majorBidi"/>
          <w:sz w:val="24"/>
          <w:szCs w:val="24"/>
        </w:rPr>
        <w:t>PST</w:t>
      </w:r>
      <w:r w:rsidRPr="00A90D1E">
        <w:rPr>
          <w:rFonts w:asciiTheme="majorBidi" w:hAnsiTheme="majorBidi" w:cstheme="majorBidi"/>
          <w:sz w:val="24"/>
          <w:szCs w:val="24"/>
        </w:rPr>
        <w:t xml:space="preserve"> </w:t>
      </w:r>
      <w:r>
        <w:rPr>
          <w:rFonts w:asciiTheme="majorBidi" w:hAnsiTheme="majorBidi" w:cstheme="majorBidi"/>
          <w:sz w:val="24"/>
          <w:szCs w:val="24"/>
        </w:rPr>
        <w:t>over time</w:t>
      </w:r>
      <w:r w:rsidR="00A632A7">
        <w:rPr>
          <w:rFonts w:asciiTheme="majorBidi" w:hAnsiTheme="majorBidi" w:cstheme="majorBidi"/>
          <w:sz w:val="24"/>
          <w:szCs w:val="24"/>
        </w:rPr>
        <w:t>.</w:t>
      </w:r>
      <w:r>
        <w:rPr>
          <w:rFonts w:asciiTheme="majorBidi" w:hAnsiTheme="majorBidi" w:cstheme="majorBidi"/>
          <w:sz w:val="24"/>
          <w:szCs w:val="24"/>
        </w:rPr>
        <w:t xml:space="preserve"> </w:t>
      </w:r>
    </w:p>
    <w:p w14:paraId="05512CFB" w14:textId="1CDD0EB5" w:rsidR="00550B44" w:rsidRPr="00A90D1E" w:rsidRDefault="00EE2103" w:rsidP="00550B44">
      <w:pPr>
        <w:jc w:val="both"/>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6789E6E8" wp14:editId="25672DD9">
            <wp:extent cx="5943514" cy="2855693"/>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5" cstate="print">
                      <a:extLst>
                        <a:ext uri="{28A0092B-C50C-407E-A947-70E740481C1C}">
                          <a14:useLocalDpi xmlns:a14="http://schemas.microsoft.com/office/drawing/2010/main" val="0"/>
                        </a:ext>
                      </a:extLst>
                    </a:blip>
                    <a:srcRect t="12721" b="19325"/>
                    <a:stretch/>
                  </pic:blipFill>
                  <pic:spPr bwMode="auto">
                    <a:xfrm>
                      <a:off x="0" y="0"/>
                      <a:ext cx="5943600" cy="2855734"/>
                    </a:xfrm>
                    <a:prstGeom prst="rect">
                      <a:avLst/>
                    </a:prstGeom>
                    <a:ln>
                      <a:noFill/>
                    </a:ln>
                    <a:extLst>
                      <a:ext uri="{53640926-AAD7-44D8-BBD7-CCE9431645EC}">
                        <a14:shadowObscured xmlns:a14="http://schemas.microsoft.com/office/drawing/2010/main"/>
                      </a:ext>
                    </a:extLst>
                  </pic:spPr>
                </pic:pic>
              </a:graphicData>
            </a:graphic>
          </wp:inline>
        </w:drawing>
      </w:r>
    </w:p>
    <w:p w14:paraId="6D6AA937" w14:textId="466A3A5B" w:rsidR="00260165" w:rsidRDefault="00260165" w:rsidP="00260165">
      <w:pPr>
        <w:pStyle w:val="Default"/>
        <w:jc w:val="both"/>
        <w:rPr>
          <w:noProof/>
        </w:rPr>
      </w:pPr>
    </w:p>
    <w:p w14:paraId="5658A82B" w14:textId="2C83CC6B" w:rsidR="00264C9E" w:rsidRDefault="00E904E2" w:rsidP="00E904E2">
      <w:pPr>
        <w:jc w:val="both"/>
        <w:rPr>
          <w:noProof/>
        </w:rPr>
      </w:pPr>
      <w:r w:rsidRPr="00E904E2">
        <w:rPr>
          <w:rFonts w:asciiTheme="majorBidi" w:hAnsiTheme="majorBidi" w:cstheme="majorBidi"/>
          <w:sz w:val="24"/>
          <w:szCs w:val="24"/>
        </w:rPr>
        <w:t xml:space="preserve">The </w:t>
      </w:r>
      <w:r w:rsidRPr="00447266">
        <w:rPr>
          <w:rFonts w:asciiTheme="majorBidi" w:hAnsiTheme="majorBidi" w:cstheme="majorBidi"/>
          <w:sz w:val="24"/>
          <w:szCs w:val="24"/>
        </w:rPr>
        <w:t xml:space="preserve">volcano plot </w:t>
      </w:r>
      <w:r>
        <w:rPr>
          <w:rFonts w:asciiTheme="majorBidi" w:hAnsiTheme="majorBidi" w:cstheme="majorBidi"/>
          <w:sz w:val="24"/>
          <w:szCs w:val="24"/>
        </w:rPr>
        <w:t>indicates</w:t>
      </w:r>
      <w:r w:rsidRPr="00447266">
        <w:rPr>
          <w:rFonts w:asciiTheme="majorBidi" w:hAnsiTheme="majorBidi" w:cstheme="majorBidi"/>
          <w:sz w:val="24"/>
          <w:szCs w:val="24"/>
        </w:rPr>
        <w:t xml:space="preserve"> metabolites associated with</w:t>
      </w:r>
      <w:r>
        <w:rPr>
          <w:rFonts w:asciiTheme="majorBidi" w:hAnsiTheme="majorBidi" w:cstheme="majorBidi"/>
          <w:sz w:val="24"/>
          <w:szCs w:val="24"/>
        </w:rPr>
        <w:t xml:space="preserve"> the processing speed</w:t>
      </w:r>
      <w:r w:rsidRPr="00990364">
        <w:rPr>
          <w:rFonts w:asciiTheme="majorBidi" w:hAnsiTheme="majorBidi" w:cstheme="majorBidi"/>
          <w:sz w:val="24"/>
          <w:szCs w:val="24"/>
        </w:rPr>
        <w:t xml:space="preserve"> </w:t>
      </w:r>
      <w:r>
        <w:rPr>
          <w:rFonts w:asciiTheme="majorBidi" w:hAnsiTheme="majorBidi" w:cstheme="majorBidi"/>
          <w:sz w:val="24"/>
          <w:szCs w:val="24"/>
        </w:rPr>
        <w:t>score. E</w:t>
      </w:r>
      <w:r w:rsidRPr="00447266">
        <w:rPr>
          <w:rFonts w:asciiTheme="majorBidi" w:hAnsiTheme="majorBidi" w:cstheme="majorBidi"/>
          <w:sz w:val="24"/>
          <w:szCs w:val="24"/>
        </w:rPr>
        <w:t xml:space="preserve">ach point </w:t>
      </w:r>
      <w:r>
        <w:rPr>
          <w:rFonts w:asciiTheme="majorBidi" w:hAnsiTheme="majorBidi" w:cstheme="majorBidi"/>
          <w:sz w:val="24"/>
          <w:szCs w:val="24"/>
        </w:rPr>
        <w:t>represents</w:t>
      </w:r>
      <w:r w:rsidRPr="00447266">
        <w:rPr>
          <w:rFonts w:asciiTheme="majorBidi" w:hAnsiTheme="majorBidi" w:cstheme="majorBidi"/>
          <w:sz w:val="24"/>
          <w:szCs w:val="24"/>
        </w:rPr>
        <w:t xml:space="preserve"> a</w:t>
      </w:r>
      <w:r>
        <w:rPr>
          <w:rFonts w:asciiTheme="majorBidi" w:hAnsiTheme="majorBidi" w:cstheme="majorBidi"/>
          <w:sz w:val="24"/>
          <w:szCs w:val="24"/>
        </w:rPr>
        <w:t xml:space="preserve">n individual </w:t>
      </w:r>
      <w:r w:rsidRPr="00447266">
        <w:rPr>
          <w:rFonts w:asciiTheme="majorBidi" w:hAnsiTheme="majorBidi" w:cstheme="majorBidi"/>
          <w:sz w:val="24"/>
          <w:szCs w:val="24"/>
        </w:rPr>
        <w:t>metabolite</w:t>
      </w:r>
      <w:r>
        <w:rPr>
          <w:rFonts w:asciiTheme="majorBidi" w:hAnsiTheme="majorBidi" w:cstheme="majorBidi"/>
          <w:sz w:val="24"/>
          <w:szCs w:val="24"/>
        </w:rPr>
        <w:t>; s</w:t>
      </w:r>
      <w:r w:rsidRPr="00447266">
        <w:rPr>
          <w:rFonts w:asciiTheme="majorBidi" w:hAnsiTheme="majorBidi" w:cstheme="majorBidi"/>
          <w:sz w:val="24"/>
          <w:szCs w:val="24"/>
        </w:rPr>
        <w:t>ignificant associations with p &lt; 0.05 are labeled</w:t>
      </w:r>
      <w:r w:rsidRPr="00A90D1E">
        <w:rPr>
          <w:rFonts w:asciiTheme="majorBidi" w:hAnsiTheme="majorBidi" w:cstheme="majorBidi"/>
          <w:sz w:val="24"/>
          <w:szCs w:val="24"/>
        </w:rPr>
        <w:t>.</w:t>
      </w:r>
      <w:r w:rsidRPr="00E45569">
        <w:rPr>
          <w:rFonts w:asciiTheme="majorBidi" w:hAnsiTheme="majorBidi" w:cstheme="majorBidi"/>
          <w:sz w:val="24"/>
          <w:szCs w:val="24"/>
        </w:rPr>
        <w:t xml:space="preserve"> </w:t>
      </w:r>
      <w:r w:rsidR="00460A85" w:rsidRPr="00E45569">
        <w:rPr>
          <w:rFonts w:asciiTheme="majorBidi" w:hAnsiTheme="majorBidi" w:cstheme="majorBidi"/>
          <w:sz w:val="24"/>
          <w:szCs w:val="24"/>
        </w:rPr>
        <w:t>The Manhattan Plot summarizes the analyzed metabolites and significant results. The x-axis shows the metabolite classes, which are color-coded. The y-axis displays the −log10 of</w:t>
      </w:r>
      <w:r w:rsidR="005A6934" w:rsidRPr="00E45569">
        <w:rPr>
          <w:rFonts w:asciiTheme="majorBidi" w:hAnsiTheme="majorBidi" w:cstheme="majorBidi"/>
          <w:sz w:val="24"/>
          <w:szCs w:val="24"/>
        </w:rPr>
        <w:t xml:space="preserve"> </w:t>
      </w:r>
      <w:r w:rsidR="00460A85" w:rsidRPr="00E45569">
        <w:rPr>
          <w:rFonts w:asciiTheme="majorBidi" w:hAnsiTheme="majorBidi" w:cstheme="majorBidi"/>
          <w:sz w:val="24"/>
          <w:szCs w:val="24"/>
        </w:rPr>
        <w:t>p-values. The dashed blue and red horizontal lines indicate the cut-off p-values at 0.01 and 0.05, respectively.</w:t>
      </w:r>
    </w:p>
    <w:p w14:paraId="7EABD6C0" w14:textId="77777777" w:rsidR="00981F16" w:rsidRDefault="00981F16" w:rsidP="00260165">
      <w:pPr>
        <w:pStyle w:val="Default"/>
        <w:jc w:val="both"/>
        <w:rPr>
          <w:noProof/>
        </w:rPr>
      </w:pPr>
    </w:p>
    <w:p w14:paraId="793D5AA8" w14:textId="77777777" w:rsidR="00C969A8" w:rsidRDefault="00C969A8" w:rsidP="00260165">
      <w:pPr>
        <w:pStyle w:val="Default"/>
        <w:jc w:val="both"/>
        <w:rPr>
          <w:noProof/>
        </w:rPr>
      </w:pPr>
    </w:p>
    <w:p w14:paraId="44E0F6E3" w14:textId="77777777" w:rsidR="00C969A8" w:rsidRDefault="00C969A8" w:rsidP="00260165">
      <w:pPr>
        <w:pStyle w:val="Default"/>
        <w:jc w:val="both"/>
        <w:rPr>
          <w:noProof/>
        </w:rPr>
      </w:pPr>
    </w:p>
    <w:p w14:paraId="23B9F4DD" w14:textId="77777777" w:rsidR="00C969A8" w:rsidRDefault="00C969A8" w:rsidP="00260165">
      <w:pPr>
        <w:pStyle w:val="Default"/>
        <w:jc w:val="both"/>
        <w:rPr>
          <w:noProof/>
        </w:rPr>
      </w:pPr>
    </w:p>
    <w:p w14:paraId="0AB9D9F8" w14:textId="77777777" w:rsidR="00C969A8" w:rsidRDefault="00C969A8" w:rsidP="00260165">
      <w:pPr>
        <w:pStyle w:val="Default"/>
        <w:jc w:val="both"/>
        <w:rPr>
          <w:noProof/>
        </w:rPr>
      </w:pPr>
    </w:p>
    <w:p w14:paraId="69F22AEF" w14:textId="77777777" w:rsidR="00C969A8" w:rsidRDefault="00C969A8" w:rsidP="00260165">
      <w:pPr>
        <w:pStyle w:val="Default"/>
        <w:jc w:val="both"/>
        <w:rPr>
          <w:noProof/>
        </w:rPr>
      </w:pPr>
    </w:p>
    <w:p w14:paraId="07D55227" w14:textId="77777777" w:rsidR="00C969A8" w:rsidRDefault="00C969A8" w:rsidP="00260165">
      <w:pPr>
        <w:pStyle w:val="Default"/>
        <w:jc w:val="both"/>
        <w:rPr>
          <w:noProof/>
        </w:rPr>
      </w:pPr>
    </w:p>
    <w:p w14:paraId="44DBD988" w14:textId="77777777" w:rsidR="00E31D11" w:rsidRDefault="00E31D11" w:rsidP="00260165">
      <w:pPr>
        <w:pStyle w:val="Default"/>
        <w:jc w:val="both"/>
        <w:rPr>
          <w:noProof/>
        </w:rPr>
      </w:pPr>
    </w:p>
    <w:p w14:paraId="2B1EF9AC" w14:textId="77777777" w:rsidR="00E31D11" w:rsidRDefault="00E31D11" w:rsidP="00260165">
      <w:pPr>
        <w:pStyle w:val="Default"/>
        <w:jc w:val="both"/>
        <w:rPr>
          <w:noProof/>
        </w:rPr>
      </w:pPr>
    </w:p>
    <w:p w14:paraId="336F89AE" w14:textId="77777777" w:rsidR="00E31D11" w:rsidRDefault="00E31D11" w:rsidP="00260165">
      <w:pPr>
        <w:pStyle w:val="Default"/>
        <w:jc w:val="both"/>
        <w:rPr>
          <w:noProof/>
        </w:rPr>
      </w:pPr>
    </w:p>
    <w:p w14:paraId="01FEBE77" w14:textId="77777777" w:rsidR="00C969A8" w:rsidRDefault="00C969A8" w:rsidP="00260165">
      <w:pPr>
        <w:pStyle w:val="Default"/>
        <w:jc w:val="both"/>
        <w:rPr>
          <w:noProof/>
        </w:rPr>
      </w:pPr>
    </w:p>
    <w:p w14:paraId="61A493D7" w14:textId="77777777" w:rsidR="00C969A8" w:rsidRDefault="00C969A8" w:rsidP="00260165">
      <w:pPr>
        <w:pStyle w:val="Default"/>
        <w:jc w:val="both"/>
        <w:rPr>
          <w:noProof/>
        </w:rPr>
      </w:pPr>
    </w:p>
    <w:p w14:paraId="64BD36EC" w14:textId="77777777" w:rsidR="004860AC" w:rsidRDefault="004860AC" w:rsidP="00260165">
      <w:pPr>
        <w:pStyle w:val="Default"/>
        <w:jc w:val="both"/>
        <w:rPr>
          <w:noProof/>
        </w:rPr>
      </w:pPr>
    </w:p>
    <w:p w14:paraId="38AE2985" w14:textId="77777777" w:rsidR="004860AC" w:rsidRDefault="004860AC" w:rsidP="00260165">
      <w:pPr>
        <w:pStyle w:val="Default"/>
        <w:jc w:val="both"/>
        <w:rPr>
          <w:noProof/>
        </w:rPr>
      </w:pPr>
    </w:p>
    <w:p w14:paraId="555B7D60" w14:textId="77777777" w:rsidR="002F44DF" w:rsidRDefault="002F44DF" w:rsidP="00260165">
      <w:pPr>
        <w:pStyle w:val="Default"/>
        <w:jc w:val="both"/>
        <w:rPr>
          <w:noProof/>
        </w:rPr>
      </w:pPr>
    </w:p>
    <w:p w14:paraId="55FB8225" w14:textId="77777777" w:rsidR="002F44DF" w:rsidRDefault="002F44DF" w:rsidP="00260165">
      <w:pPr>
        <w:pStyle w:val="Default"/>
        <w:jc w:val="both"/>
        <w:rPr>
          <w:noProof/>
        </w:rPr>
      </w:pPr>
    </w:p>
    <w:p w14:paraId="5EB276BC" w14:textId="77777777" w:rsidR="002F44DF" w:rsidRDefault="002F44DF" w:rsidP="00260165">
      <w:pPr>
        <w:pStyle w:val="Default"/>
        <w:jc w:val="both"/>
        <w:rPr>
          <w:noProof/>
        </w:rPr>
      </w:pPr>
    </w:p>
    <w:p w14:paraId="390DB6DD" w14:textId="77777777" w:rsidR="002F44DF" w:rsidRDefault="002F44DF" w:rsidP="00260165">
      <w:pPr>
        <w:pStyle w:val="Default"/>
        <w:jc w:val="both"/>
        <w:rPr>
          <w:noProof/>
        </w:rPr>
      </w:pPr>
    </w:p>
    <w:p w14:paraId="03BF0F67" w14:textId="77777777" w:rsidR="002F44DF" w:rsidRDefault="002F44DF" w:rsidP="00260165">
      <w:pPr>
        <w:pStyle w:val="Default"/>
        <w:jc w:val="both"/>
        <w:rPr>
          <w:noProof/>
        </w:rPr>
      </w:pPr>
    </w:p>
    <w:p w14:paraId="0801D1F8" w14:textId="77777777" w:rsidR="00C969A8" w:rsidRDefault="00C969A8" w:rsidP="00260165">
      <w:pPr>
        <w:pStyle w:val="Default"/>
        <w:jc w:val="both"/>
        <w:rPr>
          <w:noProof/>
        </w:rPr>
      </w:pPr>
    </w:p>
    <w:p w14:paraId="520A03EE" w14:textId="6EE10F30" w:rsidR="00C969A8" w:rsidRPr="00CC199F" w:rsidRDefault="002C2DB3" w:rsidP="00CC199F">
      <w:pPr>
        <w:spacing w:line="240" w:lineRule="auto"/>
        <w:jc w:val="both"/>
        <w:rPr>
          <w:rFonts w:asciiTheme="majorBidi" w:hAnsiTheme="majorBidi" w:cstheme="majorBidi"/>
          <w:color w:val="000000" w:themeColor="text1"/>
          <w:sz w:val="24"/>
          <w:szCs w:val="24"/>
        </w:rPr>
      </w:pPr>
      <w:r w:rsidRPr="008B0814">
        <w:rPr>
          <w:rFonts w:asciiTheme="majorBidi" w:hAnsiTheme="majorBidi" w:cstheme="majorBidi"/>
          <w:b/>
          <w:bCs/>
          <w:color w:val="000000" w:themeColor="text1"/>
          <w:sz w:val="24"/>
          <w:szCs w:val="24"/>
        </w:rPr>
        <w:lastRenderedPageBreak/>
        <w:t xml:space="preserve">Supplementary Table </w:t>
      </w:r>
      <w:r>
        <w:rPr>
          <w:rFonts w:asciiTheme="majorBidi" w:hAnsiTheme="majorBidi" w:cstheme="majorBidi"/>
          <w:b/>
          <w:bCs/>
          <w:color w:val="000000" w:themeColor="text1"/>
          <w:sz w:val="24"/>
          <w:szCs w:val="24"/>
        </w:rPr>
        <w:t>2</w:t>
      </w:r>
      <w:r w:rsidRPr="008B0814">
        <w:rPr>
          <w:rFonts w:asciiTheme="majorBidi" w:hAnsiTheme="majorBidi" w:cstheme="majorBidi"/>
          <w:b/>
          <w:bCs/>
          <w:color w:val="000000" w:themeColor="text1"/>
          <w:sz w:val="24"/>
          <w:szCs w:val="24"/>
        </w:rPr>
        <w:t xml:space="preserve">. </w:t>
      </w:r>
      <w:r w:rsidR="001463BC">
        <w:rPr>
          <w:rFonts w:asciiTheme="majorBidi" w:hAnsiTheme="majorBidi" w:cstheme="majorBidi"/>
          <w:color w:val="000000" w:themeColor="text1"/>
          <w:sz w:val="24"/>
          <w:szCs w:val="24"/>
        </w:rPr>
        <w:t xml:space="preserve">Summary of </w:t>
      </w:r>
      <w:r w:rsidR="00CC199F" w:rsidRPr="00CC199F">
        <w:rPr>
          <w:rFonts w:asciiTheme="majorBidi" w:hAnsiTheme="majorBidi" w:cstheme="majorBidi"/>
          <w:color w:val="000000" w:themeColor="text1"/>
          <w:sz w:val="24"/>
          <w:szCs w:val="24"/>
        </w:rPr>
        <w:t>metabolites exclusively associated with specific subgroups</w:t>
      </w:r>
    </w:p>
    <w:p w14:paraId="391359C7" w14:textId="77777777" w:rsidR="00C969A8" w:rsidRDefault="00C969A8" w:rsidP="00260165">
      <w:pPr>
        <w:pStyle w:val="Default"/>
        <w:jc w:val="both"/>
        <w:rPr>
          <w:noProof/>
        </w:rPr>
      </w:pPr>
    </w:p>
    <w:tbl>
      <w:tblPr>
        <w:tblStyle w:val="PlainTable4"/>
        <w:tblW w:w="0" w:type="auto"/>
        <w:tblBorders>
          <w:top w:val="single" w:sz="4" w:space="0" w:color="auto"/>
          <w:bottom w:val="single" w:sz="4" w:space="0" w:color="auto"/>
        </w:tblBorders>
        <w:tblLayout w:type="fixed"/>
        <w:tblLook w:val="04A0" w:firstRow="1" w:lastRow="0" w:firstColumn="1" w:lastColumn="0" w:noHBand="0" w:noVBand="1"/>
      </w:tblPr>
      <w:tblGrid>
        <w:gridCol w:w="900"/>
        <w:gridCol w:w="270"/>
        <w:gridCol w:w="1620"/>
        <w:gridCol w:w="1440"/>
        <w:gridCol w:w="3164"/>
        <w:gridCol w:w="1966"/>
      </w:tblGrid>
      <w:tr w:rsidR="004D0880" w:rsidRPr="00C969A8" w14:paraId="2CA4E3D4" w14:textId="77777777" w:rsidTr="000C2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bottom w:val="single" w:sz="4" w:space="0" w:color="auto"/>
            </w:tcBorders>
            <w:shd w:val="clear" w:color="auto" w:fill="auto"/>
            <w:vAlign w:val="center"/>
            <w:hideMark/>
          </w:tcPr>
          <w:p w14:paraId="3945B890" w14:textId="70DEC42B" w:rsidR="004D0880" w:rsidRPr="00C969A8" w:rsidRDefault="000C284A" w:rsidP="00A65C3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MSPT</w:t>
            </w:r>
          </w:p>
        </w:tc>
        <w:tc>
          <w:tcPr>
            <w:tcW w:w="270" w:type="dxa"/>
            <w:tcBorders>
              <w:bottom w:val="single" w:sz="4" w:space="0" w:color="FFFFFF" w:themeColor="background1"/>
            </w:tcBorders>
            <w:shd w:val="clear" w:color="auto" w:fill="auto"/>
            <w:vAlign w:val="center"/>
          </w:tcPr>
          <w:p w14:paraId="67AFFCA5" w14:textId="77777777" w:rsidR="004D0880" w:rsidRPr="00C969A8" w:rsidRDefault="004D0880" w:rsidP="00A65C3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p>
        </w:tc>
        <w:tc>
          <w:tcPr>
            <w:tcW w:w="1620" w:type="dxa"/>
            <w:tcBorders>
              <w:bottom w:val="single" w:sz="4" w:space="0" w:color="auto"/>
            </w:tcBorders>
            <w:shd w:val="clear" w:color="auto" w:fill="auto"/>
            <w:vAlign w:val="center"/>
            <w:hideMark/>
          </w:tcPr>
          <w:p w14:paraId="42C6428E" w14:textId="1C258D72" w:rsidR="004D0880" w:rsidRPr="00C969A8" w:rsidRDefault="004D0880" w:rsidP="00A65C3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Subgroup</w:t>
            </w:r>
          </w:p>
        </w:tc>
        <w:tc>
          <w:tcPr>
            <w:tcW w:w="1440" w:type="dxa"/>
            <w:tcBorders>
              <w:bottom w:val="single" w:sz="4" w:space="0" w:color="auto"/>
            </w:tcBorders>
            <w:shd w:val="clear" w:color="auto" w:fill="auto"/>
            <w:vAlign w:val="center"/>
            <w:hideMark/>
          </w:tcPr>
          <w:p w14:paraId="4AF41E0C" w14:textId="4FB919D7" w:rsidR="004D0880" w:rsidRPr="00C969A8" w:rsidRDefault="004D0880" w:rsidP="00A65C3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sidRPr="00C969A8">
              <w:rPr>
                <w:rFonts w:ascii="Times New Roman" w:eastAsia="Times New Roman" w:hAnsi="Times New Roman" w:cs="Times New Roman"/>
                <w:sz w:val="24"/>
                <w:szCs w:val="24"/>
              </w:rPr>
              <w:t xml:space="preserve"> of Significant Metabolites</w:t>
            </w:r>
          </w:p>
        </w:tc>
        <w:tc>
          <w:tcPr>
            <w:tcW w:w="3164" w:type="dxa"/>
            <w:tcBorders>
              <w:bottom w:val="single" w:sz="4" w:space="0" w:color="auto"/>
            </w:tcBorders>
            <w:shd w:val="clear" w:color="auto" w:fill="auto"/>
            <w:vAlign w:val="center"/>
            <w:hideMark/>
          </w:tcPr>
          <w:p w14:paraId="123191BF" w14:textId="7AD4C806" w:rsidR="004D0880" w:rsidRPr="00C969A8" w:rsidRDefault="004D0880" w:rsidP="00A65C3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 </w:t>
            </w:r>
            <w:r w:rsidRPr="00C969A8">
              <w:rPr>
                <w:rFonts w:ascii="Times New Roman" w:eastAsia="Times New Roman" w:hAnsi="Times New Roman" w:cs="Times New Roman"/>
                <w:sz w:val="24"/>
                <w:szCs w:val="24"/>
              </w:rPr>
              <w:t>Metabolite</w:t>
            </w:r>
            <w:r>
              <w:rPr>
                <w:rFonts w:ascii="Times New Roman" w:eastAsia="Times New Roman" w:hAnsi="Times New Roman" w:cs="Times New Roman"/>
                <w:sz w:val="24"/>
                <w:szCs w:val="24"/>
              </w:rPr>
              <w:t>s</w:t>
            </w:r>
          </w:p>
        </w:tc>
        <w:tc>
          <w:tcPr>
            <w:tcW w:w="1966" w:type="dxa"/>
            <w:tcBorders>
              <w:bottom w:val="single" w:sz="4" w:space="0" w:color="auto"/>
            </w:tcBorders>
            <w:shd w:val="clear" w:color="auto" w:fill="auto"/>
            <w:vAlign w:val="center"/>
            <w:hideMark/>
          </w:tcPr>
          <w:p w14:paraId="12B108A2" w14:textId="77777777" w:rsidR="004D0880" w:rsidRPr="00C969A8" w:rsidRDefault="004D0880" w:rsidP="00A65C3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Notes</w:t>
            </w:r>
          </w:p>
        </w:tc>
      </w:tr>
      <w:tr w:rsidR="004D0880" w:rsidRPr="00C969A8" w14:paraId="2314658A" w14:textId="77777777" w:rsidTr="000C284A">
        <w:trPr>
          <w:cnfStyle w:val="000000100000" w:firstRow="0" w:lastRow="0" w:firstColumn="0" w:lastColumn="0" w:oddVBand="0" w:evenVBand="0" w:oddHBand="1"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auto"/>
              <w:bottom w:val="single" w:sz="4" w:space="0" w:color="auto"/>
            </w:tcBorders>
            <w:shd w:val="clear" w:color="auto" w:fill="auto"/>
            <w:textDirection w:val="btLr"/>
            <w:vAlign w:val="center"/>
            <w:hideMark/>
          </w:tcPr>
          <w:p w14:paraId="4CC4FF9A" w14:textId="77777777" w:rsidR="004D0880" w:rsidRPr="00C969A8" w:rsidRDefault="004D0880" w:rsidP="00F91514">
            <w:pPr>
              <w:ind w:left="113" w:right="113"/>
              <w:jc w:val="center"/>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MDT</w:t>
            </w:r>
          </w:p>
        </w:tc>
        <w:tc>
          <w:tcPr>
            <w:tcW w:w="270" w:type="dxa"/>
            <w:tcBorders>
              <w:top w:val="single" w:sz="4" w:space="0" w:color="FFFFFF" w:themeColor="background1"/>
              <w:bottom w:val="single" w:sz="4" w:space="0" w:color="FFFFFF" w:themeColor="background1"/>
            </w:tcBorders>
            <w:shd w:val="clear" w:color="auto" w:fill="auto"/>
          </w:tcPr>
          <w:p w14:paraId="564DB202" w14:textId="77777777" w:rsidR="004D0880" w:rsidRPr="00C969A8" w:rsidRDefault="004D0880" w:rsidP="00F91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20" w:type="dxa"/>
            <w:tcBorders>
              <w:top w:val="single" w:sz="4" w:space="0" w:color="auto"/>
              <w:bottom w:val="single" w:sz="4" w:space="0" w:color="auto"/>
            </w:tcBorders>
            <w:shd w:val="clear" w:color="auto" w:fill="auto"/>
            <w:vAlign w:val="center"/>
            <w:hideMark/>
          </w:tcPr>
          <w:p w14:paraId="3C8E8AA4" w14:textId="362576DC" w:rsidR="004D0880" w:rsidRPr="00C969A8" w:rsidRDefault="004D0880" w:rsidP="00F91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PMS</w:t>
            </w:r>
          </w:p>
        </w:tc>
        <w:tc>
          <w:tcPr>
            <w:tcW w:w="1440" w:type="dxa"/>
            <w:tcBorders>
              <w:top w:val="single" w:sz="4" w:space="0" w:color="auto"/>
              <w:bottom w:val="single" w:sz="4" w:space="0" w:color="auto"/>
            </w:tcBorders>
            <w:shd w:val="clear" w:color="auto" w:fill="auto"/>
            <w:vAlign w:val="center"/>
            <w:hideMark/>
          </w:tcPr>
          <w:p w14:paraId="43698B4C" w14:textId="77777777" w:rsidR="004D0880" w:rsidRPr="00C969A8" w:rsidRDefault="004D0880" w:rsidP="00F91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67</w:t>
            </w:r>
          </w:p>
        </w:tc>
        <w:tc>
          <w:tcPr>
            <w:tcW w:w="3164" w:type="dxa"/>
            <w:tcBorders>
              <w:top w:val="single" w:sz="4" w:space="0" w:color="auto"/>
              <w:bottom w:val="single" w:sz="4" w:space="0" w:color="auto"/>
            </w:tcBorders>
            <w:shd w:val="clear" w:color="auto" w:fill="auto"/>
            <w:vAlign w:val="center"/>
            <w:hideMark/>
          </w:tcPr>
          <w:p w14:paraId="4311B4A8" w14:textId="77777777" w:rsidR="004D0880" w:rsidRPr="00C969A8" w:rsidRDefault="004D0880" w:rsidP="00F91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Predominantly TGs</w:t>
            </w:r>
          </w:p>
        </w:tc>
        <w:tc>
          <w:tcPr>
            <w:tcW w:w="1966" w:type="dxa"/>
            <w:tcBorders>
              <w:top w:val="single" w:sz="4" w:space="0" w:color="auto"/>
              <w:bottom w:val="single" w:sz="4" w:space="0" w:color="auto"/>
            </w:tcBorders>
            <w:shd w:val="clear" w:color="auto" w:fill="auto"/>
            <w:vAlign w:val="center"/>
            <w:hideMark/>
          </w:tcPr>
          <w:p w14:paraId="194C66E7" w14:textId="77777777" w:rsidR="004D0880" w:rsidRPr="00C969A8" w:rsidRDefault="004D0880" w:rsidP="00F91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Exclusive to PMS</w:t>
            </w:r>
          </w:p>
        </w:tc>
      </w:tr>
      <w:tr w:rsidR="004D0880" w:rsidRPr="00C969A8" w14:paraId="1E70F5C7" w14:textId="77777777" w:rsidTr="000C284A">
        <w:tc>
          <w:tcPr>
            <w:cnfStyle w:val="001000000000" w:firstRow="0" w:lastRow="0" w:firstColumn="1" w:lastColumn="0" w:oddVBand="0" w:evenVBand="0" w:oddHBand="0" w:evenHBand="0" w:firstRowFirstColumn="0" w:firstRowLastColumn="0" w:lastRowFirstColumn="0" w:lastRowLastColumn="0"/>
            <w:tcW w:w="900" w:type="dxa"/>
            <w:vMerge w:val="restart"/>
            <w:tcBorders>
              <w:top w:val="single" w:sz="4" w:space="0" w:color="auto"/>
            </w:tcBorders>
            <w:shd w:val="clear" w:color="auto" w:fill="auto"/>
            <w:textDirection w:val="btLr"/>
            <w:vAlign w:val="center"/>
            <w:hideMark/>
          </w:tcPr>
          <w:p w14:paraId="60882CC2" w14:textId="77777777" w:rsidR="004D0880" w:rsidRPr="00C969A8" w:rsidRDefault="004D0880" w:rsidP="00F91514">
            <w:pPr>
              <w:ind w:left="113" w:right="113"/>
              <w:jc w:val="center"/>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WST</w:t>
            </w:r>
          </w:p>
        </w:tc>
        <w:tc>
          <w:tcPr>
            <w:tcW w:w="270" w:type="dxa"/>
            <w:tcBorders>
              <w:top w:val="single" w:sz="4" w:space="0" w:color="FFFFFF" w:themeColor="background1"/>
            </w:tcBorders>
            <w:shd w:val="clear" w:color="auto" w:fill="auto"/>
          </w:tcPr>
          <w:p w14:paraId="40345ED7" w14:textId="77777777" w:rsidR="004D0880" w:rsidRPr="00C969A8" w:rsidRDefault="004D0880" w:rsidP="00F91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620" w:type="dxa"/>
            <w:tcBorders>
              <w:top w:val="single" w:sz="4" w:space="0" w:color="auto"/>
            </w:tcBorders>
            <w:shd w:val="clear" w:color="auto" w:fill="auto"/>
            <w:vAlign w:val="center"/>
            <w:hideMark/>
          </w:tcPr>
          <w:p w14:paraId="6329EF35" w14:textId="1BAC6892" w:rsidR="004D0880" w:rsidRPr="00C969A8" w:rsidRDefault="004D0880" w:rsidP="00F91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All subgroups</w:t>
            </w:r>
          </w:p>
        </w:tc>
        <w:tc>
          <w:tcPr>
            <w:tcW w:w="1440" w:type="dxa"/>
            <w:tcBorders>
              <w:top w:val="single" w:sz="4" w:space="0" w:color="auto"/>
            </w:tcBorders>
            <w:shd w:val="clear" w:color="auto" w:fill="auto"/>
            <w:vAlign w:val="center"/>
            <w:hideMark/>
          </w:tcPr>
          <w:p w14:paraId="5ACAB133" w14:textId="77777777" w:rsidR="004D0880" w:rsidRPr="00C969A8" w:rsidRDefault="004D0880" w:rsidP="00F91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2</w:t>
            </w:r>
          </w:p>
        </w:tc>
        <w:tc>
          <w:tcPr>
            <w:tcW w:w="3164" w:type="dxa"/>
            <w:tcBorders>
              <w:top w:val="single" w:sz="4" w:space="0" w:color="auto"/>
            </w:tcBorders>
            <w:shd w:val="clear" w:color="auto" w:fill="auto"/>
            <w:vAlign w:val="center"/>
            <w:hideMark/>
          </w:tcPr>
          <w:p w14:paraId="2CFCCF6A" w14:textId="77777777" w:rsidR="004D0880" w:rsidRPr="00C969A8" w:rsidRDefault="004D0880" w:rsidP="00F91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Sarcosine, CE 20:5</w:t>
            </w:r>
          </w:p>
        </w:tc>
        <w:tc>
          <w:tcPr>
            <w:tcW w:w="1966" w:type="dxa"/>
            <w:tcBorders>
              <w:top w:val="single" w:sz="4" w:space="0" w:color="auto"/>
            </w:tcBorders>
            <w:shd w:val="clear" w:color="auto" w:fill="auto"/>
            <w:vAlign w:val="center"/>
            <w:hideMark/>
          </w:tcPr>
          <w:p w14:paraId="79ADDFD5" w14:textId="39696657" w:rsidR="004D0880" w:rsidRPr="00C969A8" w:rsidRDefault="004D0880" w:rsidP="00F91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 xml:space="preserve">Consistently significant across sex, disease course, </w:t>
            </w:r>
            <w:r>
              <w:rPr>
                <w:rFonts w:ascii="Times New Roman" w:eastAsia="Times New Roman" w:hAnsi="Times New Roman" w:cs="Times New Roman"/>
                <w:sz w:val="24"/>
                <w:szCs w:val="24"/>
              </w:rPr>
              <w:t xml:space="preserve">and </w:t>
            </w:r>
            <w:r w:rsidRPr="00C969A8">
              <w:rPr>
                <w:rFonts w:ascii="Times New Roman" w:eastAsia="Times New Roman" w:hAnsi="Times New Roman" w:cs="Times New Roman"/>
                <w:sz w:val="24"/>
                <w:szCs w:val="24"/>
              </w:rPr>
              <w:t>DMT class</w:t>
            </w:r>
          </w:p>
        </w:tc>
      </w:tr>
      <w:tr w:rsidR="004D0880" w:rsidRPr="00C969A8" w14:paraId="0CE916C2" w14:textId="77777777" w:rsidTr="000C2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Merge/>
            <w:shd w:val="clear" w:color="auto" w:fill="auto"/>
            <w:hideMark/>
          </w:tcPr>
          <w:p w14:paraId="6E918F75" w14:textId="77777777" w:rsidR="004D0880" w:rsidRPr="00C969A8" w:rsidRDefault="004D0880" w:rsidP="00C969A8">
            <w:pPr>
              <w:rPr>
                <w:rFonts w:ascii="Times New Roman" w:eastAsia="Times New Roman" w:hAnsi="Times New Roman" w:cs="Times New Roman"/>
                <w:sz w:val="24"/>
                <w:szCs w:val="24"/>
              </w:rPr>
            </w:pPr>
          </w:p>
        </w:tc>
        <w:tc>
          <w:tcPr>
            <w:tcW w:w="270" w:type="dxa"/>
            <w:shd w:val="clear" w:color="auto" w:fill="auto"/>
          </w:tcPr>
          <w:p w14:paraId="1C4706E8" w14:textId="77777777" w:rsidR="004D0880" w:rsidRPr="00C969A8" w:rsidRDefault="004D0880" w:rsidP="00F91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20" w:type="dxa"/>
            <w:shd w:val="clear" w:color="auto" w:fill="auto"/>
            <w:vAlign w:val="center"/>
            <w:hideMark/>
          </w:tcPr>
          <w:p w14:paraId="6139763C" w14:textId="5683E077" w:rsidR="004D0880" w:rsidRPr="00C969A8" w:rsidRDefault="004D0880" w:rsidP="00F91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RRMS</w:t>
            </w:r>
          </w:p>
        </w:tc>
        <w:tc>
          <w:tcPr>
            <w:tcW w:w="1440" w:type="dxa"/>
            <w:shd w:val="clear" w:color="auto" w:fill="auto"/>
            <w:vAlign w:val="center"/>
            <w:hideMark/>
          </w:tcPr>
          <w:p w14:paraId="7479CA03" w14:textId="77777777" w:rsidR="004D0880" w:rsidRPr="00C969A8" w:rsidRDefault="004D0880" w:rsidP="00F91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17</w:t>
            </w:r>
          </w:p>
        </w:tc>
        <w:tc>
          <w:tcPr>
            <w:tcW w:w="3164" w:type="dxa"/>
            <w:shd w:val="clear" w:color="auto" w:fill="auto"/>
            <w:vAlign w:val="center"/>
            <w:hideMark/>
          </w:tcPr>
          <w:p w14:paraId="7F47DCB5" w14:textId="77777777" w:rsidR="004D0880" w:rsidRPr="00C969A8" w:rsidRDefault="004D0880" w:rsidP="00F91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Ceramides, TGs, PCs (2), DHEAS, 12S-HETE, α-aminoadipic acid, SM (OH) C24:1</w:t>
            </w:r>
          </w:p>
        </w:tc>
        <w:tc>
          <w:tcPr>
            <w:tcW w:w="1966" w:type="dxa"/>
            <w:shd w:val="clear" w:color="auto" w:fill="auto"/>
            <w:vAlign w:val="center"/>
            <w:hideMark/>
          </w:tcPr>
          <w:p w14:paraId="02EB0345" w14:textId="77777777" w:rsidR="004D0880" w:rsidRPr="00C969A8" w:rsidRDefault="004D0880" w:rsidP="00F91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Unique to RRMS</w:t>
            </w:r>
          </w:p>
        </w:tc>
      </w:tr>
      <w:tr w:rsidR="004D0880" w:rsidRPr="00C969A8" w14:paraId="7034B5EF" w14:textId="77777777" w:rsidTr="000C284A">
        <w:tc>
          <w:tcPr>
            <w:cnfStyle w:val="001000000000" w:firstRow="0" w:lastRow="0" w:firstColumn="1" w:lastColumn="0" w:oddVBand="0" w:evenVBand="0" w:oddHBand="0" w:evenHBand="0" w:firstRowFirstColumn="0" w:firstRowLastColumn="0" w:lastRowFirstColumn="0" w:lastRowLastColumn="0"/>
            <w:tcW w:w="900" w:type="dxa"/>
            <w:vMerge/>
            <w:shd w:val="clear" w:color="auto" w:fill="auto"/>
            <w:hideMark/>
          </w:tcPr>
          <w:p w14:paraId="651AB5CB" w14:textId="77777777" w:rsidR="004D0880" w:rsidRPr="00C969A8" w:rsidRDefault="004D0880" w:rsidP="00C969A8">
            <w:pPr>
              <w:rPr>
                <w:rFonts w:ascii="Times New Roman" w:eastAsia="Times New Roman" w:hAnsi="Times New Roman" w:cs="Times New Roman"/>
                <w:sz w:val="24"/>
                <w:szCs w:val="24"/>
              </w:rPr>
            </w:pPr>
          </w:p>
        </w:tc>
        <w:tc>
          <w:tcPr>
            <w:tcW w:w="270" w:type="dxa"/>
            <w:shd w:val="clear" w:color="auto" w:fill="auto"/>
          </w:tcPr>
          <w:p w14:paraId="162C272D" w14:textId="77777777" w:rsidR="004D0880" w:rsidRPr="00C969A8" w:rsidRDefault="004D0880" w:rsidP="00F91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620" w:type="dxa"/>
            <w:shd w:val="clear" w:color="auto" w:fill="auto"/>
            <w:vAlign w:val="center"/>
            <w:hideMark/>
          </w:tcPr>
          <w:p w14:paraId="4CBD08C0" w14:textId="43AE70DA" w:rsidR="004D0880" w:rsidRPr="00C969A8" w:rsidRDefault="004D0880" w:rsidP="00F91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No DMT</w:t>
            </w:r>
          </w:p>
        </w:tc>
        <w:tc>
          <w:tcPr>
            <w:tcW w:w="1440" w:type="dxa"/>
            <w:shd w:val="clear" w:color="auto" w:fill="auto"/>
            <w:vAlign w:val="center"/>
            <w:hideMark/>
          </w:tcPr>
          <w:p w14:paraId="0B057A68" w14:textId="77777777" w:rsidR="004D0880" w:rsidRPr="00C969A8" w:rsidRDefault="004D0880" w:rsidP="00F91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17</w:t>
            </w:r>
          </w:p>
        </w:tc>
        <w:tc>
          <w:tcPr>
            <w:tcW w:w="3164" w:type="dxa"/>
            <w:shd w:val="clear" w:color="auto" w:fill="auto"/>
            <w:vAlign w:val="center"/>
            <w:hideMark/>
          </w:tcPr>
          <w:p w14:paraId="6C359449" w14:textId="77777777" w:rsidR="004D0880" w:rsidRPr="00C969A8" w:rsidRDefault="004D0880" w:rsidP="00F91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Predominantly TGs</w:t>
            </w:r>
          </w:p>
        </w:tc>
        <w:tc>
          <w:tcPr>
            <w:tcW w:w="1966" w:type="dxa"/>
            <w:shd w:val="clear" w:color="auto" w:fill="auto"/>
            <w:vAlign w:val="center"/>
            <w:hideMark/>
          </w:tcPr>
          <w:p w14:paraId="5E86B0AD" w14:textId="1B87D86C" w:rsidR="004D0880" w:rsidRPr="00C969A8" w:rsidRDefault="004D0880" w:rsidP="00F91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 xml:space="preserve">Unique to </w:t>
            </w:r>
            <w:r>
              <w:rPr>
                <w:rFonts w:ascii="Times New Roman" w:eastAsia="Times New Roman" w:hAnsi="Times New Roman" w:cs="Times New Roman"/>
                <w:sz w:val="24"/>
                <w:szCs w:val="24"/>
              </w:rPr>
              <w:t xml:space="preserve">the </w:t>
            </w:r>
            <w:r w:rsidRPr="00C969A8">
              <w:rPr>
                <w:rFonts w:ascii="Times New Roman" w:eastAsia="Times New Roman" w:hAnsi="Times New Roman" w:cs="Times New Roman"/>
                <w:sz w:val="24"/>
                <w:szCs w:val="24"/>
              </w:rPr>
              <w:t>No DMT subgroup</w:t>
            </w:r>
          </w:p>
        </w:tc>
      </w:tr>
      <w:tr w:rsidR="004D0880" w:rsidRPr="00C969A8" w14:paraId="50085DE3" w14:textId="77777777" w:rsidTr="000C2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Merge/>
            <w:shd w:val="clear" w:color="auto" w:fill="auto"/>
            <w:hideMark/>
          </w:tcPr>
          <w:p w14:paraId="313490E7" w14:textId="77777777" w:rsidR="004D0880" w:rsidRPr="00C969A8" w:rsidRDefault="004D0880" w:rsidP="00C969A8">
            <w:pPr>
              <w:rPr>
                <w:rFonts w:ascii="Times New Roman" w:eastAsia="Times New Roman" w:hAnsi="Times New Roman" w:cs="Times New Roman"/>
                <w:sz w:val="24"/>
                <w:szCs w:val="24"/>
              </w:rPr>
            </w:pPr>
          </w:p>
        </w:tc>
        <w:tc>
          <w:tcPr>
            <w:tcW w:w="270" w:type="dxa"/>
            <w:shd w:val="clear" w:color="auto" w:fill="auto"/>
          </w:tcPr>
          <w:p w14:paraId="372696DB" w14:textId="77777777" w:rsidR="004D0880" w:rsidRPr="00C969A8" w:rsidRDefault="004D0880" w:rsidP="00F91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20" w:type="dxa"/>
            <w:shd w:val="clear" w:color="auto" w:fill="auto"/>
            <w:vAlign w:val="center"/>
            <w:hideMark/>
          </w:tcPr>
          <w:p w14:paraId="48A7CA28" w14:textId="0EBE5744" w:rsidR="004D0880" w:rsidRPr="00C969A8" w:rsidRDefault="004D0880" w:rsidP="00F91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High efficacy DMT</w:t>
            </w:r>
          </w:p>
        </w:tc>
        <w:tc>
          <w:tcPr>
            <w:tcW w:w="1440" w:type="dxa"/>
            <w:shd w:val="clear" w:color="auto" w:fill="auto"/>
            <w:vAlign w:val="center"/>
            <w:hideMark/>
          </w:tcPr>
          <w:p w14:paraId="68032B02" w14:textId="77777777" w:rsidR="004D0880" w:rsidRPr="00C969A8" w:rsidRDefault="004D0880" w:rsidP="00F91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5</w:t>
            </w:r>
          </w:p>
        </w:tc>
        <w:tc>
          <w:tcPr>
            <w:tcW w:w="3164" w:type="dxa"/>
            <w:shd w:val="clear" w:color="auto" w:fill="auto"/>
            <w:vAlign w:val="center"/>
            <w:hideMark/>
          </w:tcPr>
          <w:p w14:paraId="5C95DAB2" w14:textId="77777777" w:rsidR="004D0880" w:rsidRPr="00C969A8" w:rsidRDefault="004D0880" w:rsidP="00F91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roofErr w:type="spellStart"/>
            <w:r w:rsidRPr="00C969A8">
              <w:rPr>
                <w:rFonts w:ascii="Times New Roman" w:eastAsia="Times New Roman" w:hAnsi="Times New Roman" w:cs="Times New Roman"/>
                <w:sz w:val="24"/>
                <w:szCs w:val="24"/>
              </w:rPr>
              <w:t>Acylcarnitines</w:t>
            </w:r>
            <w:proofErr w:type="spellEnd"/>
            <w:r w:rsidRPr="00C969A8">
              <w:rPr>
                <w:rFonts w:ascii="Times New Roman" w:eastAsia="Times New Roman" w:hAnsi="Times New Roman" w:cs="Times New Roman"/>
                <w:sz w:val="24"/>
                <w:szCs w:val="24"/>
              </w:rPr>
              <w:t xml:space="preserve">, Bile acids, </w:t>
            </w:r>
            <w:proofErr w:type="spellStart"/>
            <w:r w:rsidRPr="00C969A8">
              <w:rPr>
                <w:rFonts w:ascii="Times New Roman" w:eastAsia="Times New Roman" w:hAnsi="Times New Roman" w:cs="Times New Roman"/>
                <w:sz w:val="24"/>
                <w:szCs w:val="24"/>
              </w:rPr>
              <w:t>Dihexosylceramides</w:t>
            </w:r>
            <w:proofErr w:type="spellEnd"/>
            <w:r w:rsidRPr="00C969A8">
              <w:rPr>
                <w:rFonts w:ascii="Times New Roman" w:eastAsia="Times New Roman" w:hAnsi="Times New Roman" w:cs="Times New Roman"/>
                <w:sz w:val="24"/>
                <w:szCs w:val="24"/>
              </w:rPr>
              <w:t>, Indoles &amp; derivatives, Eicosanoids</w:t>
            </w:r>
          </w:p>
        </w:tc>
        <w:tc>
          <w:tcPr>
            <w:tcW w:w="1966" w:type="dxa"/>
            <w:shd w:val="clear" w:color="auto" w:fill="auto"/>
            <w:vAlign w:val="center"/>
            <w:hideMark/>
          </w:tcPr>
          <w:p w14:paraId="7BF3B8E0" w14:textId="77777777" w:rsidR="004D0880" w:rsidRPr="00C969A8" w:rsidRDefault="004D0880" w:rsidP="00F91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Exclusive to high efficacy DMT</w:t>
            </w:r>
          </w:p>
        </w:tc>
      </w:tr>
      <w:tr w:rsidR="004D0880" w:rsidRPr="00C969A8" w14:paraId="6AAB62EA" w14:textId="77777777" w:rsidTr="000C284A">
        <w:tc>
          <w:tcPr>
            <w:cnfStyle w:val="001000000000" w:firstRow="0" w:lastRow="0" w:firstColumn="1" w:lastColumn="0" w:oddVBand="0" w:evenVBand="0" w:oddHBand="0" w:evenHBand="0" w:firstRowFirstColumn="0" w:firstRowLastColumn="0" w:lastRowFirstColumn="0" w:lastRowLastColumn="0"/>
            <w:tcW w:w="900" w:type="dxa"/>
            <w:vMerge/>
            <w:shd w:val="clear" w:color="auto" w:fill="auto"/>
            <w:hideMark/>
          </w:tcPr>
          <w:p w14:paraId="6C06B8AF" w14:textId="77777777" w:rsidR="004D0880" w:rsidRPr="00C969A8" w:rsidRDefault="004D0880" w:rsidP="00C969A8">
            <w:pPr>
              <w:rPr>
                <w:rFonts w:ascii="Times New Roman" w:eastAsia="Times New Roman" w:hAnsi="Times New Roman" w:cs="Times New Roman"/>
                <w:sz w:val="24"/>
                <w:szCs w:val="24"/>
              </w:rPr>
            </w:pPr>
          </w:p>
        </w:tc>
        <w:tc>
          <w:tcPr>
            <w:tcW w:w="270" w:type="dxa"/>
            <w:shd w:val="clear" w:color="auto" w:fill="auto"/>
          </w:tcPr>
          <w:p w14:paraId="1F377DDC" w14:textId="77777777" w:rsidR="004D0880" w:rsidRPr="00C969A8" w:rsidRDefault="004D0880" w:rsidP="00F91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620" w:type="dxa"/>
            <w:shd w:val="clear" w:color="auto" w:fill="auto"/>
            <w:vAlign w:val="center"/>
            <w:hideMark/>
          </w:tcPr>
          <w:p w14:paraId="58E80F01" w14:textId="0A66A794" w:rsidR="004D0880" w:rsidRPr="00C969A8" w:rsidRDefault="004D0880" w:rsidP="00F91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Moderate efficacy DMT</w:t>
            </w:r>
          </w:p>
        </w:tc>
        <w:tc>
          <w:tcPr>
            <w:tcW w:w="1440" w:type="dxa"/>
            <w:shd w:val="clear" w:color="auto" w:fill="auto"/>
            <w:vAlign w:val="center"/>
            <w:hideMark/>
          </w:tcPr>
          <w:p w14:paraId="599475E6" w14:textId="77777777" w:rsidR="004D0880" w:rsidRPr="00C969A8" w:rsidRDefault="004D0880" w:rsidP="00F91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11</w:t>
            </w:r>
          </w:p>
        </w:tc>
        <w:tc>
          <w:tcPr>
            <w:tcW w:w="3164" w:type="dxa"/>
            <w:shd w:val="clear" w:color="auto" w:fill="auto"/>
            <w:vAlign w:val="center"/>
            <w:hideMark/>
          </w:tcPr>
          <w:p w14:paraId="2F7BDEE8" w14:textId="77777777" w:rsidR="004D0880" w:rsidRPr="00C969A8" w:rsidRDefault="004D0880" w:rsidP="00F91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Mostly TGs, also PCs, 1 Acylcarnitine, 1 Amino acid, 1 Bile acid, 1 Fatty acid</w:t>
            </w:r>
          </w:p>
        </w:tc>
        <w:tc>
          <w:tcPr>
            <w:tcW w:w="1966" w:type="dxa"/>
            <w:shd w:val="clear" w:color="auto" w:fill="auto"/>
            <w:vAlign w:val="center"/>
            <w:hideMark/>
          </w:tcPr>
          <w:p w14:paraId="3E2348C4" w14:textId="77777777" w:rsidR="004D0880" w:rsidRPr="00C969A8" w:rsidRDefault="004D0880" w:rsidP="00F915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Unique to moderate efficacy DMT</w:t>
            </w:r>
          </w:p>
        </w:tc>
      </w:tr>
      <w:tr w:rsidR="004D0880" w:rsidRPr="00C969A8" w14:paraId="0B4E1D6E" w14:textId="77777777" w:rsidTr="000C2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Merge/>
            <w:tcBorders>
              <w:bottom w:val="single" w:sz="4" w:space="0" w:color="auto"/>
            </w:tcBorders>
            <w:shd w:val="clear" w:color="auto" w:fill="auto"/>
            <w:hideMark/>
          </w:tcPr>
          <w:p w14:paraId="4BFE916F" w14:textId="77777777" w:rsidR="004D0880" w:rsidRPr="00C969A8" w:rsidRDefault="004D0880" w:rsidP="00C969A8">
            <w:pPr>
              <w:rPr>
                <w:rFonts w:ascii="Times New Roman" w:eastAsia="Times New Roman" w:hAnsi="Times New Roman" w:cs="Times New Roman"/>
                <w:sz w:val="24"/>
                <w:szCs w:val="24"/>
              </w:rPr>
            </w:pPr>
          </w:p>
        </w:tc>
        <w:tc>
          <w:tcPr>
            <w:tcW w:w="270" w:type="dxa"/>
            <w:tcBorders>
              <w:bottom w:val="single" w:sz="4" w:space="0" w:color="FFFFFF" w:themeColor="background1"/>
            </w:tcBorders>
            <w:shd w:val="clear" w:color="auto" w:fill="auto"/>
          </w:tcPr>
          <w:p w14:paraId="74393877" w14:textId="77777777" w:rsidR="004D0880" w:rsidRPr="00C969A8" w:rsidRDefault="004D0880" w:rsidP="00F91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20" w:type="dxa"/>
            <w:tcBorders>
              <w:bottom w:val="single" w:sz="4" w:space="0" w:color="auto"/>
            </w:tcBorders>
            <w:shd w:val="clear" w:color="auto" w:fill="auto"/>
            <w:vAlign w:val="center"/>
            <w:hideMark/>
          </w:tcPr>
          <w:p w14:paraId="001E34C8" w14:textId="5DB141E1" w:rsidR="004D0880" w:rsidRPr="00C969A8" w:rsidRDefault="004D0880" w:rsidP="00F91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Low efficacy DMT</w:t>
            </w:r>
          </w:p>
        </w:tc>
        <w:tc>
          <w:tcPr>
            <w:tcW w:w="1440" w:type="dxa"/>
            <w:tcBorders>
              <w:bottom w:val="single" w:sz="4" w:space="0" w:color="auto"/>
            </w:tcBorders>
            <w:shd w:val="clear" w:color="auto" w:fill="auto"/>
            <w:vAlign w:val="center"/>
            <w:hideMark/>
          </w:tcPr>
          <w:p w14:paraId="21DB8DE3" w14:textId="77777777" w:rsidR="004D0880" w:rsidRPr="00C969A8" w:rsidRDefault="004D0880" w:rsidP="00F91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11</w:t>
            </w:r>
          </w:p>
        </w:tc>
        <w:tc>
          <w:tcPr>
            <w:tcW w:w="3164" w:type="dxa"/>
            <w:tcBorders>
              <w:bottom w:val="single" w:sz="4" w:space="0" w:color="auto"/>
            </w:tcBorders>
            <w:shd w:val="clear" w:color="auto" w:fill="auto"/>
            <w:vAlign w:val="center"/>
            <w:hideMark/>
          </w:tcPr>
          <w:p w14:paraId="4F0221E6" w14:textId="77777777" w:rsidR="004D0880" w:rsidRDefault="004D0880" w:rsidP="00F91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 xml:space="preserve">Cholesteryl esters, PCs, Asymmetric dimethylarginine, Cysteine, p-Cresol sulfate, </w:t>
            </w:r>
            <w:proofErr w:type="spellStart"/>
            <w:r w:rsidRPr="00C969A8">
              <w:rPr>
                <w:rFonts w:ascii="Times New Roman" w:eastAsia="Times New Roman" w:hAnsi="Times New Roman" w:cs="Times New Roman"/>
                <w:sz w:val="24"/>
                <w:szCs w:val="24"/>
              </w:rPr>
              <w:t>Hexosylceramide</w:t>
            </w:r>
            <w:proofErr w:type="spellEnd"/>
          </w:p>
          <w:p w14:paraId="7EDEFDE7" w14:textId="45865F48" w:rsidR="004D0880" w:rsidRPr="00C969A8" w:rsidRDefault="004D0880" w:rsidP="00F91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966" w:type="dxa"/>
            <w:tcBorders>
              <w:bottom w:val="single" w:sz="4" w:space="0" w:color="auto"/>
            </w:tcBorders>
            <w:shd w:val="clear" w:color="auto" w:fill="auto"/>
            <w:vAlign w:val="center"/>
            <w:hideMark/>
          </w:tcPr>
          <w:p w14:paraId="4BBF773C" w14:textId="77777777" w:rsidR="004D0880" w:rsidRPr="00C969A8" w:rsidRDefault="004D0880" w:rsidP="00F915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Exclusive to low efficacy DMT</w:t>
            </w:r>
          </w:p>
        </w:tc>
      </w:tr>
      <w:tr w:rsidR="004D0880" w:rsidRPr="00C969A8" w14:paraId="03F2608F" w14:textId="77777777" w:rsidTr="000C284A">
        <w:trPr>
          <w:cantSplit/>
          <w:trHeight w:val="1134"/>
        </w:trPr>
        <w:tc>
          <w:tcPr>
            <w:cnfStyle w:val="001000000000" w:firstRow="0" w:lastRow="0" w:firstColumn="1" w:lastColumn="0" w:oddVBand="0" w:evenVBand="0" w:oddHBand="0" w:evenHBand="0" w:firstRowFirstColumn="0" w:firstRowLastColumn="0" w:lastRowFirstColumn="0" w:lastRowLastColumn="0"/>
            <w:tcW w:w="900" w:type="dxa"/>
            <w:vMerge w:val="restart"/>
            <w:tcBorders>
              <w:top w:val="single" w:sz="4" w:space="0" w:color="auto"/>
            </w:tcBorders>
            <w:shd w:val="clear" w:color="auto" w:fill="auto"/>
            <w:textDirection w:val="btLr"/>
            <w:vAlign w:val="center"/>
            <w:hideMark/>
          </w:tcPr>
          <w:p w14:paraId="4ECBB643" w14:textId="77777777" w:rsidR="004D0880" w:rsidRPr="00C969A8" w:rsidRDefault="004D0880" w:rsidP="00F91514">
            <w:pPr>
              <w:ind w:left="113" w:right="113"/>
              <w:jc w:val="center"/>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PST</w:t>
            </w:r>
          </w:p>
        </w:tc>
        <w:tc>
          <w:tcPr>
            <w:tcW w:w="270" w:type="dxa"/>
            <w:tcBorders>
              <w:top w:val="single" w:sz="4" w:space="0" w:color="FFFFFF" w:themeColor="background1"/>
            </w:tcBorders>
            <w:shd w:val="clear" w:color="auto" w:fill="auto"/>
          </w:tcPr>
          <w:p w14:paraId="48BCC204" w14:textId="77777777" w:rsidR="004D0880" w:rsidRPr="00C969A8" w:rsidRDefault="004D0880" w:rsidP="004D08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1620" w:type="dxa"/>
            <w:tcBorders>
              <w:top w:val="single" w:sz="4" w:space="0" w:color="auto"/>
            </w:tcBorders>
            <w:shd w:val="clear" w:color="auto" w:fill="auto"/>
            <w:vAlign w:val="center"/>
            <w:hideMark/>
          </w:tcPr>
          <w:p w14:paraId="781C161B" w14:textId="4F09DEFF" w:rsidR="004D0880" w:rsidRPr="00C969A8" w:rsidRDefault="004D0880" w:rsidP="004D08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PMS</w:t>
            </w:r>
          </w:p>
        </w:tc>
        <w:tc>
          <w:tcPr>
            <w:tcW w:w="1440" w:type="dxa"/>
            <w:tcBorders>
              <w:top w:val="single" w:sz="4" w:space="0" w:color="auto"/>
            </w:tcBorders>
            <w:shd w:val="clear" w:color="auto" w:fill="auto"/>
            <w:vAlign w:val="center"/>
            <w:hideMark/>
          </w:tcPr>
          <w:p w14:paraId="68890DFB" w14:textId="77777777" w:rsidR="004D0880" w:rsidRPr="00C969A8" w:rsidRDefault="004D0880" w:rsidP="004D08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118</w:t>
            </w:r>
          </w:p>
        </w:tc>
        <w:tc>
          <w:tcPr>
            <w:tcW w:w="3164" w:type="dxa"/>
            <w:tcBorders>
              <w:top w:val="single" w:sz="4" w:space="0" w:color="auto"/>
            </w:tcBorders>
            <w:shd w:val="clear" w:color="auto" w:fill="auto"/>
            <w:vAlign w:val="center"/>
            <w:hideMark/>
          </w:tcPr>
          <w:p w14:paraId="6CEA3FE8" w14:textId="77777777" w:rsidR="004D0880" w:rsidRPr="00C969A8" w:rsidRDefault="004D0880" w:rsidP="004D08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Mostly TGs, 5 DGs, PC ae C42:4, Cystine, Sarcosine, Glycine</w:t>
            </w:r>
          </w:p>
        </w:tc>
        <w:tc>
          <w:tcPr>
            <w:tcW w:w="1966" w:type="dxa"/>
            <w:tcBorders>
              <w:top w:val="single" w:sz="4" w:space="0" w:color="auto"/>
            </w:tcBorders>
            <w:shd w:val="clear" w:color="auto" w:fill="auto"/>
            <w:vAlign w:val="center"/>
            <w:hideMark/>
          </w:tcPr>
          <w:p w14:paraId="71A28C6F" w14:textId="77777777" w:rsidR="004D0880" w:rsidRPr="00C969A8" w:rsidRDefault="004D0880" w:rsidP="004D088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Exclusive to PMS</w:t>
            </w:r>
          </w:p>
        </w:tc>
      </w:tr>
      <w:tr w:rsidR="004D0880" w:rsidRPr="00C969A8" w14:paraId="5D6C188D" w14:textId="77777777" w:rsidTr="000C2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Merge/>
            <w:shd w:val="clear" w:color="auto" w:fill="auto"/>
            <w:hideMark/>
          </w:tcPr>
          <w:p w14:paraId="046F0686" w14:textId="77777777" w:rsidR="004D0880" w:rsidRPr="00C969A8" w:rsidRDefault="004D0880" w:rsidP="00C969A8">
            <w:pPr>
              <w:rPr>
                <w:rFonts w:ascii="Times New Roman" w:eastAsia="Times New Roman" w:hAnsi="Times New Roman" w:cs="Times New Roman"/>
                <w:sz w:val="24"/>
                <w:szCs w:val="24"/>
              </w:rPr>
            </w:pPr>
          </w:p>
        </w:tc>
        <w:tc>
          <w:tcPr>
            <w:tcW w:w="270" w:type="dxa"/>
            <w:shd w:val="clear" w:color="auto" w:fill="auto"/>
          </w:tcPr>
          <w:p w14:paraId="68D1ED1F" w14:textId="77777777" w:rsidR="004D0880" w:rsidRPr="00C969A8" w:rsidRDefault="004D0880" w:rsidP="004D08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p>
        </w:tc>
        <w:tc>
          <w:tcPr>
            <w:tcW w:w="1620" w:type="dxa"/>
            <w:shd w:val="clear" w:color="auto" w:fill="auto"/>
            <w:vAlign w:val="center"/>
            <w:hideMark/>
          </w:tcPr>
          <w:p w14:paraId="3259FB7A" w14:textId="4AE25B35" w:rsidR="004D0880" w:rsidRPr="00C969A8" w:rsidRDefault="004D0880" w:rsidP="004D08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PMS, RRMS, No DMT</w:t>
            </w:r>
          </w:p>
        </w:tc>
        <w:tc>
          <w:tcPr>
            <w:tcW w:w="1440" w:type="dxa"/>
            <w:shd w:val="clear" w:color="auto" w:fill="auto"/>
            <w:vAlign w:val="center"/>
            <w:hideMark/>
          </w:tcPr>
          <w:p w14:paraId="41114505" w14:textId="77777777" w:rsidR="004D0880" w:rsidRPr="00C969A8" w:rsidRDefault="004D0880" w:rsidP="004D08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1</w:t>
            </w:r>
          </w:p>
        </w:tc>
        <w:tc>
          <w:tcPr>
            <w:tcW w:w="3164" w:type="dxa"/>
            <w:shd w:val="clear" w:color="auto" w:fill="auto"/>
            <w:vAlign w:val="center"/>
            <w:hideMark/>
          </w:tcPr>
          <w:p w14:paraId="4E91B884" w14:textId="77777777" w:rsidR="004D0880" w:rsidRPr="00C969A8" w:rsidRDefault="004D0880" w:rsidP="004D08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p-Cresol sulfate</w:t>
            </w:r>
          </w:p>
        </w:tc>
        <w:tc>
          <w:tcPr>
            <w:tcW w:w="1966" w:type="dxa"/>
            <w:shd w:val="clear" w:color="auto" w:fill="auto"/>
            <w:vAlign w:val="center"/>
            <w:hideMark/>
          </w:tcPr>
          <w:p w14:paraId="476088C7" w14:textId="77777777" w:rsidR="004D0880" w:rsidRPr="00C969A8" w:rsidRDefault="004D0880" w:rsidP="004D0880">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C969A8">
              <w:rPr>
                <w:rFonts w:ascii="Times New Roman" w:eastAsia="Times New Roman" w:hAnsi="Times New Roman" w:cs="Times New Roman"/>
                <w:sz w:val="24"/>
                <w:szCs w:val="24"/>
              </w:rPr>
              <w:t>Shared across these subgroups</w:t>
            </w:r>
          </w:p>
        </w:tc>
      </w:tr>
    </w:tbl>
    <w:p w14:paraId="4172B33D" w14:textId="77777777" w:rsidR="00C969A8" w:rsidRDefault="00C969A8" w:rsidP="00260165">
      <w:pPr>
        <w:pStyle w:val="Default"/>
        <w:jc w:val="both"/>
        <w:rPr>
          <w:noProof/>
        </w:rPr>
      </w:pPr>
    </w:p>
    <w:p w14:paraId="28541BAA" w14:textId="77777777" w:rsidR="00981F16" w:rsidRDefault="00981F16" w:rsidP="00260165">
      <w:pPr>
        <w:pStyle w:val="Default"/>
        <w:jc w:val="both"/>
        <w:rPr>
          <w:noProof/>
        </w:rPr>
      </w:pPr>
    </w:p>
    <w:p w14:paraId="0D34510B" w14:textId="77777777" w:rsidR="00981F16" w:rsidRDefault="00981F16" w:rsidP="00260165">
      <w:pPr>
        <w:pStyle w:val="Default"/>
        <w:jc w:val="both"/>
        <w:rPr>
          <w:noProof/>
        </w:rPr>
      </w:pPr>
    </w:p>
    <w:p w14:paraId="70644EEE" w14:textId="77777777" w:rsidR="00117E96" w:rsidRDefault="00117E96" w:rsidP="00260165">
      <w:pPr>
        <w:pStyle w:val="Default"/>
        <w:jc w:val="both"/>
        <w:rPr>
          <w:noProof/>
        </w:rPr>
      </w:pPr>
    </w:p>
    <w:p w14:paraId="6605CB88" w14:textId="77777777" w:rsidR="00E31D11" w:rsidRDefault="00E31D11" w:rsidP="00260165">
      <w:pPr>
        <w:pStyle w:val="Default"/>
        <w:jc w:val="both"/>
        <w:rPr>
          <w:noProof/>
        </w:rPr>
      </w:pPr>
    </w:p>
    <w:p w14:paraId="5C6D4B8D" w14:textId="77777777" w:rsidR="000C284A" w:rsidRDefault="000C284A" w:rsidP="00260165">
      <w:pPr>
        <w:pStyle w:val="Default"/>
        <w:jc w:val="both"/>
        <w:rPr>
          <w:noProof/>
        </w:rPr>
      </w:pPr>
    </w:p>
    <w:p w14:paraId="3BCF3E59" w14:textId="77777777" w:rsidR="000C284A" w:rsidRDefault="000C284A" w:rsidP="00260165">
      <w:pPr>
        <w:pStyle w:val="Default"/>
        <w:jc w:val="both"/>
        <w:rPr>
          <w:noProof/>
        </w:rPr>
      </w:pPr>
    </w:p>
    <w:p w14:paraId="26A51F05" w14:textId="77777777" w:rsidR="001F3B16" w:rsidRDefault="001F3B16" w:rsidP="00260165">
      <w:pPr>
        <w:pStyle w:val="Default"/>
        <w:jc w:val="both"/>
        <w:rPr>
          <w:noProof/>
        </w:rPr>
      </w:pPr>
    </w:p>
    <w:p w14:paraId="273B990C" w14:textId="77777777" w:rsidR="00F80ECF" w:rsidRDefault="00F80ECF" w:rsidP="00F80ECF">
      <w:pPr>
        <w:pStyle w:val="Default"/>
        <w:jc w:val="both"/>
        <w:rPr>
          <w:noProof/>
        </w:rPr>
      </w:pPr>
    </w:p>
    <w:p w14:paraId="53B6D1D1" w14:textId="2AB609F7" w:rsidR="001F3B16" w:rsidRPr="00F80ECF" w:rsidRDefault="00F80ECF" w:rsidP="00F80ECF">
      <w:pPr>
        <w:pStyle w:val="Default"/>
        <w:jc w:val="both"/>
        <w:rPr>
          <w:rFonts w:asciiTheme="majorBidi" w:hAnsiTheme="majorBidi" w:cstheme="majorBidi"/>
          <w:b/>
          <w:bCs/>
        </w:rPr>
      </w:pPr>
      <w:r w:rsidRPr="00F80ECF">
        <w:rPr>
          <w:rFonts w:asciiTheme="majorBidi" w:hAnsiTheme="majorBidi" w:cstheme="majorBidi"/>
          <w:b/>
          <w:bCs/>
        </w:rPr>
        <w:t xml:space="preserve">Supplementary </w:t>
      </w:r>
      <w:r w:rsidRPr="00A90D1E">
        <w:rPr>
          <w:rFonts w:asciiTheme="majorBidi" w:hAnsiTheme="majorBidi" w:cstheme="majorBidi"/>
          <w:b/>
          <w:bCs/>
        </w:rPr>
        <w:t xml:space="preserve">Figure </w:t>
      </w:r>
      <w:r>
        <w:rPr>
          <w:rFonts w:asciiTheme="majorBidi" w:hAnsiTheme="majorBidi" w:cstheme="majorBidi"/>
          <w:b/>
          <w:bCs/>
        </w:rPr>
        <w:t>2</w:t>
      </w:r>
      <w:r w:rsidRPr="00A90D1E">
        <w:rPr>
          <w:rFonts w:asciiTheme="majorBidi" w:hAnsiTheme="majorBidi" w:cstheme="majorBidi"/>
          <w:b/>
          <w:bCs/>
        </w:rPr>
        <w:t xml:space="preserve">. </w:t>
      </w:r>
      <w:r w:rsidR="00121BD3" w:rsidRPr="00121BD3">
        <w:rPr>
          <w:rFonts w:asciiTheme="majorBidi" w:hAnsiTheme="majorBidi" w:cstheme="majorBidi"/>
        </w:rPr>
        <w:t>Selected</w:t>
      </w:r>
      <w:r w:rsidR="00121BD3">
        <w:rPr>
          <w:rFonts w:asciiTheme="majorBidi" w:hAnsiTheme="majorBidi" w:cstheme="majorBidi"/>
          <w:b/>
          <w:bCs/>
        </w:rPr>
        <w:t xml:space="preserve"> </w:t>
      </w:r>
      <w:r w:rsidR="00B320D0" w:rsidRPr="00F80ECF">
        <w:rPr>
          <w:rFonts w:asciiTheme="majorBidi" w:hAnsiTheme="majorBidi" w:cstheme="majorBidi"/>
        </w:rPr>
        <w:t xml:space="preserve">WGCNA </w:t>
      </w:r>
      <w:r w:rsidR="004953FA" w:rsidRPr="00F80ECF">
        <w:rPr>
          <w:rFonts w:asciiTheme="majorBidi" w:hAnsiTheme="majorBidi" w:cstheme="majorBidi"/>
        </w:rPr>
        <w:t>parameters</w:t>
      </w:r>
    </w:p>
    <w:p w14:paraId="7AF4357B" w14:textId="77777777" w:rsidR="00B320D0" w:rsidRDefault="00B320D0" w:rsidP="00260165">
      <w:pPr>
        <w:pStyle w:val="Default"/>
        <w:jc w:val="both"/>
        <w:rPr>
          <w:noProof/>
        </w:rPr>
      </w:pPr>
    </w:p>
    <w:p w14:paraId="7E435063" w14:textId="311E35BA" w:rsidR="00B320D0" w:rsidRDefault="00805492" w:rsidP="00260165">
      <w:pPr>
        <w:pStyle w:val="Default"/>
        <w:jc w:val="both"/>
        <w:rPr>
          <w:noProof/>
        </w:rPr>
      </w:pPr>
      <w:r>
        <w:rPr>
          <w:noProof/>
        </w:rPr>
        <w:drawing>
          <wp:inline distT="0" distB="0" distL="0" distR="0" wp14:anchorId="6EFFE98C" wp14:editId="31991D4A">
            <wp:extent cx="5943600" cy="26809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680970"/>
                    </a:xfrm>
                    <a:prstGeom prst="rect">
                      <a:avLst/>
                    </a:prstGeom>
                  </pic:spPr>
                </pic:pic>
              </a:graphicData>
            </a:graphic>
          </wp:inline>
        </w:drawing>
      </w:r>
    </w:p>
    <w:p w14:paraId="343BD81B" w14:textId="77777777" w:rsidR="00B320D0" w:rsidRDefault="00B320D0" w:rsidP="000C284A">
      <w:pPr>
        <w:jc w:val="both"/>
        <w:rPr>
          <w:rFonts w:asciiTheme="majorBidi" w:hAnsiTheme="majorBidi" w:cstheme="majorBidi"/>
          <w:b/>
          <w:bCs/>
          <w:sz w:val="24"/>
          <w:szCs w:val="24"/>
        </w:rPr>
      </w:pPr>
    </w:p>
    <w:p w14:paraId="492658B9" w14:textId="77777777" w:rsidR="00B320D0" w:rsidRDefault="00B320D0" w:rsidP="000C284A">
      <w:pPr>
        <w:jc w:val="both"/>
        <w:rPr>
          <w:rFonts w:asciiTheme="majorBidi" w:hAnsiTheme="majorBidi" w:cstheme="majorBidi"/>
          <w:b/>
          <w:bCs/>
          <w:sz w:val="24"/>
          <w:szCs w:val="24"/>
        </w:rPr>
      </w:pPr>
    </w:p>
    <w:p w14:paraId="62F0B134" w14:textId="77777777" w:rsidR="00B320D0" w:rsidRDefault="00B320D0" w:rsidP="000C284A">
      <w:pPr>
        <w:jc w:val="both"/>
        <w:rPr>
          <w:rFonts w:asciiTheme="majorBidi" w:hAnsiTheme="majorBidi" w:cstheme="majorBidi"/>
          <w:b/>
          <w:bCs/>
          <w:sz w:val="24"/>
          <w:szCs w:val="24"/>
        </w:rPr>
      </w:pPr>
    </w:p>
    <w:p w14:paraId="76F27333" w14:textId="77777777" w:rsidR="00B320D0" w:rsidRDefault="00B320D0" w:rsidP="000C284A">
      <w:pPr>
        <w:jc w:val="both"/>
        <w:rPr>
          <w:rFonts w:asciiTheme="majorBidi" w:hAnsiTheme="majorBidi" w:cstheme="majorBidi"/>
          <w:b/>
          <w:bCs/>
          <w:sz w:val="24"/>
          <w:szCs w:val="24"/>
        </w:rPr>
      </w:pPr>
    </w:p>
    <w:p w14:paraId="31FEB9C9" w14:textId="77777777" w:rsidR="00B320D0" w:rsidRDefault="00B320D0" w:rsidP="000C284A">
      <w:pPr>
        <w:jc w:val="both"/>
        <w:rPr>
          <w:rFonts w:asciiTheme="majorBidi" w:hAnsiTheme="majorBidi" w:cstheme="majorBidi"/>
          <w:b/>
          <w:bCs/>
          <w:sz w:val="24"/>
          <w:szCs w:val="24"/>
        </w:rPr>
      </w:pPr>
    </w:p>
    <w:p w14:paraId="2FBB5347" w14:textId="77777777" w:rsidR="00B320D0" w:rsidRDefault="00B320D0" w:rsidP="000C284A">
      <w:pPr>
        <w:jc w:val="both"/>
        <w:rPr>
          <w:rFonts w:asciiTheme="majorBidi" w:hAnsiTheme="majorBidi" w:cstheme="majorBidi"/>
          <w:b/>
          <w:bCs/>
          <w:sz w:val="24"/>
          <w:szCs w:val="24"/>
        </w:rPr>
      </w:pPr>
    </w:p>
    <w:p w14:paraId="21B396BE" w14:textId="77777777" w:rsidR="00B320D0" w:rsidRDefault="00B320D0" w:rsidP="000C284A">
      <w:pPr>
        <w:jc w:val="both"/>
        <w:rPr>
          <w:rFonts w:asciiTheme="majorBidi" w:hAnsiTheme="majorBidi" w:cstheme="majorBidi"/>
          <w:b/>
          <w:bCs/>
          <w:sz w:val="24"/>
          <w:szCs w:val="24"/>
        </w:rPr>
      </w:pPr>
    </w:p>
    <w:p w14:paraId="0E1642C0" w14:textId="77777777" w:rsidR="00B320D0" w:rsidRDefault="00B320D0" w:rsidP="000C284A">
      <w:pPr>
        <w:jc w:val="both"/>
        <w:rPr>
          <w:rFonts w:asciiTheme="majorBidi" w:hAnsiTheme="majorBidi" w:cstheme="majorBidi"/>
          <w:b/>
          <w:bCs/>
          <w:sz w:val="24"/>
          <w:szCs w:val="24"/>
        </w:rPr>
      </w:pPr>
    </w:p>
    <w:p w14:paraId="5CA6C860" w14:textId="77777777" w:rsidR="00B320D0" w:rsidRDefault="00B320D0" w:rsidP="000C284A">
      <w:pPr>
        <w:jc w:val="both"/>
        <w:rPr>
          <w:rFonts w:asciiTheme="majorBidi" w:hAnsiTheme="majorBidi" w:cstheme="majorBidi"/>
          <w:b/>
          <w:bCs/>
          <w:sz w:val="24"/>
          <w:szCs w:val="24"/>
        </w:rPr>
      </w:pPr>
    </w:p>
    <w:p w14:paraId="18144C35" w14:textId="77777777" w:rsidR="00B320D0" w:rsidRDefault="00B320D0" w:rsidP="000C284A">
      <w:pPr>
        <w:jc w:val="both"/>
        <w:rPr>
          <w:rFonts w:asciiTheme="majorBidi" w:hAnsiTheme="majorBidi" w:cstheme="majorBidi"/>
          <w:b/>
          <w:bCs/>
          <w:sz w:val="24"/>
          <w:szCs w:val="24"/>
        </w:rPr>
      </w:pPr>
    </w:p>
    <w:p w14:paraId="1A511481" w14:textId="77777777" w:rsidR="00B320D0" w:rsidRDefault="00B320D0" w:rsidP="000C284A">
      <w:pPr>
        <w:jc w:val="both"/>
        <w:rPr>
          <w:rFonts w:asciiTheme="majorBidi" w:hAnsiTheme="majorBidi" w:cstheme="majorBidi"/>
          <w:b/>
          <w:bCs/>
          <w:sz w:val="24"/>
          <w:szCs w:val="24"/>
        </w:rPr>
      </w:pPr>
    </w:p>
    <w:p w14:paraId="2AB51C1F" w14:textId="77777777" w:rsidR="00B320D0" w:rsidRDefault="00B320D0" w:rsidP="000C284A">
      <w:pPr>
        <w:jc w:val="both"/>
        <w:rPr>
          <w:rFonts w:asciiTheme="majorBidi" w:hAnsiTheme="majorBidi" w:cstheme="majorBidi"/>
          <w:b/>
          <w:bCs/>
          <w:sz w:val="24"/>
          <w:szCs w:val="24"/>
        </w:rPr>
      </w:pPr>
    </w:p>
    <w:p w14:paraId="27DD7BE2" w14:textId="77777777" w:rsidR="00B320D0" w:rsidRDefault="00B320D0" w:rsidP="000C284A">
      <w:pPr>
        <w:jc w:val="both"/>
        <w:rPr>
          <w:rFonts w:asciiTheme="majorBidi" w:hAnsiTheme="majorBidi" w:cstheme="majorBidi"/>
          <w:b/>
          <w:bCs/>
          <w:sz w:val="24"/>
          <w:szCs w:val="24"/>
        </w:rPr>
      </w:pPr>
    </w:p>
    <w:p w14:paraId="7C537366" w14:textId="77777777" w:rsidR="00B320D0" w:rsidRDefault="00B320D0" w:rsidP="000C284A">
      <w:pPr>
        <w:jc w:val="both"/>
        <w:rPr>
          <w:rFonts w:asciiTheme="majorBidi" w:hAnsiTheme="majorBidi" w:cstheme="majorBidi"/>
          <w:b/>
          <w:bCs/>
          <w:sz w:val="24"/>
          <w:szCs w:val="24"/>
        </w:rPr>
      </w:pPr>
    </w:p>
    <w:p w14:paraId="2C97119F" w14:textId="77777777" w:rsidR="00B320D0" w:rsidRDefault="00B320D0" w:rsidP="000C284A">
      <w:pPr>
        <w:jc w:val="both"/>
        <w:rPr>
          <w:rFonts w:asciiTheme="majorBidi" w:hAnsiTheme="majorBidi" w:cstheme="majorBidi"/>
          <w:b/>
          <w:bCs/>
          <w:sz w:val="24"/>
          <w:szCs w:val="24"/>
        </w:rPr>
      </w:pPr>
    </w:p>
    <w:p w14:paraId="716D9BE6" w14:textId="77777777" w:rsidR="000909BF" w:rsidRDefault="000909BF" w:rsidP="000C284A">
      <w:pPr>
        <w:jc w:val="both"/>
        <w:rPr>
          <w:rFonts w:asciiTheme="majorBidi" w:hAnsiTheme="majorBidi" w:cstheme="majorBidi"/>
          <w:b/>
          <w:bCs/>
          <w:sz w:val="24"/>
          <w:szCs w:val="24"/>
        </w:rPr>
      </w:pPr>
    </w:p>
    <w:p w14:paraId="229BB421" w14:textId="77777777" w:rsidR="00B320D0" w:rsidRDefault="00B320D0" w:rsidP="000C284A">
      <w:pPr>
        <w:jc w:val="both"/>
        <w:rPr>
          <w:rFonts w:asciiTheme="majorBidi" w:hAnsiTheme="majorBidi" w:cstheme="majorBidi"/>
          <w:b/>
          <w:bCs/>
          <w:sz w:val="24"/>
          <w:szCs w:val="24"/>
        </w:rPr>
      </w:pPr>
    </w:p>
    <w:p w14:paraId="7BAB4614" w14:textId="77777777" w:rsidR="00B320D0" w:rsidRDefault="00B320D0" w:rsidP="000C284A">
      <w:pPr>
        <w:jc w:val="both"/>
        <w:rPr>
          <w:rFonts w:asciiTheme="majorBidi" w:hAnsiTheme="majorBidi" w:cstheme="majorBidi"/>
          <w:b/>
          <w:bCs/>
          <w:sz w:val="24"/>
          <w:szCs w:val="24"/>
        </w:rPr>
      </w:pPr>
    </w:p>
    <w:p w14:paraId="428AB66E" w14:textId="4A5A0CD6" w:rsidR="000C284A" w:rsidRPr="000C284A" w:rsidRDefault="000C284A" w:rsidP="000C284A">
      <w:pPr>
        <w:jc w:val="both"/>
        <w:rPr>
          <w:rFonts w:asciiTheme="majorBidi" w:hAnsiTheme="majorBidi" w:cstheme="majorBidi"/>
          <w:b/>
          <w:bCs/>
          <w:sz w:val="24"/>
          <w:szCs w:val="24"/>
        </w:rPr>
      </w:pPr>
      <w:r>
        <w:rPr>
          <w:rFonts w:asciiTheme="majorBidi" w:hAnsiTheme="majorBidi" w:cstheme="majorBidi"/>
          <w:b/>
          <w:bCs/>
          <w:sz w:val="24"/>
          <w:szCs w:val="24"/>
        </w:rPr>
        <w:t>P</w:t>
      </w:r>
      <w:r w:rsidRPr="00A90D1E">
        <w:rPr>
          <w:rFonts w:asciiTheme="majorBidi" w:hAnsiTheme="majorBidi" w:cstheme="majorBidi"/>
          <w:b/>
          <w:bCs/>
          <w:sz w:val="24"/>
          <w:szCs w:val="24"/>
        </w:rPr>
        <w:t>athway</w:t>
      </w:r>
      <w:r>
        <w:rPr>
          <w:rFonts w:asciiTheme="majorBidi" w:hAnsiTheme="majorBidi" w:cstheme="majorBidi"/>
          <w:b/>
          <w:bCs/>
          <w:sz w:val="24"/>
          <w:szCs w:val="24"/>
        </w:rPr>
        <w:t>s</w:t>
      </w:r>
      <w:r w:rsidRPr="00A90D1E">
        <w:rPr>
          <w:rFonts w:asciiTheme="majorBidi" w:hAnsiTheme="majorBidi" w:cstheme="majorBidi"/>
          <w:b/>
          <w:bCs/>
          <w:sz w:val="24"/>
          <w:szCs w:val="24"/>
        </w:rPr>
        <w:t xml:space="preserve"> </w:t>
      </w:r>
      <w:r>
        <w:rPr>
          <w:rFonts w:asciiTheme="majorBidi" w:hAnsiTheme="majorBidi" w:cstheme="majorBidi"/>
          <w:b/>
          <w:bCs/>
          <w:sz w:val="24"/>
          <w:szCs w:val="24"/>
        </w:rPr>
        <w:t>E</w:t>
      </w:r>
      <w:r w:rsidRPr="00A90D1E">
        <w:rPr>
          <w:rFonts w:asciiTheme="majorBidi" w:hAnsiTheme="majorBidi" w:cstheme="majorBidi"/>
          <w:b/>
          <w:bCs/>
          <w:sz w:val="24"/>
          <w:szCs w:val="24"/>
        </w:rPr>
        <w:t xml:space="preserve">nrichment </w:t>
      </w:r>
      <w:r>
        <w:rPr>
          <w:rFonts w:asciiTheme="majorBidi" w:hAnsiTheme="majorBidi" w:cstheme="majorBidi"/>
          <w:b/>
          <w:bCs/>
          <w:sz w:val="24"/>
          <w:szCs w:val="24"/>
        </w:rPr>
        <w:t>A</w:t>
      </w:r>
      <w:r w:rsidRPr="00A90D1E">
        <w:rPr>
          <w:rFonts w:asciiTheme="majorBidi" w:hAnsiTheme="majorBidi" w:cstheme="majorBidi"/>
          <w:b/>
          <w:bCs/>
          <w:sz w:val="24"/>
          <w:szCs w:val="24"/>
        </w:rPr>
        <w:t>nalys</w:t>
      </w:r>
      <w:r>
        <w:rPr>
          <w:rFonts w:asciiTheme="majorBidi" w:hAnsiTheme="majorBidi" w:cstheme="majorBidi"/>
          <w:b/>
          <w:bCs/>
          <w:sz w:val="24"/>
          <w:szCs w:val="24"/>
        </w:rPr>
        <w:t>i</w:t>
      </w:r>
      <w:r w:rsidRPr="00A90D1E">
        <w:rPr>
          <w:rFonts w:asciiTheme="majorBidi" w:hAnsiTheme="majorBidi" w:cstheme="majorBidi"/>
          <w:b/>
          <w:bCs/>
          <w:sz w:val="24"/>
          <w:szCs w:val="24"/>
        </w:rPr>
        <w:t>s</w:t>
      </w:r>
      <w:r>
        <w:rPr>
          <w:rFonts w:asciiTheme="majorBidi" w:hAnsiTheme="majorBidi" w:cstheme="majorBidi"/>
          <w:b/>
          <w:bCs/>
          <w:sz w:val="24"/>
          <w:szCs w:val="24"/>
        </w:rPr>
        <w:t xml:space="preserve"> for Individual Metabolites</w:t>
      </w:r>
    </w:p>
    <w:p w14:paraId="4DEC41A1" w14:textId="1D2F8080" w:rsidR="00393962" w:rsidRPr="00393962" w:rsidRDefault="00393962" w:rsidP="000C284A">
      <w:pPr>
        <w:spacing w:line="360" w:lineRule="auto"/>
        <w:jc w:val="both"/>
        <w:rPr>
          <w:rFonts w:asciiTheme="majorBidi" w:hAnsiTheme="majorBidi" w:cstheme="majorBidi"/>
          <w:sz w:val="24"/>
          <w:szCs w:val="24"/>
        </w:rPr>
      </w:pPr>
      <w:r w:rsidRPr="00393962">
        <w:rPr>
          <w:rFonts w:asciiTheme="majorBidi" w:hAnsiTheme="majorBidi" w:cstheme="majorBidi"/>
          <w:sz w:val="24"/>
          <w:szCs w:val="24"/>
        </w:rPr>
        <w:t>In this approach, the input data was a ranked list of metabolites based on their test statistics and retrieved metabolic pathways corresponding to each metabolite’s KEGG ID  obtained from the KEGG compound database</w:t>
      </w:r>
      <w:r w:rsidR="00C9322B">
        <w:rPr>
          <w:rFonts w:asciiTheme="majorBidi" w:hAnsiTheme="majorBidi" w:cstheme="majorBidi"/>
          <w:sz w:val="24"/>
          <w:szCs w:val="24"/>
        </w:rPr>
        <w:t xml:space="preserve"> </w:t>
      </w:r>
      <w:r w:rsidR="00C9322B">
        <w:rPr>
          <w:rFonts w:asciiTheme="majorBidi" w:hAnsiTheme="majorBidi" w:cstheme="majorBidi"/>
          <w:sz w:val="24"/>
          <w:szCs w:val="24"/>
        </w:rPr>
        <w:fldChar w:fldCharType="begin"/>
      </w:r>
      <w:r w:rsidR="004860AC">
        <w:rPr>
          <w:rFonts w:asciiTheme="majorBidi" w:hAnsiTheme="majorBidi" w:cstheme="majorBidi"/>
          <w:sz w:val="24"/>
          <w:szCs w:val="24"/>
        </w:rPr>
        <w:instrText xml:space="preserve"> ADDIN EN.CITE &lt;EndNote&gt;&lt;Cite&gt;&lt;Author&gt;Kanehisa&lt;/Author&gt;&lt;Year&gt;2025&lt;/Year&gt;&lt;RecNum&gt;1&lt;/RecNum&gt;&lt;DisplayText&gt;[2]&lt;/DisplayText&gt;&lt;record&gt;&lt;rec-number&gt;1&lt;/rec-number&gt;&lt;foreign-keys&gt;&lt;key app="EN" db-id="wzrdx9s5uss2t6edw5ypfssvtxws2wpwr2xx" timestamp="1747846279"&gt;1&lt;/key&gt;&lt;/foreign-keys&gt;&lt;ref-type name="Journal Article"&gt;17&lt;/ref-type&gt;&lt;contributors&gt;&lt;authors&gt;&lt;author&gt;Kanehisa, Minoru&lt;/author&gt;&lt;author&gt;Furumichi, Miho&lt;/author&gt;&lt;author&gt;Sato, Yoko&lt;/author&gt;&lt;author&gt;Matsuura, Yuriko&lt;/author&gt;&lt;author&gt;Ishiguro-Watanabe, Mari&lt;/author&gt;&lt;/authors&gt;&lt;/contributors&gt;&lt;titles&gt;&lt;title&gt;KEGG: biological systems database as a model of the real world&lt;/title&gt;&lt;secondary-title&gt;Nucleic Acids Research&lt;/secondary-title&gt;&lt;/titles&gt;&lt;periodical&gt;&lt;full-title&gt;Nucleic Acids Research&lt;/full-title&gt;&lt;/periodical&gt;&lt;pages&gt;D672-D677&lt;/pages&gt;&lt;volume&gt;53&lt;/volume&gt;&lt;number&gt;D1&lt;/number&gt;&lt;dates&gt;&lt;year&gt;2025&lt;/year&gt;&lt;/dates&gt;&lt;isbn&gt;0305-1048&lt;/isbn&gt;&lt;urls&gt;&lt;/urls&gt;&lt;/record&gt;&lt;/Cite&gt;&lt;/EndNote&gt;</w:instrText>
      </w:r>
      <w:r w:rsidR="00C9322B">
        <w:rPr>
          <w:rFonts w:asciiTheme="majorBidi" w:hAnsiTheme="majorBidi" w:cstheme="majorBidi"/>
          <w:sz w:val="24"/>
          <w:szCs w:val="24"/>
        </w:rPr>
        <w:fldChar w:fldCharType="separate"/>
      </w:r>
      <w:r w:rsidR="004860AC">
        <w:rPr>
          <w:rFonts w:asciiTheme="majorBidi" w:hAnsiTheme="majorBidi" w:cstheme="majorBidi"/>
          <w:noProof/>
          <w:sz w:val="24"/>
          <w:szCs w:val="24"/>
        </w:rPr>
        <w:t>[2]</w:t>
      </w:r>
      <w:r w:rsidR="00C9322B">
        <w:rPr>
          <w:rFonts w:asciiTheme="majorBidi" w:hAnsiTheme="majorBidi" w:cstheme="majorBidi"/>
          <w:sz w:val="24"/>
          <w:szCs w:val="24"/>
        </w:rPr>
        <w:fldChar w:fldCharType="end"/>
      </w:r>
      <w:r w:rsidR="00C9322B">
        <w:rPr>
          <w:rFonts w:asciiTheme="majorBidi" w:hAnsiTheme="majorBidi" w:cstheme="majorBidi"/>
          <w:sz w:val="24"/>
          <w:szCs w:val="24"/>
        </w:rPr>
        <w:t>.</w:t>
      </w:r>
      <w:r w:rsidRPr="00393962">
        <w:rPr>
          <w:rFonts w:asciiTheme="majorBidi" w:hAnsiTheme="majorBidi" w:cstheme="majorBidi"/>
          <w:sz w:val="24"/>
          <w:szCs w:val="24"/>
        </w:rPr>
        <w:t xml:space="preserve"> If a specific ID was unavailable for an individual metabolite, the ID assigned to the broader metabolite class was used. MSEA uses an </w:t>
      </w:r>
      <w:r>
        <w:rPr>
          <w:rFonts w:asciiTheme="majorBidi" w:hAnsiTheme="majorBidi" w:cstheme="majorBidi"/>
          <w:sz w:val="24"/>
          <w:szCs w:val="24"/>
        </w:rPr>
        <w:t>a priori-defined</w:t>
      </w:r>
      <w:r w:rsidRPr="00393962">
        <w:rPr>
          <w:rFonts w:asciiTheme="majorBidi" w:hAnsiTheme="majorBidi" w:cstheme="majorBidi"/>
          <w:sz w:val="24"/>
          <w:szCs w:val="24"/>
        </w:rPr>
        <w:t xml:space="preserve"> list of metabolic pathways for analyzed metabolites and the related ranked statistics to calculate the pathway enrichment score (ES) for metabolite sets. The ES quantifies the degree to which a metabolite set is overrepresented at the extremes of the ranked list of metabolites. To account for variability in pathway size, we computed a normalized enrichment score (NES), which adjusts for the number of metabolites within each set, enabling meaningful comparisons across pathways. The statistical significance of the association of each pathway with MSPT outcomes was determined using FDR-adjusted p-values, derived through a multiple hypothesis permutation procedure that generates an empirical null distribution of NES values</w:t>
      </w:r>
      <w:r w:rsidR="00014F38">
        <w:rPr>
          <w:rFonts w:asciiTheme="majorBidi" w:hAnsiTheme="majorBidi" w:cstheme="majorBidi"/>
          <w:sz w:val="24"/>
          <w:szCs w:val="24"/>
        </w:rPr>
        <w:fldChar w:fldCharType="begin"/>
      </w:r>
      <w:r w:rsidR="004860AC">
        <w:rPr>
          <w:rFonts w:asciiTheme="majorBidi" w:hAnsiTheme="majorBidi" w:cstheme="majorBidi"/>
          <w:sz w:val="24"/>
          <w:szCs w:val="24"/>
        </w:rPr>
        <w:instrText xml:space="preserve"> ADDIN EN.CITE &lt;EndNote&gt;&lt;Cite&gt;&lt;Author&gt;Subramanian&lt;/Author&gt;&lt;Year&gt;2005&lt;/Year&gt;&lt;RecNum&gt;2&lt;/RecNum&gt;&lt;DisplayText&gt;[3, 4]&lt;/DisplayText&gt;&lt;record&gt;&lt;rec-number&gt;2&lt;/rec-number&gt;&lt;foreign-keys&gt;&lt;key app="EN" db-id="wzrdx9s5uss2t6edw5ypfssvtxws2wpwr2xx" timestamp="1747846565"&gt;2&lt;/key&gt;&lt;/foreign-keys&gt;&lt;ref-type name="Journal Article"&gt;17&lt;/ref-type&gt;&lt;contributors&gt;&lt;authors&gt;&lt;author&gt;Subramanian, Aravind&lt;/author&gt;&lt;author&gt;Tamayo, Pablo&lt;/author&gt;&lt;author&gt;Mootha, Vamsi K&lt;/author&gt;&lt;author&gt;Mukherjee, Sayan&lt;/author&gt;&lt;author&gt;Ebert, Benjamin L&lt;/author&gt;&lt;author&gt;Gillette, Michael A&lt;/author&gt;&lt;author&gt;Paulovich, Amanda&lt;/author&gt;&lt;author&gt;Pomeroy, Scott L&lt;/author&gt;&lt;author&gt;Golub, Todd R&lt;/author&gt;&lt;author&gt;Lander, Eric S&lt;/author&gt;&lt;/authors&gt;&lt;/contributors&gt;&lt;titles&gt;&lt;title&gt;Gene set enrichment analysis: a knowledge-based approach for interpreting genome-wide expression profiles&lt;/title&gt;&lt;secondary-title&gt;Proceedings of the National Academy of Sciences&lt;/secondary-title&gt;&lt;/titles&gt;&lt;periodical&gt;&lt;full-title&gt;Proceedings of the National Academy of Sciences&lt;/full-title&gt;&lt;/periodical&gt;&lt;pages&gt;15545-15550&lt;/pages&gt;&lt;volume&gt;102&lt;/volume&gt;&lt;number&gt;43&lt;/number&gt;&lt;dates&gt;&lt;year&gt;2005&lt;/year&gt;&lt;/dates&gt;&lt;isbn&gt;0027-8424&lt;/isbn&gt;&lt;urls&gt;&lt;/urls&gt;&lt;/record&gt;&lt;/Cite&gt;&lt;Cite&gt;&lt;Author&gt;Korotkevich&lt;/Author&gt;&lt;Year&gt;2016&lt;/Year&gt;&lt;RecNum&gt;4&lt;/RecNum&gt;&lt;record&gt;&lt;rec-number&gt;4&lt;/rec-number&gt;&lt;foreign-keys&gt;&lt;key app="EN" db-id="wzrdx9s5uss2t6edw5ypfssvtxws2wpwr2xx" timestamp="1747846639"&gt;4&lt;/key&gt;&lt;/foreign-keys&gt;&lt;ref-type name="Journal Article"&gt;17&lt;/ref-type&gt;&lt;contributors&gt;&lt;authors&gt;&lt;author&gt;Korotkevich, Gennady&lt;/author&gt;&lt;author&gt;Sukhov, Vladimir&lt;/author&gt;&lt;author&gt;Budin, Nikolay&lt;/author&gt;&lt;author&gt;Shpak, Boris&lt;/author&gt;&lt;author&gt;Artyomov, Maxim N&lt;/author&gt;&lt;author&gt;Sergushichev, Alexey&lt;/author&gt;&lt;/authors&gt;&lt;/contributors&gt;&lt;titles&gt;&lt;title&gt;Fast gene set enrichment analysis&lt;/title&gt;&lt;secondary-title&gt;biorxiv&lt;/secondary-title&gt;&lt;/titles&gt;&lt;periodical&gt;&lt;full-title&gt;biorxiv&lt;/full-title&gt;&lt;/periodical&gt;&lt;pages&gt;060012&lt;/pages&gt;&lt;dates&gt;&lt;year&gt;2016&lt;/year&gt;&lt;/dates&gt;&lt;urls&gt;&lt;/urls&gt;&lt;/record&gt;&lt;/Cite&gt;&lt;/EndNote&gt;</w:instrText>
      </w:r>
      <w:r w:rsidR="00014F38">
        <w:rPr>
          <w:rFonts w:asciiTheme="majorBidi" w:hAnsiTheme="majorBidi" w:cstheme="majorBidi"/>
          <w:sz w:val="24"/>
          <w:szCs w:val="24"/>
        </w:rPr>
        <w:fldChar w:fldCharType="separate"/>
      </w:r>
      <w:r w:rsidR="004860AC">
        <w:rPr>
          <w:rFonts w:asciiTheme="majorBidi" w:hAnsiTheme="majorBidi" w:cstheme="majorBidi"/>
          <w:noProof/>
          <w:sz w:val="24"/>
          <w:szCs w:val="24"/>
        </w:rPr>
        <w:t>[3, 4]</w:t>
      </w:r>
      <w:r w:rsidR="00014F38">
        <w:rPr>
          <w:rFonts w:asciiTheme="majorBidi" w:hAnsiTheme="majorBidi" w:cstheme="majorBidi"/>
          <w:sz w:val="24"/>
          <w:szCs w:val="24"/>
        </w:rPr>
        <w:fldChar w:fldCharType="end"/>
      </w:r>
      <w:r w:rsidRPr="00393962">
        <w:rPr>
          <w:rFonts w:asciiTheme="majorBidi" w:hAnsiTheme="majorBidi" w:cstheme="majorBidi"/>
          <w:sz w:val="24"/>
          <w:szCs w:val="24"/>
        </w:rPr>
        <w:t>.</w:t>
      </w:r>
    </w:p>
    <w:p w14:paraId="3450EA3D" w14:textId="37C71BF7" w:rsidR="00C55149" w:rsidRDefault="00C55149" w:rsidP="00C55149">
      <w:pPr>
        <w:spacing w:line="360" w:lineRule="auto"/>
        <w:jc w:val="both"/>
        <w:rPr>
          <w:rFonts w:asciiTheme="majorBidi" w:hAnsiTheme="majorBidi" w:cstheme="majorBidi"/>
          <w:sz w:val="24"/>
          <w:szCs w:val="24"/>
        </w:rPr>
      </w:pPr>
      <w:r w:rsidRPr="00E60402">
        <w:rPr>
          <w:rFonts w:asciiTheme="majorBidi" w:hAnsiTheme="majorBidi" w:cstheme="majorBidi"/>
          <w:sz w:val="24"/>
          <w:szCs w:val="24"/>
        </w:rPr>
        <w:t xml:space="preserve">MSEA analyses, based on </w:t>
      </w:r>
      <w:r>
        <w:rPr>
          <w:rFonts w:asciiTheme="majorBidi" w:hAnsiTheme="majorBidi" w:cstheme="majorBidi"/>
          <w:sz w:val="24"/>
          <w:szCs w:val="24"/>
        </w:rPr>
        <w:t>a priori-defined</w:t>
      </w:r>
      <w:r w:rsidRPr="00E60402">
        <w:rPr>
          <w:rFonts w:asciiTheme="majorBidi" w:hAnsiTheme="majorBidi" w:cstheme="majorBidi"/>
          <w:sz w:val="24"/>
          <w:szCs w:val="24"/>
        </w:rPr>
        <w:t xml:space="preserve"> pathways, consistently highlighted </w:t>
      </w:r>
      <w:r>
        <w:rPr>
          <w:rFonts w:asciiTheme="majorBidi" w:hAnsiTheme="majorBidi" w:cstheme="majorBidi"/>
          <w:sz w:val="24"/>
          <w:szCs w:val="24"/>
        </w:rPr>
        <w:t xml:space="preserve">alterations in </w:t>
      </w:r>
      <w:r w:rsidRPr="00E60402">
        <w:rPr>
          <w:rFonts w:asciiTheme="majorBidi" w:hAnsiTheme="majorBidi" w:cstheme="majorBidi"/>
          <w:sz w:val="24"/>
          <w:szCs w:val="24"/>
        </w:rPr>
        <w:t xml:space="preserve">lipid metabolism </w:t>
      </w:r>
      <w:r>
        <w:rPr>
          <w:rFonts w:asciiTheme="majorBidi" w:hAnsiTheme="majorBidi" w:cstheme="majorBidi"/>
          <w:sz w:val="24"/>
          <w:szCs w:val="24"/>
        </w:rPr>
        <w:t>as being</w:t>
      </w:r>
      <w:r w:rsidRPr="00E60402">
        <w:rPr>
          <w:rFonts w:asciiTheme="majorBidi" w:hAnsiTheme="majorBidi" w:cstheme="majorBidi"/>
          <w:sz w:val="24"/>
          <w:szCs w:val="24"/>
        </w:rPr>
        <w:t xml:space="preserve"> associated with MS</w:t>
      </w:r>
      <w:r>
        <w:rPr>
          <w:rFonts w:asciiTheme="majorBidi" w:hAnsiTheme="majorBidi" w:cstheme="majorBidi"/>
          <w:sz w:val="24"/>
          <w:szCs w:val="24"/>
        </w:rPr>
        <w:t>PT</w:t>
      </w:r>
      <w:r w:rsidRPr="00E60402">
        <w:rPr>
          <w:rFonts w:asciiTheme="majorBidi" w:hAnsiTheme="majorBidi" w:cstheme="majorBidi"/>
          <w:sz w:val="24"/>
          <w:szCs w:val="24"/>
        </w:rPr>
        <w:t xml:space="preserve"> </w:t>
      </w:r>
      <w:r>
        <w:rPr>
          <w:rFonts w:asciiTheme="majorBidi" w:hAnsiTheme="majorBidi" w:cstheme="majorBidi"/>
          <w:sz w:val="24"/>
          <w:szCs w:val="24"/>
        </w:rPr>
        <w:t>outcomes.</w:t>
      </w:r>
      <w:r w:rsidRPr="002D7342">
        <w:rPr>
          <w:rFonts w:asciiTheme="majorBidi" w:hAnsiTheme="majorBidi" w:cstheme="majorBidi"/>
          <w:color w:val="4472C4" w:themeColor="accent1"/>
          <w:sz w:val="24"/>
          <w:szCs w:val="24"/>
        </w:rPr>
        <w:t xml:space="preserve"> </w:t>
      </w:r>
      <w:r w:rsidRPr="000C284A">
        <w:rPr>
          <w:rFonts w:asciiTheme="majorBidi" w:hAnsiTheme="majorBidi" w:cstheme="majorBidi"/>
          <w:color w:val="000000" w:themeColor="text1"/>
          <w:sz w:val="24"/>
          <w:szCs w:val="24"/>
        </w:rPr>
        <w:t xml:space="preserve">For example, the </w:t>
      </w:r>
      <w:proofErr w:type="spellStart"/>
      <w:r w:rsidRPr="000C284A">
        <w:rPr>
          <w:rFonts w:asciiTheme="majorBidi" w:hAnsiTheme="majorBidi" w:cstheme="majorBidi"/>
          <w:color w:val="000000" w:themeColor="text1"/>
          <w:sz w:val="24"/>
          <w:szCs w:val="24"/>
        </w:rPr>
        <w:t>Glycerolipid</w:t>
      </w:r>
      <w:proofErr w:type="spellEnd"/>
      <w:r w:rsidRPr="000C284A">
        <w:rPr>
          <w:rFonts w:asciiTheme="majorBidi" w:hAnsiTheme="majorBidi" w:cstheme="majorBidi"/>
          <w:color w:val="000000" w:themeColor="text1"/>
          <w:sz w:val="24"/>
          <w:szCs w:val="24"/>
        </w:rPr>
        <w:t xml:space="preserve"> metabolism pathway was significantly associated with MSPT outcome (FDR-adjusted p-values: MDT = 5.00E-36, WST = 4.45E-11, PST = 1.52E-34), and the leading edge for this pathway was predominantly enriched in TGs. We also noticed significant </w:t>
      </w:r>
      <w:r>
        <w:rPr>
          <w:rFonts w:asciiTheme="majorBidi" w:hAnsiTheme="majorBidi" w:cstheme="majorBidi"/>
          <w:sz w:val="24"/>
          <w:szCs w:val="24"/>
        </w:rPr>
        <w:t>enrichment for polyunsaturated fatty acid metabolism pathways, specifically, a</w:t>
      </w:r>
      <w:r w:rsidRPr="00E60402">
        <w:rPr>
          <w:rFonts w:asciiTheme="majorBidi" w:hAnsiTheme="majorBidi" w:cstheme="majorBidi"/>
          <w:sz w:val="24"/>
          <w:szCs w:val="24"/>
        </w:rPr>
        <w:t>rachidonic acid metabolism (FDR-adjusted p-values: MDT = 6.97E-11, WST = 5.41E-16, PST = 5.19E-12), linoleic acid metabolism (MDT = 1.19E-10, WST = 5.17E-15, PST = 2.94E-10)</w:t>
      </w:r>
      <w:r>
        <w:rPr>
          <w:rFonts w:asciiTheme="majorBidi" w:hAnsiTheme="majorBidi" w:cstheme="majorBidi"/>
          <w:sz w:val="24"/>
          <w:szCs w:val="24"/>
        </w:rPr>
        <w:t>,</w:t>
      </w:r>
      <w:r w:rsidRPr="00E60402">
        <w:rPr>
          <w:rFonts w:asciiTheme="majorBidi" w:hAnsiTheme="majorBidi" w:cstheme="majorBidi"/>
          <w:sz w:val="24"/>
          <w:szCs w:val="24"/>
        </w:rPr>
        <w:t xml:space="preserve"> and alpha-linolenic acid metabolism (MDT = 1.01E-09, WST = 1.08E-15, PST = 1.26E-10)</w:t>
      </w:r>
      <w:r>
        <w:rPr>
          <w:rFonts w:asciiTheme="majorBidi" w:hAnsiTheme="majorBidi" w:cstheme="majorBidi"/>
          <w:sz w:val="24"/>
          <w:szCs w:val="24"/>
        </w:rPr>
        <w:t xml:space="preserve">. </w:t>
      </w:r>
    </w:p>
    <w:p w14:paraId="0E98C1DD" w14:textId="77777777" w:rsidR="000C284A" w:rsidRDefault="000C284A" w:rsidP="00C55149">
      <w:pPr>
        <w:spacing w:line="360" w:lineRule="auto"/>
        <w:jc w:val="both"/>
        <w:rPr>
          <w:rFonts w:asciiTheme="majorBidi" w:hAnsiTheme="majorBidi" w:cstheme="majorBidi"/>
          <w:sz w:val="24"/>
          <w:szCs w:val="24"/>
        </w:rPr>
      </w:pPr>
    </w:p>
    <w:p w14:paraId="06A59976" w14:textId="77777777" w:rsidR="000C284A" w:rsidRDefault="000C284A" w:rsidP="00C55149">
      <w:pPr>
        <w:spacing w:line="360" w:lineRule="auto"/>
        <w:jc w:val="both"/>
        <w:rPr>
          <w:rFonts w:asciiTheme="majorBidi" w:hAnsiTheme="majorBidi" w:cstheme="majorBidi"/>
          <w:sz w:val="24"/>
          <w:szCs w:val="24"/>
        </w:rPr>
      </w:pPr>
    </w:p>
    <w:p w14:paraId="0B54EF42" w14:textId="77777777" w:rsidR="000C284A" w:rsidRDefault="000C284A" w:rsidP="00C55149">
      <w:pPr>
        <w:spacing w:line="360" w:lineRule="auto"/>
        <w:jc w:val="both"/>
        <w:rPr>
          <w:rFonts w:asciiTheme="majorBidi" w:hAnsiTheme="majorBidi" w:cstheme="majorBidi"/>
          <w:sz w:val="24"/>
          <w:szCs w:val="24"/>
        </w:rPr>
      </w:pPr>
    </w:p>
    <w:p w14:paraId="5DCFEC86" w14:textId="77777777" w:rsidR="000C284A" w:rsidRDefault="000C284A" w:rsidP="00C55149">
      <w:pPr>
        <w:spacing w:line="360" w:lineRule="auto"/>
        <w:jc w:val="both"/>
        <w:rPr>
          <w:rFonts w:asciiTheme="majorBidi" w:hAnsiTheme="majorBidi" w:cstheme="majorBidi"/>
          <w:sz w:val="24"/>
          <w:szCs w:val="24"/>
        </w:rPr>
      </w:pPr>
    </w:p>
    <w:p w14:paraId="5E35161E" w14:textId="77777777" w:rsidR="004860AC" w:rsidRDefault="004860AC" w:rsidP="00C55149">
      <w:pPr>
        <w:spacing w:line="360" w:lineRule="auto"/>
        <w:jc w:val="both"/>
        <w:rPr>
          <w:rFonts w:asciiTheme="majorBidi" w:hAnsiTheme="majorBidi" w:cstheme="majorBidi"/>
          <w:sz w:val="24"/>
          <w:szCs w:val="24"/>
        </w:rPr>
      </w:pPr>
    </w:p>
    <w:p w14:paraId="55C6D870" w14:textId="77777777" w:rsidR="000C284A" w:rsidRDefault="000C284A" w:rsidP="00C55149">
      <w:pPr>
        <w:spacing w:line="360" w:lineRule="auto"/>
        <w:jc w:val="both"/>
        <w:rPr>
          <w:rFonts w:asciiTheme="majorBidi" w:hAnsiTheme="majorBidi" w:cstheme="majorBidi"/>
          <w:sz w:val="24"/>
          <w:szCs w:val="24"/>
        </w:rPr>
      </w:pPr>
    </w:p>
    <w:p w14:paraId="27192723" w14:textId="1D008B56" w:rsidR="000C284A" w:rsidRPr="000C284A" w:rsidRDefault="000C284A" w:rsidP="000C284A">
      <w:pPr>
        <w:jc w:val="both"/>
        <w:rPr>
          <w:rFonts w:asciiTheme="majorBidi" w:hAnsiTheme="majorBidi" w:cstheme="majorBidi"/>
          <w:b/>
          <w:bCs/>
          <w:sz w:val="24"/>
          <w:szCs w:val="24"/>
        </w:rPr>
      </w:pPr>
      <w:r w:rsidRPr="008B0814">
        <w:rPr>
          <w:rFonts w:asciiTheme="majorBidi" w:hAnsiTheme="majorBidi" w:cstheme="majorBidi"/>
          <w:b/>
          <w:bCs/>
          <w:color w:val="000000" w:themeColor="text1"/>
          <w:sz w:val="24"/>
          <w:szCs w:val="24"/>
        </w:rPr>
        <w:t xml:space="preserve">Supplementary </w:t>
      </w:r>
      <w:r w:rsidRPr="00A90D1E">
        <w:rPr>
          <w:rFonts w:asciiTheme="majorBidi" w:hAnsiTheme="majorBidi" w:cstheme="majorBidi"/>
          <w:b/>
          <w:bCs/>
          <w:sz w:val="24"/>
          <w:szCs w:val="24"/>
        </w:rPr>
        <w:t xml:space="preserve">Figure </w:t>
      </w:r>
      <w:r>
        <w:rPr>
          <w:rFonts w:asciiTheme="majorBidi" w:hAnsiTheme="majorBidi" w:cstheme="majorBidi"/>
          <w:b/>
          <w:bCs/>
          <w:sz w:val="24"/>
          <w:szCs w:val="24"/>
        </w:rPr>
        <w:t>3</w:t>
      </w:r>
      <w:r w:rsidRPr="00A90D1E">
        <w:rPr>
          <w:rFonts w:asciiTheme="majorBidi" w:hAnsiTheme="majorBidi" w:cstheme="majorBidi"/>
          <w:b/>
          <w:bCs/>
          <w:sz w:val="24"/>
          <w:szCs w:val="24"/>
        </w:rPr>
        <w:t xml:space="preserve">. </w:t>
      </w:r>
      <w:r w:rsidRPr="00C55149">
        <w:rPr>
          <w:rFonts w:asciiTheme="majorBidi" w:hAnsiTheme="majorBidi" w:cstheme="majorBidi"/>
          <w:sz w:val="24"/>
          <w:szCs w:val="24"/>
        </w:rPr>
        <w:t>Metabolite Set Enrichment Analysis</w:t>
      </w:r>
      <w:r w:rsidRPr="00F24966">
        <w:rPr>
          <w:rFonts w:asciiTheme="majorBidi" w:hAnsiTheme="majorBidi" w:cstheme="majorBidi"/>
          <w:b/>
          <w:bCs/>
          <w:sz w:val="24"/>
          <w:szCs w:val="24"/>
        </w:rPr>
        <w:t xml:space="preserve"> </w:t>
      </w:r>
    </w:p>
    <w:p w14:paraId="4E6E9B75" w14:textId="693AE1C2" w:rsidR="00C55149" w:rsidRPr="0028671F" w:rsidRDefault="004F6186" w:rsidP="00C55149">
      <w:pPr>
        <w:spacing w:line="360" w:lineRule="auto"/>
        <w:jc w:val="both"/>
        <w:rPr>
          <w:rFonts w:asciiTheme="majorBidi" w:hAnsiTheme="majorBidi" w:cstheme="majorBidi"/>
          <w:sz w:val="24"/>
          <w:szCs w:val="24"/>
        </w:rPr>
      </w:pPr>
      <w:r>
        <w:rPr>
          <w:rFonts w:asciiTheme="majorBidi" w:hAnsiTheme="majorBidi" w:cstheme="majorBidi"/>
          <w:b/>
          <w:bCs/>
          <w:noProof/>
          <w:color w:val="1F1F1F"/>
          <w:sz w:val="24"/>
          <w:szCs w:val="24"/>
          <w:lang w:bidi="fa-IR"/>
        </w:rPr>
        <w:drawing>
          <wp:inline distT="0" distB="0" distL="0" distR="0" wp14:anchorId="12F3B42F" wp14:editId="4E1B1D68">
            <wp:extent cx="5943600" cy="4025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025900"/>
                    </a:xfrm>
                    <a:prstGeom prst="rect">
                      <a:avLst/>
                    </a:prstGeom>
                  </pic:spPr>
                </pic:pic>
              </a:graphicData>
            </a:graphic>
          </wp:inline>
        </w:drawing>
      </w:r>
    </w:p>
    <w:p w14:paraId="22DB6284" w14:textId="77777777" w:rsidR="00D16547" w:rsidRPr="000C284A" w:rsidRDefault="00D16547" w:rsidP="00D16547">
      <w:pPr>
        <w:jc w:val="both"/>
        <w:rPr>
          <w:rFonts w:asciiTheme="majorBidi" w:hAnsiTheme="majorBidi" w:cstheme="majorBidi"/>
          <w:color w:val="1F1F1F"/>
          <w:sz w:val="24"/>
          <w:szCs w:val="24"/>
        </w:rPr>
      </w:pPr>
      <w:r w:rsidRPr="000C284A">
        <w:rPr>
          <w:rFonts w:asciiTheme="majorBidi" w:hAnsiTheme="majorBidi" w:cstheme="majorBidi"/>
          <w:color w:val="1F1F1F"/>
          <w:sz w:val="24"/>
          <w:szCs w:val="24"/>
        </w:rPr>
        <w:t>The results of the metabolite set enrichment analysis for longitudinal MSPT outcomes are illustrated in the dot plot. The y-axis displays the pathways, while the x-axis represents the normalized enrichment scores (NES), which quantify the overrepresentation of each metabolite set within the ranked list of analyzed metabolites, adjusted for set size. The dot size corresponds to the -log10 of the FDR-adjusted p-value. To improve visualization, a color gradient is applied to indicate each pathway's enrichment scores (ES) per outcome.</w:t>
      </w:r>
    </w:p>
    <w:p w14:paraId="5F379E92" w14:textId="77777777" w:rsidR="000C284A" w:rsidRDefault="000C284A" w:rsidP="00D16547">
      <w:pPr>
        <w:jc w:val="both"/>
        <w:rPr>
          <w:rFonts w:asciiTheme="majorBidi" w:hAnsiTheme="majorBidi" w:cstheme="majorBidi"/>
          <w:color w:val="1F1F1F"/>
        </w:rPr>
      </w:pPr>
    </w:p>
    <w:p w14:paraId="54A4B34B" w14:textId="77777777" w:rsidR="000C284A" w:rsidRDefault="000C284A" w:rsidP="00D16547">
      <w:pPr>
        <w:jc w:val="both"/>
        <w:rPr>
          <w:rFonts w:asciiTheme="majorBidi" w:hAnsiTheme="majorBidi" w:cstheme="majorBidi"/>
          <w:color w:val="1F1F1F"/>
        </w:rPr>
      </w:pPr>
    </w:p>
    <w:p w14:paraId="24441A8A" w14:textId="77777777" w:rsidR="000C284A" w:rsidRDefault="000C284A" w:rsidP="00D16547">
      <w:pPr>
        <w:jc w:val="both"/>
        <w:rPr>
          <w:rFonts w:asciiTheme="majorBidi" w:hAnsiTheme="majorBidi" w:cstheme="majorBidi"/>
          <w:color w:val="1F1F1F"/>
        </w:rPr>
      </w:pPr>
    </w:p>
    <w:p w14:paraId="1617A283" w14:textId="77777777" w:rsidR="000C284A" w:rsidRDefault="000C284A" w:rsidP="00D16547">
      <w:pPr>
        <w:jc w:val="both"/>
        <w:rPr>
          <w:rFonts w:asciiTheme="majorBidi" w:hAnsiTheme="majorBidi" w:cstheme="majorBidi"/>
          <w:color w:val="1F1F1F"/>
        </w:rPr>
      </w:pPr>
    </w:p>
    <w:p w14:paraId="6E1E139E" w14:textId="77777777" w:rsidR="000C284A" w:rsidRDefault="000C284A" w:rsidP="00D16547">
      <w:pPr>
        <w:jc w:val="both"/>
        <w:rPr>
          <w:rFonts w:asciiTheme="majorBidi" w:hAnsiTheme="majorBidi" w:cstheme="majorBidi"/>
          <w:color w:val="1F1F1F"/>
        </w:rPr>
      </w:pPr>
    </w:p>
    <w:p w14:paraId="3E1F3CD5" w14:textId="77777777" w:rsidR="000C284A" w:rsidRDefault="000C284A" w:rsidP="00D16547">
      <w:pPr>
        <w:jc w:val="both"/>
        <w:rPr>
          <w:rFonts w:asciiTheme="majorBidi" w:hAnsiTheme="majorBidi" w:cstheme="majorBidi"/>
          <w:color w:val="1F1F1F"/>
        </w:rPr>
      </w:pPr>
    </w:p>
    <w:p w14:paraId="39CD7E7D" w14:textId="77777777" w:rsidR="000C284A" w:rsidRDefault="000C284A" w:rsidP="00D16547">
      <w:pPr>
        <w:jc w:val="both"/>
        <w:rPr>
          <w:rFonts w:asciiTheme="majorBidi" w:hAnsiTheme="majorBidi" w:cstheme="majorBidi"/>
          <w:color w:val="1F1F1F"/>
        </w:rPr>
      </w:pPr>
    </w:p>
    <w:p w14:paraId="1AAB31B5" w14:textId="77777777" w:rsidR="004860AC" w:rsidRDefault="004860AC" w:rsidP="00D16547">
      <w:pPr>
        <w:jc w:val="both"/>
        <w:rPr>
          <w:rFonts w:asciiTheme="majorBidi" w:hAnsiTheme="majorBidi" w:cstheme="majorBidi"/>
          <w:color w:val="1F1F1F"/>
        </w:rPr>
      </w:pPr>
    </w:p>
    <w:p w14:paraId="4B293A0F" w14:textId="77777777" w:rsidR="000C284A" w:rsidRDefault="000C284A" w:rsidP="00D16547">
      <w:pPr>
        <w:jc w:val="both"/>
        <w:rPr>
          <w:rFonts w:asciiTheme="majorBidi" w:hAnsiTheme="majorBidi" w:cstheme="majorBidi"/>
          <w:color w:val="1F1F1F"/>
          <w:sz w:val="24"/>
          <w:szCs w:val="24"/>
        </w:rPr>
      </w:pPr>
    </w:p>
    <w:p w14:paraId="7C73CD62" w14:textId="010813FC" w:rsidR="00981F16" w:rsidRPr="00E31D11" w:rsidRDefault="00E31D11" w:rsidP="00260165">
      <w:pPr>
        <w:pStyle w:val="Default"/>
        <w:jc w:val="both"/>
        <w:rPr>
          <w:rFonts w:asciiTheme="majorBidi" w:hAnsiTheme="majorBidi" w:cstheme="majorBidi"/>
          <w:b/>
          <w:bCs/>
          <w:color w:val="1F1F1F"/>
        </w:rPr>
      </w:pPr>
      <w:r w:rsidRPr="00E31D11">
        <w:rPr>
          <w:rFonts w:asciiTheme="majorBidi" w:hAnsiTheme="majorBidi" w:cstheme="majorBidi"/>
          <w:b/>
          <w:bCs/>
          <w:color w:val="1F1F1F"/>
        </w:rPr>
        <w:t>References</w:t>
      </w:r>
    </w:p>
    <w:p w14:paraId="691FA26C" w14:textId="77777777" w:rsidR="00264C9E" w:rsidRDefault="00264C9E" w:rsidP="00260165">
      <w:pPr>
        <w:pStyle w:val="Default"/>
        <w:jc w:val="both"/>
        <w:rPr>
          <w:noProof/>
        </w:rPr>
      </w:pPr>
    </w:p>
    <w:p w14:paraId="621D68CB" w14:textId="77777777" w:rsidR="004860AC" w:rsidRPr="004860AC" w:rsidRDefault="00264C9E" w:rsidP="004860AC">
      <w:pPr>
        <w:pStyle w:val="EndNoteBibliography"/>
        <w:spacing w:after="0"/>
        <w:ind w:left="720" w:hanging="720"/>
      </w:pPr>
      <w:r>
        <w:fldChar w:fldCharType="begin"/>
      </w:r>
      <w:r>
        <w:instrText xml:space="preserve"> ADDIN EN.REFLIST </w:instrText>
      </w:r>
      <w:r>
        <w:fldChar w:fldCharType="separate"/>
      </w:r>
      <w:r w:rsidR="004860AC" w:rsidRPr="004860AC">
        <w:t>1.</w:t>
      </w:r>
      <w:r w:rsidR="004860AC" w:rsidRPr="004860AC">
        <w:tab/>
        <w:t xml:space="preserve">Noroozi, R., et al., </w:t>
      </w:r>
      <w:r w:rsidR="004860AC" w:rsidRPr="004860AC">
        <w:rPr>
          <w:i/>
        </w:rPr>
        <w:t>Metabolic and lipid alterations in multiple sclerosis linked to disease severity.</w:t>
      </w:r>
      <w:r w:rsidR="004860AC" w:rsidRPr="004860AC">
        <w:t xml:space="preserve"> Multiple Sclerosis Journal, 2025: p. 13524585251325468.</w:t>
      </w:r>
    </w:p>
    <w:p w14:paraId="4437EB0E" w14:textId="77777777" w:rsidR="004860AC" w:rsidRPr="004860AC" w:rsidRDefault="004860AC" w:rsidP="004860AC">
      <w:pPr>
        <w:pStyle w:val="EndNoteBibliography"/>
        <w:spacing w:after="0"/>
        <w:ind w:left="720" w:hanging="720"/>
      </w:pPr>
      <w:r w:rsidRPr="004860AC">
        <w:t>2.</w:t>
      </w:r>
      <w:r w:rsidRPr="004860AC">
        <w:tab/>
        <w:t xml:space="preserve">Kanehisa, M., et al., </w:t>
      </w:r>
      <w:r w:rsidRPr="004860AC">
        <w:rPr>
          <w:i/>
        </w:rPr>
        <w:t>KEGG: biological systems database as a model of the real world.</w:t>
      </w:r>
      <w:r w:rsidRPr="004860AC">
        <w:t xml:space="preserve"> Nucleic Acids Research, 2025. </w:t>
      </w:r>
      <w:r w:rsidRPr="004860AC">
        <w:rPr>
          <w:b/>
        </w:rPr>
        <w:t>53</w:t>
      </w:r>
      <w:r w:rsidRPr="004860AC">
        <w:t>(D1): p. D672-D677.</w:t>
      </w:r>
    </w:p>
    <w:p w14:paraId="36FC66DF" w14:textId="77777777" w:rsidR="004860AC" w:rsidRPr="004860AC" w:rsidRDefault="004860AC" w:rsidP="004860AC">
      <w:pPr>
        <w:pStyle w:val="EndNoteBibliography"/>
        <w:spacing w:after="0"/>
        <w:ind w:left="720" w:hanging="720"/>
      </w:pPr>
      <w:r w:rsidRPr="004860AC">
        <w:t>3.</w:t>
      </w:r>
      <w:r w:rsidRPr="004860AC">
        <w:tab/>
        <w:t xml:space="preserve">Subramanian, A., et al., </w:t>
      </w:r>
      <w:r w:rsidRPr="004860AC">
        <w:rPr>
          <w:i/>
        </w:rPr>
        <w:t>Gene set enrichment analysis: a knowledge-based approach for interpreting genome-wide expression profiles.</w:t>
      </w:r>
      <w:r w:rsidRPr="004860AC">
        <w:t xml:space="preserve"> Proceedings of the National Academy of Sciences, 2005. </w:t>
      </w:r>
      <w:r w:rsidRPr="004860AC">
        <w:rPr>
          <w:b/>
        </w:rPr>
        <w:t>102</w:t>
      </w:r>
      <w:r w:rsidRPr="004860AC">
        <w:t>(43): p. 15545-15550.</w:t>
      </w:r>
    </w:p>
    <w:p w14:paraId="74A87CB8" w14:textId="77777777" w:rsidR="004860AC" w:rsidRPr="004860AC" w:rsidRDefault="004860AC" w:rsidP="004860AC">
      <w:pPr>
        <w:pStyle w:val="EndNoteBibliography"/>
        <w:ind w:left="720" w:hanging="720"/>
      </w:pPr>
      <w:r w:rsidRPr="004860AC">
        <w:t>4.</w:t>
      </w:r>
      <w:r w:rsidRPr="004860AC">
        <w:tab/>
        <w:t xml:space="preserve">Korotkevich, G., et al., </w:t>
      </w:r>
      <w:r w:rsidRPr="004860AC">
        <w:rPr>
          <w:i/>
        </w:rPr>
        <w:t>Fast gene set enrichment analysis.</w:t>
      </w:r>
      <w:r w:rsidRPr="004860AC">
        <w:t xml:space="preserve"> biorxiv, 2016: p. 060012.</w:t>
      </w:r>
    </w:p>
    <w:p w14:paraId="6FC666B9" w14:textId="0C034631" w:rsidR="00264C9E" w:rsidRDefault="00264C9E" w:rsidP="004860AC">
      <w:pPr>
        <w:pStyle w:val="Default"/>
        <w:jc w:val="both"/>
        <w:rPr>
          <w:noProof/>
        </w:rPr>
      </w:pPr>
      <w:r>
        <w:rPr>
          <w:noProof/>
        </w:rPr>
        <w:fldChar w:fldCharType="end"/>
      </w:r>
    </w:p>
    <w:sectPr w:rsidR="00264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rdx9s5uss2t6edw5ypfssvtxws2wpwr2xx&quot;&gt;MSPATHS_Metabolomics_Longi_EndNote_Lib&lt;record-ids&gt;&lt;item&gt;1&lt;/item&gt;&lt;item&gt;2&lt;/item&gt;&lt;item&gt;4&lt;/item&gt;&lt;item&gt;5&lt;/item&gt;&lt;/record-ids&gt;&lt;/item&gt;&lt;/Libraries&gt;"/>
  </w:docVars>
  <w:rsids>
    <w:rsidRoot w:val="002956F3"/>
    <w:rsid w:val="00004C5F"/>
    <w:rsid w:val="00014F38"/>
    <w:rsid w:val="000162C2"/>
    <w:rsid w:val="00020083"/>
    <w:rsid w:val="0006646D"/>
    <w:rsid w:val="000909BF"/>
    <w:rsid w:val="000926AA"/>
    <w:rsid w:val="00096F58"/>
    <w:rsid w:val="000C1973"/>
    <w:rsid w:val="000C241D"/>
    <w:rsid w:val="000C284A"/>
    <w:rsid w:val="001137A0"/>
    <w:rsid w:val="00117E96"/>
    <w:rsid w:val="00121BD3"/>
    <w:rsid w:val="00121F98"/>
    <w:rsid w:val="00126B57"/>
    <w:rsid w:val="00137093"/>
    <w:rsid w:val="00141A11"/>
    <w:rsid w:val="001463BC"/>
    <w:rsid w:val="001654C0"/>
    <w:rsid w:val="001951C8"/>
    <w:rsid w:val="001958DD"/>
    <w:rsid w:val="001C75B1"/>
    <w:rsid w:val="001F3B16"/>
    <w:rsid w:val="002057C6"/>
    <w:rsid w:val="00207CF6"/>
    <w:rsid w:val="00227036"/>
    <w:rsid w:val="00234BFD"/>
    <w:rsid w:val="00260165"/>
    <w:rsid w:val="00264C9E"/>
    <w:rsid w:val="0026794B"/>
    <w:rsid w:val="0029239D"/>
    <w:rsid w:val="002956F3"/>
    <w:rsid w:val="002B5600"/>
    <w:rsid w:val="002C2DB3"/>
    <w:rsid w:val="002D587A"/>
    <w:rsid w:val="002F44DF"/>
    <w:rsid w:val="0030419B"/>
    <w:rsid w:val="00304681"/>
    <w:rsid w:val="00311F8D"/>
    <w:rsid w:val="00332430"/>
    <w:rsid w:val="00342484"/>
    <w:rsid w:val="00351430"/>
    <w:rsid w:val="00393962"/>
    <w:rsid w:val="003B7E0B"/>
    <w:rsid w:val="003E0EDF"/>
    <w:rsid w:val="003F6D49"/>
    <w:rsid w:val="00432C8D"/>
    <w:rsid w:val="00440596"/>
    <w:rsid w:val="00446923"/>
    <w:rsid w:val="00460A85"/>
    <w:rsid w:val="00483B85"/>
    <w:rsid w:val="004860AC"/>
    <w:rsid w:val="004953FA"/>
    <w:rsid w:val="004B5717"/>
    <w:rsid w:val="004D0880"/>
    <w:rsid w:val="004E3A90"/>
    <w:rsid w:val="004F2205"/>
    <w:rsid w:val="004F6186"/>
    <w:rsid w:val="004F6A86"/>
    <w:rsid w:val="004F7E9E"/>
    <w:rsid w:val="005036A6"/>
    <w:rsid w:val="005420AA"/>
    <w:rsid w:val="00550B44"/>
    <w:rsid w:val="00556AD7"/>
    <w:rsid w:val="00557D5D"/>
    <w:rsid w:val="0058715C"/>
    <w:rsid w:val="005A01A9"/>
    <w:rsid w:val="005A6934"/>
    <w:rsid w:val="005B4C13"/>
    <w:rsid w:val="005C74E8"/>
    <w:rsid w:val="005E71D4"/>
    <w:rsid w:val="005F1D02"/>
    <w:rsid w:val="00600E87"/>
    <w:rsid w:val="00640792"/>
    <w:rsid w:val="0065396D"/>
    <w:rsid w:val="00662E3A"/>
    <w:rsid w:val="00667044"/>
    <w:rsid w:val="006A421E"/>
    <w:rsid w:val="006C7F2B"/>
    <w:rsid w:val="006D1022"/>
    <w:rsid w:val="006E047D"/>
    <w:rsid w:val="006E64C0"/>
    <w:rsid w:val="00700134"/>
    <w:rsid w:val="00702066"/>
    <w:rsid w:val="007138C1"/>
    <w:rsid w:val="00713926"/>
    <w:rsid w:val="00722BF5"/>
    <w:rsid w:val="00722DC3"/>
    <w:rsid w:val="007606E9"/>
    <w:rsid w:val="00766A01"/>
    <w:rsid w:val="00774F5C"/>
    <w:rsid w:val="007803BD"/>
    <w:rsid w:val="00783048"/>
    <w:rsid w:val="007B03C8"/>
    <w:rsid w:val="007E11D8"/>
    <w:rsid w:val="007E1549"/>
    <w:rsid w:val="007F168E"/>
    <w:rsid w:val="007F622E"/>
    <w:rsid w:val="008038AB"/>
    <w:rsid w:val="00805492"/>
    <w:rsid w:val="00820398"/>
    <w:rsid w:val="00834A6D"/>
    <w:rsid w:val="008360E2"/>
    <w:rsid w:val="0085129C"/>
    <w:rsid w:val="00856012"/>
    <w:rsid w:val="0087065C"/>
    <w:rsid w:val="008B0814"/>
    <w:rsid w:val="008C0A42"/>
    <w:rsid w:val="008C3C2F"/>
    <w:rsid w:val="008C4BC5"/>
    <w:rsid w:val="008D2F7E"/>
    <w:rsid w:val="008D33B8"/>
    <w:rsid w:val="00904BEB"/>
    <w:rsid w:val="00906E58"/>
    <w:rsid w:val="009105C8"/>
    <w:rsid w:val="00970DC1"/>
    <w:rsid w:val="00981F16"/>
    <w:rsid w:val="00984901"/>
    <w:rsid w:val="009B3B4F"/>
    <w:rsid w:val="009D1EC0"/>
    <w:rsid w:val="009E1A60"/>
    <w:rsid w:val="009E547C"/>
    <w:rsid w:val="00A335B4"/>
    <w:rsid w:val="00A514FE"/>
    <w:rsid w:val="00A632A7"/>
    <w:rsid w:val="00A65C3B"/>
    <w:rsid w:val="00A76D10"/>
    <w:rsid w:val="00AC00C5"/>
    <w:rsid w:val="00B210D6"/>
    <w:rsid w:val="00B320D0"/>
    <w:rsid w:val="00B33BB5"/>
    <w:rsid w:val="00B510AF"/>
    <w:rsid w:val="00B65E01"/>
    <w:rsid w:val="00B92857"/>
    <w:rsid w:val="00BA4CAB"/>
    <w:rsid w:val="00BB4831"/>
    <w:rsid w:val="00C0305D"/>
    <w:rsid w:val="00C10EB4"/>
    <w:rsid w:val="00C2708B"/>
    <w:rsid w:val="00C4640A"/>
    <w:rsid w:val="00C55149"/>
    <w:rsid w:val="00C57241"/>
    <w:rsid w:val="00C62F02"/>
    <w:rsid w:val="00C9322B"/>
    <w:rsid w:val="00C969A8"/>
    <w:rsid w:val="00CC199F"/>
    <w:rsid w:val="00CC6305"/>
    <w:rsid w:val="00CD2C54"/>
    <w:rsid w:val="00CE4EBF"/>
    <w:rsid w:val="00CF3A0E"/>
    <w:rsid w:val="00D07960"/>
    <w:rsid w:val="00D16547"/>
    <w:rsid w:val="00D4369E"/>
    <w:rsid w:val="00D672F5"/>
    <w:rsid w:val="00DA2B59"/>
    <w:rsid w:val="00DD113A"/>
    <w:rsid w:val="00DF2BAC"/>
    <w:rsid w:val="00DF4C50"/>
    <w:rsid w:val="00DF783A"/>
    <w:rsid w:val="00E0234A"/>
    <w:rsid w:val="00E206F7"/>
    <w:rsid w:val="00E24C58"/>
    <w:rsid w:val="00E31D11"/>
    <w:rsid w:val="00E3385C"/>
    <w:rsid w:val="00E45569"/>
    <w:rsid w:val="00E51F40"/>
    <w:rsid w:val="00E54990"/>
    <w:rsid w:val="00E66535"/>
    <w:rsid w:val="00E904E2"/>
    <w:rsid w:val="00E96D98"/>
    <w:rsid w:val="00EA6E60"/>
    <w:rsid w:val="00EC0B2A"/>
    <w:rsid w:val="00EC6360"/>
    <w:rsid w:val="00ED0975"/>
    <w:rsid w:val="00ED60A5"/>
    <w:rsid w:val="00EE2103"/>
    <w:rsid w:val="00F44183"/>
    <w:rsid w:val="00F46305"/>
    <w:rsid w:val="00F54D25"/>
    <w:rsid w:val="00F60AAA"/>
    <w:rsid w:val="00F75045"/>
    <w:rsid w:val="00F80626"/>
    <w:rsid w:val="00F80ECF"/>
    <w:rsid w:val="00F91514"/>
    <w:rsid w:val="00FB5373"/>
    <w:rsid w:val="00FC6D76"/>
    <w:rsid w:val="00FE1D19"/>
    <w:rsid w:val="00FE3C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5B8DF"/>
  <w15:chartTrackingRefBased/>
  <w15:docId w15:val="{8BD906F7-D7CC-4020-9F0F-825841E9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E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2956F3"/>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2956F3"/>
    <w:rPr>
      <w:sz w:val="16"/>
      <w:szCs w:val="16"/>
    </w:rPr>
  </w:style>
  <w:style w:type="paragraph" w:styleId="CommentText">
    <w:name w:val="annotation text"/>
    <w:basedOn w:val="Normal"/>
    <w:link w:val="CommentTextChar"/>
    <w:uiPriority w:val="99"/>
    <w:semiHidden/>
    <w:unhideWhenUsed/>
    <w:rsid w:val="002956F3"/>
    <w:pPr>
      <w:spacing w:line="240" w:lineRule="auto"/>
    </w:pPr>
    <w:rPr>
      <w:sz w:val="20"/>
      <w:szCs w:val="20"/>
    </w:rPr>
  </w:style>
  <w:style w:type="character" w:customStyle="1" w:styleId="CommentTextChar">
    <w:name w:val="Comment Text Char"/>
    <w:basedOn w:val="DefaultParagraphFont"/>
    <w:link w:val="CommentText"/>
    <w:uiPriority w:val="99"/>
    <w:semiHidden/>
    <w:rsid w:val="002956F3"/>
    <w:rPr>
      <w:sz w:val="20"/>
      <w:szCs w:val="20"/>
    </w:rPr>
  </w:style>
  <w:style w:type="paragraph" w:customStyle="1" w:styleId="EndNoteBibliographyTitle">
    <w:name w:val="EndNote Bibliography Title"/>
    <w:basedOn w:val="Normal"/>
    <w:link w:val="EndNoteBibliographyTitleChar"/>
    <w:rsid w:val="00557D5D"/>
    <w:pPr>
      <w:spacing w:after="0"/>
      <w:jc w:val="center"/>
    </w:pPr>
    <w:rPr>
      <w:rFonts w:ascii="Calibri" w:hAnsi="Calibri" w:cs="Calibri"/>
      <w:noProof/>
    </w:rPr>
  </w:style>
  <w:style w:type="character" w:customStyle="1" w:styleId="DefaultChar">
    <w:name w:val="Default Char"/>
    <w:basedOn w:val="DefaultParagraphFont"/>
    <w:link w:val="Default"/>
    <w:rsid w:val="00557D5D"/>
    <w:rPr>
      <w:rFonts w:ascii="Arial" w:hAnsi="Arial" w:cs="Arial"/>
      <w:color w:val="000000"/>
      <w:sz w:val="24"/>
      <w:szCs w:val="24"/>
    </w:rPr>
  </w:style>
  <w:style w:type="character" w:customStyle="1" w:styleId="EndNoteBibliographyTitleChar">
    <w:name w:val="EndNote Bibliography Title Char"/>
    <w:basedOn w:val="DefaultChar"/>
    <w:link w:val="EndNoteBibliographyTitle"/>
    <w:rsid w:val="00557D5D"/>
    <w:rPr>
      <w:rFonts w:ascii="Calibri" w:hAnsi="Calibri" w:cs="Calibri"/>
      <w:noProof/>
      <w:color w:val="000000"/>
      <w:sz w:val="24"/>
      <w:szCs w:val="24"/>
    </w:rPr>
  </w:style>
  <w:style w:type="paragraph" w:customStyle="1" w:styleId="EndNoteBibliography">
    <w:name w:val="EndNote Bibliography"/>
    <w:basedOn w:val="Normal"/>
    <w:link w:val="EndNoteBibliographyChar"/>
    <w:rsid w:val="00557D5D"/>
    <w:pPr>
      <w:spacing w:line="240" w:lineRule="auto"/>
    </w:pPr>
    <w:rPr>
      <w:rFonts w:ascii="Calibri" w:hAnsi="Calibri" w:cs="Calibri"/>
      <w:noProof/>
    </w:rPr>
  </w:style>
  <w:style w:type="character" w:customStyle="1" w:styleId="EndNoteBibliographyChar">
    <w:name w:val="EndNote Bibliography Char"/>
    <w:basedOn w:val="DefaultChar"/>
    <w:link w:val="EndNoteBibliography"/>
    <w:rsid w:val="00557D5D"/>
    <w:rPr>
      <w:rFonts w:ascii="Calibri" w:hAnsi="Calibri" w:cs="Calibri"/>
      <w:noProof/>
      <w:color w:val="000000"/>
      <w:sz w:val="24"/>
      <w:szCs w:val="24"/>
    </w:rPr>
  </w:style>
  <w:style w:type="table" w:styleId="PlainTable4">
    <w:name w:val="Plain Table 4"/>
    <w:basedOn w:val="TableNormal"/>
    <w:uiPriority w:val="44"/>
    <w:rsid w:val="001C75B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F6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539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477503">
      <w:bodyDiv w:val="1"/>
      <w:marLeft w:val="0"/>
      <w:marRight w:val="0"/>
      <w:marTop w:val="0"/>
      <w:marBottom w:val="0"/>
      <w:divBdr>
        <w:top w:val="none" w:sz="0" w:space="0" w:color="auto"/>
        <w:left w:val="none" w:sz="0" w:space="0" w:color="auto"/>
        <w:bottom w:val="none" w:sz="0" w:space="0" w:color="auto"/>
        <w:right w:val="none" w:sz="0" w:space="0" w:color="auto"/>
      </w:divBdr>
    </w:div>
    <w:div w:id="1508983937">
      <w:bodyDiv w:val="1"/>
      <w:marLeft w:val="0"/>
      <w:marRight w:val="0"/>
      <w:marTop w:val="0"/>
      <w:marBottom w:val="0"/>
      <w:divBdr>
        <w:top w:val="none" w:sz="0" w:space="0" w:color="auto"/>
        <w:left w:val="none" w:sz="0" w:space="0" w:color="auto"/>
        <w:bottom w:val="none" w:sz="0" w:space="0" w:color="auto"/>
        <w:right w:val="none" w:sz="0" w:space="0" w:color="auto"/>
      </w:divBdr>
    </w:div>
    <w:div w:id="1681161000">
      <w:bodyDiv w:val="1"/>
      <w:marLeft w:val="0"/>
      <w:marRight w:val="0"/>
      <w:marTop w:val="0"/>
      <w:marBottom w:val="0"/>
      <w:divBdr>
        <w:top w:val="none" w:sz="0" w:space="0" w:color="auto"/>
        <w:left w:val="none" w:sz="0" w:space="0" w:color="auto"/>
        <w:bottom w:val="none" w:sz="0" w:space="0" w:color="auto"/>
        <w:right w:val="none" w:sz="0" w:space="0" w:color="auto"/>
      </w:divBdr>
    </w:div>
    <w:div w:id="181155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5ABDB-D3EF-47FF-AEB3-FE12B1DF2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7</Pages>
  <Words>819</Words>
  <Characters>5052</Characters>
  <Application>Microsoft Office Word</Application>
  <DocSecurity>0</DocSecurity>
  <Lines>256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Rezvan (Rose) Noroozi</dc:creator>
  <cp:keywords/>
  <dc:description/>
  <cp:lastModifiedBy>Rezvan (Rose) Noroozi</cp:lastModifiedBy>
  <cp:revision>129</cp:revision>
  <dcterms:created xsi:type="dcterms:W3CDTF">2025-01-21T15:44:00Z</dcterms:created>
  <dcterms:modified xsi:type="dcterms:W3CDTF">2025-06-24T04:07:00Z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dcf55716-f335-4397-8b85-007b3a0e6be6</vt:lpwstr>
  </property>
</Properties>
</file>