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5D1E46" w14:textId="77777777" w:rsidR="00122B56" w:rsidRDefault="00122B56" w:rsidP="00122B56">
      <w:pPr>
        <w:pStyle w:val="Heading1"/>
      </w:pPr>
      <w:r>
        <w:t>APPENDIX</w:t>
      </w:r>
      <w:bookmarkStart w:id="0" w:name="_GoBack"/>
      <w:bookmarkEnd w:id="0"/>
    </w:p>
    <w:p w14:paraId="195F21B3" w14:textId="08E8D2A1" w:rsidR="00122B56" w:rsidRPr="00122B56" w:rsidRDefault="00122B56" w:rsidP="00122B56">
      <w:pPr>
        <w:rPr>
          <w:rFonts w:ascii="Calibri" w:hAnsi="Calibri" w:cs="Calibri"/>
        </w:rPr>
      </w:pPr>
      <w:r w:rsidRPr="002142CE">
        <w:rPr>
          <w:rFonts w:ascii="Calibri" w:hAnsi="Calibri" w:cs="Calibri"/>
          <w:b/>
          <w:bCs/>
        </w:rPr>
        <w:t>Appendix 1:</w:t>
      </w:r>
      <w:r w:rsidRPr="002142CE">
        <w:rPr>
          <w:rFonts w:ascii="Calibri" w:hAnsi="Calibri" w:cs="Calibri"/>
        </w:rPr>
        <w:t xml:space="preserve"> Intervention clinicaltrials.gov search terms by generic name of drug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072"/>
        <w:gridCol w:w="7988"/>
      </w:tblGrid>
      <w:tr w:rsidR="00122B56" w:rsidRPr="00373F27" w14:paraId="3B130B68" w14:textId="77777777" w:rsidTr="003A04F7">
        <w:trPr>
          <w:trHeight w:val="340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1F3864" w:themeFill="accent1" w:themeFillShade="80"/>
            <w:noWrap/>
            <w:hideMark/>
          </w:tcPr>
          <w:p w14:paraId="719C8154" w14:textId="77777777" w:rsidR="00122B56" w:rsidRPr="00D84EAD" w:rsidRDefault="00122B56" w:rsidP="003A04F7">
            <w:pPr>
              <w:rPr>
                <w:rFonts w:eastAsia="Times New Roman"/>
                <w:b/>
                <w:bCs/>
                <w:color w:val="FFFFFF" w:themeColor="background1"/>
              </w:rPr>
            </w:pPr>
            <w:r w:rsidRPr="00D84EAD">
              <w:rPr>
                <w:rFonts w:eastAsia="Times New Roman"/>
                <w:b/>
                <w:bCs/>
                <w:color w:val="FFFFFF" w:themeColor="background1"/>
              </w:rPr>
              <w:t>Generic Name</w:t>
            </w:r>
          </w:p>
        </w:tc>
        <w:tc>
          <w:tcPr>
            <w:tcW w:w="7988" w:type="dxa"/>
            <w:tcBorders>
              <w:left w:val="nil"/>
              <w:bottom w:val="nil"/>
            </w:tcBorders>
            <w:shd w:val="clear" w:color="auto" w:fill="1F3864" w:themeFill="accent1" w:themeFillShade="80"/>
            <w:noWrap/>
            <w:hideMark/>
          </w:tcPr>
          <w:p w14:paraId="1C1A614A" w14:textId="77777777" w:rsidR="00122B56" w:rsidRPr="00D84EAD" w:rsidRDefault="00122B56" w:rsidP="003A04F7">
            <w:pPr>
              <w:rPr>
                <w:rFonts w:eastAsia="Times New Roman"/>
                <w:b/>
                <w:bCs/>
                <w:color w:val="FFFFFF" w:themeColor="background1"/>
              </w:rPr>
            </w:pPr>
            <w:r w:rsidRPr="00D84EAD">
              <w:rPr>
                <w:rFonts w:eastAsia="Times New Roman"/>
                <w:b/>
                <w:bCs/>
                <w:color w:val="FFFFFF" w:themeColor="background1"/>
              </w:rPr>
              <w:t>Search Terms</w:t>
            </w:r>
          </w:p>
        </w:tc>
      </w:tr>
      <w:tr w:rsidR="00122B56" w:rsidRPr="00373F27" w14:paraId="6E392B58" w14:textId="77777777" w:rsidTr="003A04F7">
        <w:trPr>
          <w:trHeight w:val="320"/>
        </w:trPr>
        <w:tc>
          <w:tcPr>
            <w:tcW w:w="2072" w:type="dxa"/>
            <w:tcBorders>
              <w:top w:val="nil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64A95F1C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Pirfenidone</w:t>
            </w:r>
          </w:p>
        </w:tc>
        <w:tc>
          <w:tcPr>
            <w:tcW w:w="7988" w:type="dxa"/>
            <w:tcBorders>
              <w:top w:val="nil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50B29634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Pirfenidone OR Esbriet OR Pirespa OR Etuary</w:t>
            </w:r>
          </w:p>
        </w:tc>
      </w:tr>
      <w:tr w:rsidR="00122B56" w:rsidRPr="00373F27" w14:paraId="7FD8E870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2240C2BC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Hydroxychloroquine sulfate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297B7233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Hydroxycholoroquine OR Plaquenil OR Hydroquin OR Axemal OR Dolquine or Quensyl or Quinoric</w:t>
            </w:r>
          </w:p>
        </w:tc>
      </w:tr>
      <w:tr w:rsidR="00122B56" w:rsidRPr="00373F27" w14:paraId="3BBC6583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3F5A0FB1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Azithromycin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7D18CEA4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Azithromycin OR zithromax OR AzaSite OR Zmax.</w:t>
            </w:r>
          </w:p>
        </w:tc>
      </w:tr>
      <w:tr w:rsidR="00122B56" w:rsidRPr="00373F27" w14:paraId="63E684BA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458F16D9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Favipiravir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1D6C6EE2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Favipiravir OR Avigan OR T-705</w:t>
            </w:r>
          </w:p>
        </w:tc>
      </w:tr>
      <w:tr w:rsidR="00122B56" w:rsidRPr="00373F27" w14:paraId="154199CA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1D7ECF5B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Oseltamivir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24E58C3C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Oseltamivir OR oseltamivir phosphate OR tamiflu OR GS-4104</w:t>
            </w:r>
          </w:p>
        </w:tc>
      </w:tr>
      <w:tr w:rsidR="00122B56" w:rsidRPr="00373F27" w14:paraId="564DFFD4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10B59282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Sarilumab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20C23A94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Surilumab OR Kevzara</w:t>
            </w:r>
          </w:p>
        </w:tc>
      </w:tr>
      <w:tr w:rsidR="00122B56" w:rsidRPr="00373F27" w14:paraId="79EA0DDF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095C4D79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Tocilizumab (Atlizumab)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3514CC30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Actemra OR Tocilizumab OR Atlizumab</w:t>
            </w:r>
          </w:p>
        </w:tc>
      </w:tr>
      <w:tr w:rsidR="00122B56" w:rsidRPr="00373F27" w14:paraId="7BE9231E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23232C4F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Remdesivir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176795C3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Remdesivir OR GS-5734</w:t>
            </w:r>
          </w:p>
        </w:tc>
      </w:tr>
      <w:tr w:rsidR="00122B56" w:rsidRPr="00373F27" w14:paraId="59A6D10E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39F52877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Leflunomide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0D1E2CBC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Leflunomide OR arava OR SU101</w:t>
            </w:r>
          </w:p>
        </w:tc>
      </w:tr>
      <w:tr w:rsidR="00122B56" w:rsidRPr="00373F27" w14:paraId="06B369A0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6FAEFF18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Interferon-alpha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277D22F9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IFN-A OR interferon alpha</w:t>
            </w:r>
          </w:p>
        </w:tc>
      </w:tr>
      <w:tr w:rsidR="00122B56" w:rsidRPr="00373F27" w14:paraId="3B8EA8E6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2BE7D753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Lopinavir/Ritonavir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783C4777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Kaletra OR lopinavir OR ritonavir or navir</w:t>
            </w:r>
          </w:p>
        </w:tc>
      </w:tr>
      <w:tr w:rsidR="00122B56" w:rsidRPr="00373F27" w14:paraId="51797CD4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6AF26561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Darunavir/Ritonavir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702834AB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Prezista OR Darunavir OR TMC 114.</w:t>
            </w:r>
          </w:p>
        </w:tc>
      </w:tr>
      <w:tr w:rsidR="00122B56" w:rsidRPr="00373F27" w14:paraId="75CDBED5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3CB6C2D5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Baloxivir marboxil 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4A5D3BD9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Baloxavir marboxil OR UNII-505CXM6OHG OR 505CXM6OHG OR 1985606-14-1 OR xofluza</w:t>
            </w:r>
          </w:p>
        </w:tc>
      </w:tr>
      <w:tr w:rsidR="00122B56" w:rsidRPr="00373F27" w14:paraId="739E97E2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711EEAC3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Umifenovir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4A211E92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Umifenovir OR arbidol OR AR-1I9514 OR UNII-93M09WW4RU OR 131707-25-0</w:t>
            </w:r>
          </w:p>
        </w:tc>
      </w:tr>
      <w:tr w:rsidR="00122B56" w:rsidRPr="00373F27" w14:paraId="1FA94F68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2635B8EE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Interferon-beta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760457CD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Interferon-Beta OR ampligen OR Betaseron OR betaferon OR BAY86-5046 OR Interferon beta-1b OR IFN-Beta</w:t>
            </w:r>
          </w:p>
        </w:tc>
      </w:tr>
      <w:tr w:rsidR="00122B56" w:rsidRPr="00373F27" w14:paraId="7200FE33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3D580D0B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Sofosbuvir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75F924AD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SOFOSBUVIR OR PSI-7977 OR 1190307-88-0 OR SOVALDI OR GS-7977</w:t>
            </w:r>
          </w:p>
        </w:tc>
      </w:tr>
      <w:tr w:rsidR="00122B56" w:rsidRPr="00373F27" w14:paraId="43B0CAE9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2B24E663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Nitazoxanide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41A7212E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Nitazoxanide Oral Suspension OR Nitazoxanide OR Alinia OR 55981-09-4 OR Nitazoxamide OR Daxon</w:t>
            </w:r>
          </w:p>
        </w:tc>
      </w:tr>
      <w:tr w:rsidR="00122B56" w:rsidRPr="00373F27" w14:paraId="107A4713" w14:textId="77777777" w:rsidTr="003A04F7">
        <w:trPr>
          <w:trHeight w:val="320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B4C6E7" w:themeFill="accent1" w:themeFillTint="66"/>
            <w:noWrap/>
            <w:hideMark/>
          </w:tcPr>
          <w:p w14:paraId="70652761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222222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222222"/>
                <w:sz w:val="18"/>
                <w:szCs w:val="18"/>
              </w:rPr>
              <w:t>APN01 (ACE2 analogue)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  <w:right w:val="nil"/>
            </w:tcBorders>
            <w:noWrap/>
            <w:hideMark/>
          </w:tcPr>
          <w:p w14:paraId="73A4B32A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APN01</w:t>
            </w:r>
          </w:p>
        </w:tc>
      </w:tr>
      <w:tr w:rsidR="00122B56" w:rsidRPr="00373F27" w14:paraId="3135D2FA" w14:textId="77777777" w:rsidTr="003A04F7">
        <w:trPr>
          <w:trHeight w:val="665"/>
        </w:trPr>
        <w:tc>
          <w:tcPr>
            <w:tcW w:w="2072" w:type="dxa"/>
            <w:tcBorders>
              <w:top w:val="single" w:sz="2" w:space="0" w:color="808080" w:themeColor="background1" w:themeShade="80"/>
              <w:left w:val="nil"/>
              <w:bottom w:val="nil"/>
              <w:right w:val="nil"/>
            </w:tcBorders>
            <w:shd w:val="clear" w:color="auto" w:fill="B4C6E7" w:themeFill="accent1" w:themeFillTint="66"/>
            <w:noWrap/>
            <w:hideMark/>
          </w:tcPr>
          <w:p w14:paraId="3E055E46" w14:textId="77777777" w:rsidR="00122B56" w:rsidRPr="00642C1C" w:rsidRDefault="00122B56" w:rsidP="003A04F7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642C1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Ivermectin</w:t>
            </w:r>
          </w:p>
        </w:tc>
        <w:tc>
          <w:tcPr>
            <w:tcW w:w="7988" w:type="dxa"/>
            <w:tcBorders>
              <w:top w:val="single" w:sz="2" w:space="0" w:color="808080" w:themeColor="background1" w:themeShade="80"/>
              <w:left w:val="nil"/>
              <w:bottom w:val="nil"/>
              <w:right w:val="nil"/>
            </w:tcBorders>
            <w:noWrap/>
            <w:hideMark/>
          </w:tcPr>
          <w:p w14:paraId="6EFE6A02" w14:textId="77777777" w:rsidR="00122B56" w:rsidRPr="002A1552" w:rsidRDefault="00122B56" w:rsidP="003A04F7">
            <w:pPr>
              <w:rPr>
                <w:rFonts w:eastAsia="Times New Roman"/>
                <w:sz w:val="18"/>
                <w:szCs w:val="18"/>
              </w:rPr>
            </w:pPr>
            <w:r w:rsidRPr="002A1552">
              <w:rPr>
                <w:rFonts w:eastAsia="Times New Roman"/>
                <w:sz w:val="18"/>
                <w:szCs w:val="18"/>
              </w:rPr>
              <w:t>IVERMECTIN OR Ivermectin B1a OR Dihydroavermectin B1a OR 22,23-Dihydroavermectin B1a OR ivermectin H2B1a OR UNII-91Y2202OUW OR CHEBI:63941</w:t>
            </w:r>
          </w:p>
        </w:tc>
      </w:tr>
    </w:tbl>
    <w:p w14:paraId="45DAE7DD" w14:textId="77777777" w:rsidR="002923D6" w:rsidRDefault="00122B56"/>
    <w:sectPr w:rsidR="002923D6">
      <w:headerReference w:type="default" r:id="rId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8F1B4" w14:textId="77777777" w:rsidR="0050289C" w:rsidRDefault="00122B56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D66"/>
    <w:rsid w:val="000179F1"/>
    <w:rsid w:val="00122B56"/>
    <w:rsid w:val="00143ED2"/>
    <w:rsid w:val="00775CB9"/>
    <w:rsid w:val="00801D89"/>
    <w:rsid w:val="00853D66"/>
    <w:rsid w:val="00943261"/>
    <w:rsid w:val="00AE75BC"/>
    <w:rsid w:val="00DC43FA"/>
    <w:rsid w:val="00DC66FC"/>
    <w:rsid w:val="00FC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2192BF"/>
  <w15:chartTrackingRefBased/>
  <w15:docId w15:val="{31A129C5-3D6E-1E44-B9E5-A1C33205E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22B56"/>
    <w:pPr>
      <w:spacing w:line="276" w:lineRule="auto"/>
    </w:pPr>
    <w:rPr>
      <w:rFonts w:ascii="Arial" w:eastAsia="Arial" w:hAnsi="Arial" w:cs="Arial"/>
      <w:sz w:val="22"/>
      <w:szCs w:val="22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2B56"/>
    <w:pPr>
      <w:keepNext/>
      <w:keepLines/>
      <w:spacing w:before="400" w:after="120"/>
      <w:outlineLvl w:val="0"/>
    </w:pPr>
    <w:rPr>
      <w:rFonts w:ascii="Calibri" w:hAnsi="Calibri"/>
      <w:b/>
      <w:sz w:val="3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2B56"/>
    <w:rPr>
      <w:rFonts w:ascii="Calibri" w:eastAsia="Arial" w:hAnsi="Calibri" w:cs="Arial"/>
      <w:b/>
      <w:sz w:val="30"/>
      <w:szCs w:val="40"/>
      <w:lang w:val="en-GB" w:eastAsia="en-GB"/>
    </w:rPr>
  </w:style>
  <w:style w:type="table" w:styleId="TableGrid">
    <w:name w:val="Table Grid"/>
    <w:basedOn w:val="TableNormal"/>
    <w:uiPriority w:val="39"/>
    <w:rsid w:val="00122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1251</Characters>
  <Application>Microsoft Office Word</Application>
  <DocSecurity>0</DocSecurity>
  <Lines>27</Lines>
  <Paragraphs>17</Paragraphs>
  <ScaleCrop>false</ScaleCrop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Rodgers, Florence</dc:creator>
  <cp:keywords/>
  <dc:description/>
  <cp:lastModifiedBy>Rodgers, Florence</cp:lastModifiedBy>
  <cp:revision>2</cp:revision>
  <dcterms:created xsi:type="dcterms:W3CDTF">2020-06-01T09:49:00Z</dcterms:created>
  <dcterms:modified xsi:type="dcterms:W3CDTF">2020-06-01T09:50:00Z</dcterms:modified>
</cp:coreProperties>
</file>