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79C" w:rsidRPr="00C47377" w:rsidRDefault="008B679C" w:rsidP="008B679C">
      <w:pPr>
        <w:rPr>
          <w:rFonts w:ascii="Arial Unicode MS" w:eastAsia="Arial Unicode MS" w:hAnsi="Arial Unicode MS" w:cs="Arial Unicode MS"/>
          <w:b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b/>
          <w:sz w:val="24"/>
          <w:szCs w:val="24"/>
          <w:lang w:eastAsia="zh-TW"/>
        </w:rPr>
        <w:t>Appendix A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Once the MLC position is conformed, the dose </w:t>
      </w:r>
      <w:r w:rsidRPr="00C47377">
        <w:rPr>
          <w:rFonts w:ascii="Arial Unicode MS" w:eastAsia="Arial Unicode MS" w:hAnsi="Arial Unicode MS" w:cs="Arial Unicode MS"/>
          <w:color w:val="000000"/>
          <w:sz w:val="24"/>
          <w:szCs w:val="24"/>
        </w:rPr>
        <w:t>50% position</w:t>
      </w:r>
      <w:r w:rsidRPr="00C47377">
        <w:rPr>
          <w:rFonts w:ascii="Arial Unicode MS" w:eastAsia="Arial Unicode MS" w:hAnsi="Arial Unicode MS" w:cs="Arial Unicode MS"/>
          <w:color w:val="000000"/>
          <w:sz w:val="24"/>
          <w:szCs w:val="24"/>
          <w:lang w:eastAsia="zh-TW"/>
        </w:rPr>
        <w:t xml:space="preserve"> can be derived by the procedure according to figure 2.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θ’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191.3-3.12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), θ’’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 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191.3-6.24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(196.8 cm downstream 5.5 cm to 191.3 cm</w:t>
      </w:r>
      <w:r>
        <w:rPr>
          <w:rFonts w:ascii="Arial Unicode MS" w:eastAsia="Arial Unicode MS" w:hAnsi="Arial Unicode MS" w:cs="Arial Unicode MS" w:hint="eastAsia"/>
          <w:sz w:val="24"/>
          <w:szCs w:val="24"/>
          <w:lang w:eastAsia="zh-TW"/>
        </w:rPr>
        <w:t>_ the virtual source position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)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m:oMath>
        <m:acc>
          <m:accPr>
            <m:chr m:val="̅"/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ae</m:t>
            </m:r>
          </m:e>
        </m:acc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3.12 cm</m:t>
            </m:r>
          </m:num>
          <m:den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cos⁡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(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θ'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)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,  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hr</m:t>
            </m:r>
          </m:e>
        </m:acc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6.24 cm</m:t>
            </m:r>
          </m:num>
          <m:den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cos⁡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(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θ''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)</m:t>
            </m:r>
          </m:den>
        </m:f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cf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cd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fr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de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cg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cb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When MLC closes to central axis, the 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50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penetration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trajectory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is estimated to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locate in region of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 xml:space="preserve"> </m:t>
        </m:r>
        <m:acc>
          <m:accPr>
            <m:chr m:val="̅"/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haer</m:t>
            </m:r>
          </m:e>
        </m:acc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θ’’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 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191.3-6.24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lastRenderedPageBreak/>
        <w:t>6.24 tanθ’’ =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2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, 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2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= 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tanθ’’ 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tanβ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cf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cd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fr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ce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cg</m:t>
            </m:r>
          </m:e>
        </m:acc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cb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cd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de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cb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</w:t>
      </w: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50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1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= 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tanβ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vertAlign w:val="superscript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  <w:vertAlign w:val="subscript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tanβ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vertAlign w:val="superscript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  <m:r>
          <w:rPr>
            <w:rFonts w:ascii="Cambria Math" w:eastAsia="Arial Unicode MS" w:hAnsi="Cambria Math" w:cs="Arial Unicode MS"/>
            <w:sz w:val="24"/>
            <w:szCs w:val="24"/>
          </w:rPr>
          <m:t xml:space="preserve"> 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(1 +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tan</m:t>
                </m:r>
              </m:e>
              <m:sup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 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β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)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6.24 tanθ’’ =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tanθ’’ 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 xml:space="preserve">191.3 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tanβ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 xml:space="preserve"> 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tanβ-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 xml:space="preserve">191.3 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tanθ’’ +6.24 tanθ’’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tanβ-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tanθ’’ +6.24 tanθ’’)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(1 +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tan</m:t>
                </m:r>
              </m:e>
              <m:sup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 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β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)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,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[θ’’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191.3 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191.3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-6.24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)]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vertAlign w:val="subscript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The alternative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way to derive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tanβ-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tanθ,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50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sinβ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m:oMath>
        <m:r>
          <w:rPr>
            <w:rFonts w:ascii="Cambria Math" w:eastAsia="Arial Unicode MS" w:hAnsi="Cambria Math" w:cs="Arial Unicode MS"/>
            <w:sz w:val="24"/>
            <w:szCs w:val="24"/>
          </w:rPr>
          <m:t>(191.3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tanβ-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tanθ)/ sinβ = 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50 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When MLC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far from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central axis, the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50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penetration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trajectory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is estimated to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locate in region of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 xml:space="preserve"> </m:t>
        </m:r>
        <m:acc>
          <m:accPr>
            <m:chr m:val="̅"/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ace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m:oMath>
        <m:r>
          <w:rPr>
            <w:rFonts w:ascii="Cambria Math" w:eastAsia="Arial Unicode MS" w:hAnsi="Cambria Math" w:cs="Arial Unicode MS"/>
            <w:sz w:val="24"/>
            <w:szCs w:val="24"/>
          </w:rPr>
          <m:t>(191.3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tanα-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tanθ)/ sinα = 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50 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[θ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f>
              <m:fPr>
                <m:ctrlPr>
                  <w:rPr>
                    <w:rFonts w:ascii="Cambria Math" w:eastAsia="Arial Unicode MS" w:hAnsi="Cambria Math" w:cs="Arial Unicode MS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FS</m:t>
                </m:r>
              </m:num>
              <m:den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2</m:t>
                </m:r>
              </m:den>
            </m:f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263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.3</m:t>
            </m:r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-5.5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)]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(</w:t>
      </w:r>
      <w:r>
        <w:rPr>
          <w:rFonts w:ascii="Arial Unicode MS" w:eastAsia="Arial Unicode MS" w:hAnsi="Arial Unicode MS" w:cs="Arial Unicode MS" w:hint="eastAsia"/>
          <w:lang w:eastAsia="zh-TW"/>
        </w:rPr>
        <w:t>V</w:t>
      </w:r>
      <w:r w:rsidRPr="00C47377">
        <w:rPr>
          <w:rFonts w:ascii="Arial Unicode MS" w:eastAsia="Arial Unicode MS" w:hAnsi="Arial Unicode MS" w:cs="Arial Unicode MS"/>
        </w:rPr>
        <w:t>irtual source pos</w:t>
      </w:r>
      <w:bookmarkStart w:id="0" w:name="_GoBack"/>
      <w:bookmarkEnd w:id="0"/>
      <w:r w:rsidRPr="00C47377">
        <w:rPr>
          <w:rFonts w:ascii="Arial Unicode MS" w:eastAsia="Arial Unicode MS" w:hAnsi="Arial Unicode MS" w:cs="Arial Unicode MS"/>
        </w:rPr>
        <w:t>ition</w:t>
      </w:r>
      <w:r w:rsidRPr="00C47377">
        <w:rPr>
          <w:rFonts w:ascii="Arial Unicode MS" w:eastAsia="Arial Unicode MS" w:hAnsi="Arial Unicode MS" w:cs="Arial Unicode MS"/>
          <w:lang w:eastAsia="zh-TW"/>
        </w:rPr>
        <w:t xml:space="preserve"> </w:t>
      </w:r>
      <w:r w:rsidRPr="008B679C">
        <w:rPr>
          <w:rFonts w:ascii="Arial Unicode MS" w:eastAsia="Arial Unicode MS" w:hAnsi="Arial Unicode MS" w:cs="Arial Unicode MS"/>
          <w:sz w:val="24"/>
          <w:szCs w:val="24"/>
          <w:lang w:eastAsia="zh-TW"/>
        </w:rPr>
        <w:t>was 5.5 cm</w:t>
      </w:r>
      <w:r w:rsidRPr="008B679C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</w:t>
      </w:r>
      <w:r w:rsidRPr="008B679C">
        <w:rPr>
          <w:rFonts w:ascii="Arial Unicode MS" w:eastAsia="Arial Unicode MS" w:hAnsi="Arial Unicode MS" w:cs="Arial Unicode MS"/>
          <w:sz w:val="24"/>
          <w:szCs w:val="24"/>
          <w:lang w:eastAsia="zh-TW"/>
        </w:rPr>
        <w:t>downstream from source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)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θ’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191.3-3.12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θ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is determined by </w:t>
      </w:r>
      <m:oMath>
        <m:f>
          <m:fPr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FS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den>
        </m:f>
      </m:oMath>
      <w:r w:rsidRPr="00C47377">
        <w:rPr>
          <w:rFonts w:ascii="Arial Unicode MS" w:eastAsia="Arial Unicode MS" w:hAnsi="Arial Unicode MS" w:cs="Arial Unicode MS"/>
          <w:iCs/>
          <w:sz w:val="24"/>
          <w:szCs w:val="24"/>
          <w:lang w:eastAsia="zh-TW"/>
        </w:rPr>
        <w:t xml:space="preserve">,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α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can be added by an increase small angle from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θ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to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θ’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, then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  <w:lang w:eastAsia="zh-TW"/>
        </w:rPr>
        <w:t xml:space="preserve">50%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is found once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50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reach MLC struggling range. </w:t>
      </w:r>
      <w:r w:rsidRPr="00C47377">
        <w:rPr>
          <w:rFonts w:ascii="Arial Unicode MS" w:eastAsia="Arial Unicode MS" w:hAnsi="Arial Unicode MS" w:cs="Arial Unicode MS"/>
          <w:iCs/>
          <w:sz w:val="24"/>
          <w:szCs w:val="24"/>
          <w:lang w:eastAsia="zh-TW"/>
        </w:rPr>
        <w:t xml:space="preserve"> 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  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lang w:eastAsia="zh-TW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The derivation below is another way to find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d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50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3.12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 =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2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,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2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= 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 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tanα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</w:t>
      </w: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y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50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cd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de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iCs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eastAsia="Arial Unicode MS" w:hAnsi="Cambria Math" w:cs="Arial Unicode MS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cb</m:t>
            </m:r>
          </m:e>
        </m:acc>
      </m:oMath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 xml:space="preserve">1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= y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tanα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vertAlign w:val="superscript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  <w:vertAlign w:val="subscript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tanα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  <w:vertAlign w:val="superscript"/>
        </w:rPr>
      </w:pPr>
      <m:oMath>
        <m:sSubSup>
          <m:sSubSup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Sup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2</m:t>
            </m:r>
          </m:sup>
        </m:sSubSup>
        <m:r>
          <w:rPr>
            <w:rFonts w:ascii="Cambria Math" w:eastAsia="Arial Unicode MS" w:hAnsi="Cambria Math" w:cs="Arial Unicode MS"/>
            <w:sz w:val="24"/>
            <w:szCs w:val="24"/>
          </w:rPr>
          <m:t xml:space="preserve"> 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(1 +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tan</m:t>
                </m:r>
              </m:e>
              <m:sup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 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α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)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 xml:space="preserve">3.12 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tanθ’ = 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+ 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 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tanα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x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bscript"/>
        </w:rPr>
        <w:t>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=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tanα-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 +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3.12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sz w:val="24"/>
          <w:szCs w:val="24"/>
        </w:rPr>
      </w:pP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tanα-</w:t>
      </w:r>
      <m:oMath>
        <m:r>
          <w:rPr>
            <w:rFonts w:ascii="Cambria Math" w:eastAsia="Arial Unicode MS" w:hAnsi="Cambria Math" w:cs="Arial Unicode MS"/>
            <w:sz w:val="24"/>
            <w:szCs w:val="24"/>
          </w:rPr>
          <m:t>191.3</m:t>
        </m:r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tanθ’ +</w:t>
      </w:r>
      <w:r w:rsidRPr="00C47377">
        <w:rPr>
          <w:rFonts w:ascii="Arial Unicode MS" w:eastAsia="Arial Unicode MS" w:hAnsi="Arial Unicode MS" w:cs="Arial Unicode MS"/>
          <w:sz w:val="24"/>
          <w:szCs w:val="24"/>
          <w:lang w:eastAsia="zh-TW"/>
        </w:rPr>
        <w:t>3.12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tanθ’)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(1 + 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tan</m:t>
                </m:r>
              </m:e>
              <m:sup>
                <m:r>
                  <w:rPr>
                    <w:rFonts w:ascii="Cambria Math" w:eastAsia="Arial Unicode MS" w:hAnsi="Cambria Math" w:cs="Arial Unicode MS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 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α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) = </w:t>
      </w:r>
      <m:oMath>
        <m:r>
          <m:rPr>
            <m:sty m:val="p"/>
          </m:rPr>
          <w:rPr>
            <w:rFonts w:ascii="Cambria Math" w:eastAsia="Arial Unicode MS" w:hAnsi="Cambria Math" w:cs="Arial Unicode MS"/>
            <w:sz w:val="24"/>
            <w:szCs w:val="24"/>
          </w:rPr>
          <m:t>(</m:t>
        </m:r>
        <m:sSub>
          <m:sSub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sSubPr>
          <m:e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 xml:space="preserve">50 </m:t>
            </m:r>
          </m:sub>
        </m:sSub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 xml:space="preserve"> , [θ’ = tan</w:t>
      </w:r>
      <w:r w:rsidRPr="00C47377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-1</w:t>
      </w:r>
      <w:r w:rsidRPr="00C47377">
        <w:rPr>
          <w:rFonts w:ascii="Arial Unicode MS" w:eastAsia="Arial Unicode MS" w:hAnsi="Arial Unicode MS" w:cs="Arial Unicode MS"/>
          <w:sz w:val="24"/>
          <w:szCs w:val="24"/>
        </w:rPr>
        <w:t>(</w:t>
      </w:r>
      <m:oMath>
        <m:f>
          <m:fPr>
            <m:ctrlPr>
              <w:rPr>
                <w:rFonts w:ascii="Cambria Math" w:eastAsia="Arial Unicode MS" w:hAnsi="Cambria Math" w:cs="Arial Unicode MS"/>
                <w:sz w:val="24"/>
                <w:szCs w:val="24"/>
              </w:rPr>
            </m:ctrlPr>
          </m:fPr>
          <m:num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191.3tan</m:t>
            </m:r>
            <m:r>
              <m:rPr>
                <m:sty m:val="p"/>
              </m:rPr>
              <w:rPr>
                <w:rFonts w:ascii="Cambria Math" w:eastAsia="Arial Unicode MS" w:hAnsi="Cambria Math" w:cs="Arial Unicode MS"/>
                <w:sz w:val="24"/>
                <w:szCs w:val="24"/>
              </w:rPr>
              <m:t>θ</m:t>
            </m:r>
          </m:num>
          <m:den>
            <m:r>
              <w:rPr>
                <w:rFonts w:ascii="Cambria Math" w:eastAsia="Arial Unicode MS" w:hAnsi="Cambria Math" w:cs="Arial Unicode MS"/>
                <w:sz w:val="24"/>
                <w:szCs w:val="24"/>
              </w:rPr>
              <m:t>191.3-3.12</m:t>
            </m:r>
          </m:den>
        </m:f>
      </m:oMath>
      <w:r w:rsidRPr="00C47377">
        <w:rPr>
          <w:rFonts w:ascii="Arial Unicode MS" w:eastAsia="Arial Unicode MS" w:hAnsi="Arial Unicode MS" w:cs="Arial Unicode MS"/>
          <w:sz w:val="24"/>
          <w:szCs w:val="24"/>
        </w:rPr>
        <w:t>)]</w:t>
      </w:r>
    </w:p>
    <w:p w:rsidR="008B679C" w:rsidRPr="00C47377" w:rsidRDefault="008B679C" w:rsidP="008B679C">
      <w:pPr>
        <w:rPr>
          <w:rFonts w:ascii="Arial Unicode MS" w:eastAsia="Arial Unicode MS" w:hAnsi="Arial Unicode MS" w:cs="Arial Unicode MS"/>
          <w:b/>
          <w:sz w:val="24"/>
          <w:szCs w:val="24"/>
          <w:lang w:eastAsia="zh-TW"/>
        </w:rPr>
      </w:pPr>
    </w:p>
    <w:p w:rsidR="001166DF" w:rsidRDefault="001166DF"/>
    <w:sectPr w:rsidR="001166DF" w:rsidSect="009B60A5">
      <w:footerReference w:type="default" r:id="rId7"/>
      <w:footnotePr>
        <w:pos w:val="beneathText"/>
      </w:footnotePr>
      <w:pgSz w:w="12240" w:h="15840" w:code="1"/>
      <w:pgMar w:top="1797" w:right="1440" w:bottom="1797" w:left="1440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A3A" w:rsidRDefault="001F2A3A" w:rsidP="008B679C">
      <w:pPr>
        <w:spacing w:before="0" w:line="240" w:lineRule="auto"/>
      </w:pPr>
      <w:r>
        <w:separator/>
      </w:r>
    </w:p>
  </w:endnote>
  <w:endnote w:type="continuationSeparator" w:id="0">
    <w:p w:rsidR="001F2A3A" w:rsidRDefault="001F2A3A" w:rsidP="008B679C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0569419"/>
      <w:docPartObj>
        <w:docPartGallery w:val="Page Numbers (Bottom of Page)"/>
        <w:docPartUnique/>
      </w:docPartObj>
    </w:sdtPr>
    <w:sdtContent>
      <w:p w:rsidR="008B679C" w:rsidRDefault="008B679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A3A" w:rsidRPr="001F2A3A">
          <w:rPr>
            <w:noProof/>
            <w:lang w:val="zh-TW" w:eastAsia="zh-TW"/>
          </w:rPr>
          <w:t>1</w:t>
        </w:r>
        <w:r>
          <w:fldChar w:fldCharType="end"/>
        </w:r>
      </w:p>
    </w:sdtContent>
  </w:sdt>
  <w:p w:rsidR="00ED013E" w:rsidRDefault="001F2A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A3A" w:rsidRDefault="001F2A3A" w:rsidP="008B679C">
      <w:pPr>
        <w:spacing w:before="0" w:line="240" w:lineRule="auto"/>
      </w:pPr>
      <w:r>
        <w:separator/>
      </w:r>
    </w:p>
  </w:footnote>
  <w:footnote w:type="continuationSeparator" w:id="0">
    <w:p w:rsidR="001F2A3A" w:rsidRDefault="001F2A3A" w:rsidP="008B679C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79C"/>
    <w:rsid w:val="001166DF"/>
    <w:rsid w:val="001F2A3A"/>
    <w:rsid w:val="008B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7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240" w:line="480" w:lineRule="auto"/>
    </w:pPr>
    <w:rPr>
      <w:rFonts w:ascii="Verdana" w:eastAsia="新細明體" w:hAnsi="Verdana" w:cs="Times New Roman"/>
      <w:kern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B67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尾 字元"/>
    <w:basedOn w:val="a0"/>
    <w:link w:val="a3"/>
    <w:uiPriority w:val="99"/>
    <w:rsid w:val="008B679C"/>
    <w:rPr>
      <w:rFonts w:ascii="Verdana" w:eastAsia="新細明體" w:hAnsi="Verdana" w:cs="Times New Roman"/>
      <w:kern w:val="0"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B679C"/>
    <w:pPr>
      <w:spacing w:before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B679C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7">
    <w:name w:val="header"/>
    <w:basedOn w:val="a"/>
    <w:link w:val="a8"/>
    <w:uiPriority w:val="99"/>
    <w:unhideWhenUsed/>
    <w:rsid w:val="008B679C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首 字元"/>
    <w:basedOn w:val="a0"/>
    <w:link w:val="a7"/>
    <w:uiPriority w:val="99"/>
    <w:rsid w:val="008B679C"/>
    <w:rPr>
      <w:rFonts w:ascii="Verdana" w:eastAsia="新細明體" w:hAnsi="Verdana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7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240" w:line="480" w:lineRule="auto"/>
    </w:pPr>
    <w:rPr>
      <w:rFonts w:ascii="Verdana" w:eastAsia="新細明體" w:hAnsi="Verdana" w:cs="Times New Roman"/>
      <w:kern w:val="0"/>
      <w:sz w:val="22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B679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尾 字元"/>
    <w:basedOn w:val="a0"/>
    <w:link w:val="a3"/>
    <w:uiPriority w:val="99"/>
    <w:rsid w:val="008B679C"/>
    <w:rPr>
      <w:rFonts w:ascii="Verdana" w:eastAsia="新細明體" w:hAnsi="Verdana" w:cs="Times New Roman"/>
      <w:kern w:val="0"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B679C"/>
    <w:pPr>
      <w:spacing w:before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B679C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7">
    <w:name w:val="header"/>
    <w:basedOn w:val="a"/>
    <w:link w:val="a8"/>
    <w:uiPriority w:val="99"/>
    <w:unhideWhenUsed/>
    <w:rsid w:val="008B679C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首 字元"/>
    <w:basedOn w:val="a0"/>
    <w:link w:val="a7"/>
    <w:uiPriority w:val="99"/>
    <w:rsid w:val="008B679C"/>
    <w:rPr>
      <w:rFonts w:ascii="Verdana" w:eastAsia="新細明體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305</Words>
  <Characters>1739</Characters>
  <Application>Microsoft Office Word</Application>
  <DocSecurity>0</DocSecurity>
  <Lines>14</Lines>
  <Paragraphs>4</Paragraphs>
  <ScaleCrop>false</ScaleCrop>
  <Company>Toshiba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 Wu</dc:creator>
  <cp:lastModifiedBy>JM Wu</cp:lastModifiedBy>
  <cp:revision>1</cp:revision>
  <dcterms:created xsi:type="dcterms:W3CDTF">2021-07-12T14:27:00Z</dcterms:created>
  <dcterms:modified xsi:type="dcterms:W3CDTF">2021-07-12T14:29:00Z</dcterms:modified>
</cp:coreProperties>
</file>