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0E1A" w:rsidRDefault="004E0E1A" w:rsidP="00DF67FF">
      <w:pPr>
        <w:rPr>
          <w:rFonts w:ascii="Times New Roman" w:eastAsiaTheme="minorEastAsia" w:hAnsi="Times New Roman"/>
          <w:b/>
          <w:color w:val="000000"/>
          <w:sz w:val="24"/>
        </w:rPr>
      </w:pPr>
      <w:r w:rsidRPr="004E3C3D">
        <w:rPr>
          <w:rFonts w:ascii="Times New Roman" w:eastAsiaTheme="minorEastAsia" w:hAnsi="Times New Roman" w:hint="eastAsia"/>
          <w:b/>
          <w:color w:val="000000"/>
          <w:sz w:val="24"/>
        </w:rPr>
        <w:t>Supporting Material</w:t>
      </w:r>
    </w:p>
    <w:p w:rsidR="007C6F71" w:rsidRPr="007C6F71" w:rsidRDefault="007C6F71" w:rsidP="007C6F71">
      <w:pPr>
        <w:widowControl/>
        <w:jc w:val="left"/>
        <w:rPr>
          <w:rFonts w:ascii="Times New Roman" w:eastAsia="游明朝" w:hAnsi="Times New Roman"/>
          <w:kern w:val="0"/>
          <w:sz w:val="24"/>
          <w:lang w:eastAsia="en-US"/>
        </w:rPr>
      </w:pPr>
    </w:p>
    <w:p w:rsidR="00A21AED" w:rsidRDefault="001B7682" w:rsidP="001B7682">
      <w:pPr>
        <w:adjustRightInd w:val="0"/>
        <w:snapToGrid w:val="0"/>
        <w:spacing w:line="480" w:lineRule="auto"/>
        <w:rPr>
          <w:rFonts w:ascii="Times New Roman" w:hAnsi="Times New Roman"/>
          <w:b/>
          <w:sz w:val="24"/>
        </w:rPr>
      </w:pPr>
      <w:r w:rsidRPr="001B7682">
        <w:rPr>
          <w:rFonts w:ascii="Times New Roman" w:hAnsi="Times New Roman" w:hint="eastAsia"/>
          <w:b/>
          <w:sz w:val="24"/>
        </w:rPr>
        <w:t>Text S1</w:t>
      </w:r>
      <w:r w:rsidR="00A21AED">
        <w:rPr>
          <w:rFonts w:ascii="Times New Roman" w:hAnsi="Times New Roman"/>
          <w:b/>
          <w:sz w:val="24"/>
        </w:rPr>
        <w:t xml:space="preserve">  </w:t>
      </w:r>
    </w:p>
    <w:p w:rsidR="00EF479F" w:rsidRDefault="00EF479F" w:rsidP="001B7682">
      <w:pPr>
        <w:adjustRightInd w:val="0"/>
        <w:snapToGrid w:val="0"/>
        <w:spacing w:line="480" w:lineRule="auto"/>
        <w:rPr>
          <w:rFonts w:ascii="Times New Roman" w:hAnsi="Times New Roman"/>
          <w:sz w:val="24"/>
        </w:rPr>
      </w:pPr>
      <w:r w:rsidRPr="00A21AED">
        <w:rPr>
          <w:rFonts w:ascii="Times New Roman" w:hAnsi="Times New Roman"/>
          <w:sz w:val="24"/>
        </w:rPr>
        <w:t>Method for the broadband MT data analysis</w:t>
      </w:r>
    </w:p>
    <w:p w:rsidR="007C6F71" w:rsidRPr="007C6F71" w:rsidRDefault="007C6F71" w:rsidP="007C6F71">
      <w:pPr>
        <w:widowControl/>
        <w:jc w:val="left"/>
        <w:rPr>
          <w:rFonts w:ascii="Times New Roman" w:eastAsia="游明朝" w:hAnsi="Times New Roman"/>
          <w:color w:val="000000"/>
          <w:kern w:val="0"/>
          <w:sz w:val="24"/>
          <w:lang w:eastAsia="en-US"/>
        </w:rPr>
      </w:pPr>
      <w:bookmarkStart w:id="0" w:name="_GoBack"/>
      <w:bookmarkEnd w:id="0"/>
    </w:p>
    <w:p w:rsidR="007C6F71" w:rsidRPr="007C6F71" w:rsidRDefault="007C6F71" w:rsidP="007C6F71">
      <w:pPr>
        <w:widowControl/>
        <w:jc w:val="left"/>
        <w:rPr>
          <w:rFonts w:ascii="Times New Roman" w:eastAsia="游明朝" w:hAnsi="Times New Roman"/>
          <w:color w:val="000000"/>
          <w:kern w:val="0"/>
          <w:sz w:val="24"/>
          <w:lang w:eastAsia="en-US"/>
        </w:rPr>
      </w:pPr>
    </w:p>
    <w:p w:rsidR="007C6F71" w:rsidRPr="007C6F71" w:rsidRDefault="007C6F71" w:rsidP="007C6F71">
      <w:pPr>
        <w:widowControl/>
        <w:jc w:val="center"/>
        <w:rPr>
          <w:rFonts w:ascii="Times New Roman" w:eastAsia="游明朝" w:hAnsi="Times New Roman"/>
          <w:color w:val="000000"/>
          <w:kern w:val="0"/>
          <w:sz w:val="24"/>
          <w:lang w:eastAsia="en-US"/>
        </w:rPr>
      </w:pPr>
      <w:r w:rsidRPr="007C6F71">
        <w:rPr>
          <w:rFonts w:ascii="Times New Roman" w:eastAsia="游明朝" w:hAnsi="Times New Roman"/>
          <w:noProof/>
          <w:color w:val="000000"/>
          <w:kern w:val="0"/>
          <w:sz w:val="24"/>
        </w:rPr>
        <w:drawing>
          <wp:inline distT="0" distB="0" distL="0" distR="0" wp14:anchorId="5EB82EA7" wp14:editId="5AE29DD9">
            <wp:extent cx="5397500" cy="2844800"/>
            <wp:effectExtent l="0" t="0" r="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97500" cy="2844800"/>
                    </a:xfrm>
                    <a:prstGeom prst="rect">
                      <a:avLst/>
                    </a:prstGeom>
                    <a:noFill/>
                    <a:ln>
                      <a:noFill/>
                    </a:ln>
                  </pic:spPr>
                </pic:pic>
              </a:graphicData>
            </a:graphic>
          </wp:inline>
        </w:drawing>
      </w:r>
    </w:p>
    <w:p w:rsidR="007C6F71" w:rsidRPr="007C6F71" w:rsidRDefault="007C6F71" w:rsidP="007C6F71">
      <w:pPr>
        <w:widowControl/>
        <w:snapToGrid w:val="0"/>
        <w:jc w:val="left"/>
        <w:rPr>
          <w:rFonts w:ascii="Times New Roman" w:eastAsia="游明朝" w:hAnsi="Times New Roman"/>
          <w:b/>
          <w:color w:val="000000"/>
          <w:kern w:val="0"/>
          <w:sz w:val="24"/>
          <w:lang w:eastAsia="en-US"/>
        </w:rPr>
      </w:pPr>
      <w:r w:rsidRPr="007C6F71">
        <w:rPr>
          <w:rFonts w:ascii="Times New Roman" w:eastAsia="游明朝" w:hAnsi="Times New Roman"/>
          <w:b/>
          <w:color w:val="000000"/>
          <w:kern w:val="0"/>
          <w:sz w:val="24"/>
          <w:lang w:eastAsia="en-US"/>
        </w:rPr>
        <w:t xml:space="preserve">Fig. </w:t>
      </w:r>
      <w:r w:rsidR="00944FD3">
        <w:rPr>
          <w:rFonts w:ascii="Times New Roman" w:eastAsia="游明朝" w:hAnsi="Times New Roman"/>
          <w:b/>
          <w:color w:val="000000"/>
          <w:kern w:val="0"/>
          <w:sz w:val="24"/>
          <w:lang w:eastAsia="en-US"/>
        </w:rPr>
        <w:t>S1</w:t>
      </w:r>
    </w:p>
    <w:p w:rsidR="007C6F71" w:rsidRPr="007C6F71" w:rsidRDefault="007C6F71" w:rsidP="007C6F71">
      <w:pPr>
        <w:widowControl/>
        <w:snapToGrid w:val="0"/>
        <w:jc w:val="left"/>
        <w:rPr>
          <w:rFonts w:ascii="Times New Roman" w:eastAsia="游明朝" w:hAnsi="Times New Roman"/>
          <w:color w:val="000000"/>
          <w:kern w:val="0"/>
          <w:sz w:val="24"/>
          <w:lang w:eastAsia="en-US"/>
        </w:rPr>
      </w:pPr>
      <w:r w:rsidRPr="007C6F71">
        <w:rPr>
          <w:rFonts w:ascii="Times New Roman" w:eastAsia="游明朝" w:hAnsi="Times New Roman"/>
          <w:color w:val="000000"/>
          <w:kern w:val="0"/>
          <w:sz w:val="24"/>
          <w:lang w:eastAsia="en-US"/>
        </w:rPr>
        <w:t xml:space="preserve">Mesh used in the 3-D inversion. Solid circles show the 200 measurement sites used in the inversion. </w:t>
      </w:r>
      <w:r w:rsidRPr="007C6F71">
        <w:rPr>
          <w:rFonts w:ascii="Times New Roman" w:eastAsia="游明朝" w:hAnsi="Times New Roman"/>
          <w:kern w:val="0"/>
          <w:sz w:val="24"/>
          <w:lang w:eastAsia="en-US"/>
        </w:rPr>
        <w:t xml:space="preserve">HF: Hinagu Fault, FF: Futagawa Fault, MF: Midorikawa Fault, KP: Kumamoto Plain. </w:t>
      </w:r>
      <w:r w:rsidRPr="007C6F71">
        <w:rPr>
          <w:rFonts w:ascii="Times New Roman" w:eastAsia="游明朝" w:hAnsi="Times New Roman"/>
          <w:color w:val="000000"/>
          <w:kern w:val="0"/>
          <w:sz w:val="24"/>
          <w:lang w:eastAsia="en-US"/>
        </w:rPr>
        <w:t>Other notations are the same as in Fig. 1.</w:t>
      </w:r>
      <w:r w:rsidRPr="007C6F71">
        <w:rPr>
          <w:rFonts w:ascii="Times New Roman" w:eastAsia="游明朝" w:hAnsi="Times New Roman"/>
          <w:kern w:val="0"/>
          <w:sz w:val="24"/>
          <w:lang w:eastAsia="en-US"/>
        </w:rPr>
        <w:t xml:space="preserve"> </w:t>
      </w:r>
    </w:p>
    <w:p w:rsidR="007C6F71" w:rsidRDefault="007C6F71" w:rsidP="00DF67FF"/>
    <w:p w:rsidR="004E0E1A" w:rsidRPr="007C6F71" w:rsidRDefault="004E0E1A" w:rsidP="004E0E1A">
      <w:pPr>
        <w:jc w:val="center"/>
      </w:pPr>
    </w:p>
    <w:p w:rsidR="004E0E1A" w:rsidRDefault="004E0E1A" w:rsidP="004E0E1A">
      <w:r>
        <w:rPr>
          <w:noProof/>
        </w:rPr>
        <w:lastRenderedPageBreak/>
        <w:drawing>
          <wp:inline distT="0" distB="0" distL="0" distR="0" wp14:anchorId="6E9E08A7" wp14:editId="3FBECE0D">
            <wp:extent cx="4967281" cy="6508750"/>
            <wp:effectExtent l="0" t="0" r="5080" b="635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t_Rh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67592" cy="6509158"/>
                    </a:xfrm>
                    <a:prstGeom prst="rect">
                      <a:avLst/>
                    </a:prstGeom>
                  </pic:spPr>
                </pic:pic>
              </a:graphicData>
            </a:graphic>
          </wp:inline>
        </w:drawing>
      </w:r>
    </w:p>
    <w:p w:rsidR="004E0E1A" w:rsidRPr="0037229D" w:rsidRDefault="004E0E1A" w:rsidP="004E0E1A">
      <w:pPr>
        <w:snapToGrid w:val="0"/>
        <w:rPr>
          <w:rFonts w:ascii="Times New Roman" w:hAnsi="Times New Roman"/>
          <w:b/>
          <w:sz w:val="24"/>
        </w:rPr>
      </w:pPr>
      <w:r w:rsidRPr="0037229D">
        <w:rPr>
          <w:rFonts w:ascii="Times New Roman" w:hAnsi="Times New Roman"/>
          <w:b/>
          <w:sz w:val="24"/>
        </w:rPr>
        <w:t xml:space="preserve">Fig. </w:t>
      </w:r>
      <w:r w:rsidR="00944FD3">
        <w:rPr>
          <w:rFonts w:ascii="Times New Roman" w:hAnsi="Times New Roman" w:hint="eastAsia"/>
          <w:b/>
          <w:sz w:val="24"/>
        </w:rPr>
        <w:t>S2</w:t>
      </w:r>
    </w:p>
    <w:p w:rsidR="004E0E1A" w:rsidRDefault="004E0E1A" w:rsidP="004E0E1A">
      <w:pPr>
        <w:rPr>
          <w:rFonts w:ascii="Times New Roman" w:eastAsiaTheme="minorEastAsia" w:hAnsi="Times New Roman"/>
          <w:color w:val="000000"/>
          <w:sz w:val="24"/>
        </w:rPr>
      </w:pPr>
      <w:r w:rsidRPr="00423CD8">
        <w:rPr>
          <w:rFonts w:ascii="Times New Roman" w:eastAsiaTheme="minorEastAsia" w:hAnsi="Times New Roman"/>
          <w:color w:val="000000"/>
          <w:sz w:val="24"/>
        </w:rPr>
        <w:t>Apparent resistivity map</w:t>
      </w:r>
      <w:r>
        <w:rPr>
          <w:rFonts w:ascii="Times New Roman" w:eastAsiaTheme="minorEastAsia" w:hAnsi="Times New Roman"/>
          <w:color w:val="000000"/>
          <w:sz w:val="24"/>
        </w:rPr>
        <w:t>s</w:t>
      </w:r>
      <w:r w:rsidRPr="00423CD8">
        <w:rPr>
          <w:rFonts w:ascii="Times New Roman" w:eastAsiaTheme="minorEastAsia" w:hAnsi="Times New Roman"/>
          <w:color w:val="000000"/>
          <w:sz w:val="24"/>
        </w:rPr>
        <w:t xml:space="preserve"> of observed (obs.) </w:t>
      </w:r>
      <w:r>
        <w:rPr>
          <w:rFonts w:ascii="Times New Roman" w:eastAsiaTheme="minorEastAsia" w:hAnsi="Times New Roman"/>
          <w:color w:val="000000"/>
          <w:sz w:val="24"/>
        </w:rPr>
        <w:t>and</w:t>
      </w:r>
      <w:r w:rsidRPr="00423CD8">
        <w:rPr>
          <w:rFonts w:ascii="Times New Roman" w:eastAsiaTheme="minorEastAsia" w:hAnsi="Times New Roman"/>
          <w:color w:val="000000"/>
          <w:sz w:val="24"/>
        </w:rPr>
        <w:t xml:space="preserve"> calculated (calc</w:t>
      </w:r>
      <w:r>
        <w:rPr>
          <w:rFonts w:ascii="Times New Roman" w:eastAsiaTheme="minorEastAsia" w:hAnsi="Times New Roman"/>
          <w:color w:val="000000"/>
          <w:sz w:val="24"/>
        </w:rPr>
        <w:t>.) MT responses at various frequencies. The off-diagonal components (Zxy and Zyx</w:t>
      </w:r>
      <w:r w:rsidRPr="00423CD8">
        <w:rPr>
          <w:rFonts w:ascii="Times New Roman" w:eastAsiaTheme="minorEastAsia" w:hAnsi="Times New Roman"/>
          <w:color w:val="000000"/>
          <w:sz w:val="24"/>
        </w:rPr>
        <w:t>) of the impedance tensor are shown.</w:t>
      </w:r>
      <w:r>
        <w:rPr>
          <w:rFonts w:ascii="Times New Roman" w:eastAsiaTheme="minorEastAsia" w:hAnsi="Times New Roman"/>
          <w:color w:val="000000"/>
          <w:sz w:val="24"/>
        </w:rPr>
        <w:t xml:space="preserve"> Other notations are the same as in Fig. 1.</w:t>
      </w:r>
    </w:p>
    <w:p w:rsidR="004E0E1A" w:rsidRPr="00423CD8" w:rsidRDefault="004E0E1A" w:rsidP="004E0E1A">
      <w:pPr>
        <w:rPr>
          <w:rFonts w:ascii="Times New Roman" w:eastAsiaTheme="minorEastAsia" w:hAnsi="Times New Roman"/>
          <w:color w:val="000000"/>
          <w:sz w:val="24"/>
        </w:rPr>
      </w:pPr>
    </w:p>
    <w:p w:rsidR="004E0E1A" w:rsidRPr="00423CD8" w:rsidRDefault="004E0E1A" w:rsidP="004E0E1A"/>
    <w:p w:rsidR="004E0E1A" w:rsidRDefault="004E0E1A" w:rsidP="004E0E1A">
      <w:r>
        <w:rPr>
          <w:noProof/>
        </w:rPr>
        <w:lastRenderedPageBreak/>
        <w:drawing>
          <wp:inline distT="0" distB="0" distL="0" distR="0" wp14:anchorId="15F3AB68" wp14:editId="400370B9">
            <wp:extent cx="5400040" cy="7065645"/>
            <wp:effectExtent l="0" t="0" r="0" b="190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t_Ph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00040" cy="7065645"/>
                    </a:xfrm>
                    <a:prstGeom prst="rect">
                      <a:avLst/>
                    </a:prstGeom>
                  </pic:spPr>
                </pic:pic>
              </a:graphicData>
            </a:graphic>
          </wp:inline>
        </w:drawing>
      </w:r>
    </w:p>
    <w:p w:rsidR="004E0E1A" w:rsidRPr="0037229D" w:rsidRDefault="004E0E1A" w:rsidP="004E0E1A">
      <w:pPr>
        <w:snapToGrid w:val="0"/>
        <w:rPr>
          <w:rFonts w:ascii="Times New Roman" w:hAnsi="Times New Roman"/>
          <w:b/>
          <w:sz w:val="24"/>
        </w:rPr>
      </w:pPr>
      <w:r w:rsidRPr="0037229D">
        <w:rPr>
          <w:rFonts w:ascii="Times New Roman" w:hAnsi="Times New Roman"/>
          <w:b/>
          <w:sz w:val="24"/>
        </w:rPr>
        <w:t xml:space="preserve">Fig. </w:t>
      </w:r>
      <w:r>
        <w:rPr>
          <w:rFonts w:ascii="Times New Roman" w:hAnsi="Times New Roman" w:hint="eastAsia"/>
          <w:b/>
          <w:sz w:val="24"/>
        </w:rPr>
        <w:t>S</w:t>
      </w:r>
      <w:r w:rsidR="00944FD3">
        <w:rPr>
          <w:rFonts w:ascii="Times New Roman" w:hAnsi="Times New Roman"/>
          <w:b/>
          <w:sz w:val="24"/>
        </w:rPr>
        <w:t>3</w:t>
      </w:r>
    </w:p>
    <w:p w:rsidR="004E0E1A" w:rsidRDefault="004E0E1A" w:rsidP="004E0E1A">
      <w:pPr>
        <w:rPr>
          <w:rFonts w:ascii="Times New Roman" w:eastAsiaTheme="minorEastAsia" w:hAnsi="Times New Roman"/>
          <w:color w:val="000000"/>
          <w:sz w:val="24"/>
        </w:rPr>
      </w:pPr>
      <w:r>
        <w:rPr>
          <w:rFonts w:ascii="Times New Roman" w:eastAsiaTheme="minorEastAsia" w:hAnsi="Times New Roman"/>
          <w:color w:val="000000"/>
          <w:sz w:val="24"/>
        </w:rPr>
        <w:t>Phase</w:t>
      </w:r>
      <w:r w:rsidRPr="00423CD8">
        <w:rPr>
          <w:rFonts w:ascii="Times New Roman" w:eastAsiaTheme="minorEastAsia" w:hAnsi="Times New Roman"/>
          <w:color w:val="000000"/>
          <w:sz w:val="24"/>
        </w:rPr>
        <w:t xml:space="preserve"> map</w:t>
      </w:r>
      <w:r>
        <w:rPr>
          <w:rFonts w:ascii="Times New Roman" w:eastAsiaTheme="minorEastAsia" w:hAnsi="Times New Roman"/>
          <w:color w:val="000000"/>
          <w:sz w:val="24"/>
        </w:rPr>
        <w:t>s</w:t>
      </w:r>
      <w:r w:rsidRPr="00423CD8">
        <w:rPr>
          <w:rFonts w:ascii="Times New Roman" w:eastAsiaTheme="minorEastAsia" w:hAnsi="Times New Roman"/>
          <w:color w:val="000000"/>
          <w:sz w:val="24"/>
        </w:rPr>
        <w:t xml:space="preserve"> of observed (obs.) </w:t>
      </w:r>
      <w:r>
        <w:rPr>
          <w:rFonts w:ascii="Times New Roman" w:eastAsiaTheme="minorEastAsia" w:hAnsi="Times New Roman"/>
          <w:color w:val="000000"/>
          <w:sz w:val="24"/>
        </w:rPr>
        <w:t>and</w:t>
      </w:r>
      <w:r w:rsidRPr="00423CD8">
        <w:rPr>
          <w:rFonts w:ascii="Times New Roman" w:eastAsiaTheme="minorEastAsia" w:hAnsi="Times New Roman"/>
          <w:color w:val="000000"/>
          <w:sz w:val="24"/>
        </w:rPr>
        <w:t xml:space="preserve"> calculated (calc</w:t>
      </w:r>
      <w:r>
        <w:rPr>
          <w:rFonts w:ascii="Times New Roman" w:eastAsiaTheme="minorEastAsia" w:hAnsi="Times New Roman"/>
          <w:color w:val="000000"/>
          <w:sz w:val="24"/>
        </w:rPr>
        <w:t>.) MT responses at various frequencies. The off-diagonal components (Zxy and Zyx</w:t>
      </w:r>
      <w:r w:rsidRPr="00423CD8">
        <w:rPr>
          <w:rFonts w:ascii="Times New Roman" w:eastAsiaTheme="minorEastAsia" w:hAnsi="Times New Roman"/>
          <w:color w:val="000000"/>
          <w:sz w:val="24"/>
        </w:rPr>
        <w:t>) of the impedance tensor are shown.</w:t>
      </w:r>
      <w:r>
        <w:rPr>
          <w:rFonts w:ascii="Times New Roman" w:eastAsiaTheme="minorEastAsia" w:hAnsi="Times New Roman"/>
          <w:color w:val="000000"/>
          <w:sz w:val="24"/>
        </w:rPr>
        <w:t xml:space="preserve"> Other notations are the same as in Fig. 1.</w:t>
      </w:r>
    </w:p>
    <w:p w:rsidR="004E0E1A" w:rsidRPr="006C6E5E" w:rsidRDefault="004E0E1A" w:rsidP="004E0E1A"/>
    <w:p w:rsidR="004E0E1A" w:rsidRDefault="00DF67FF" w:rsidP="004E0E1A">
      <w:pPr>
        <w:jc w:val="center"/>
      </w:pPr>
      <w:r>
        <w:rPr>
          <w:noProof/>
        </w:rPr>
        <w:lastRenderedPageBreak/>
        <w:drawing>
          <wp:inline distT="0" distB="0" distL="0" distR="0">
            <wp:extent cx="3994567" cy="3956050"/>
            <wp:effectExtent l="0" t="0" r="6350" b="635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M_IV.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01016" cy="3962436"/>
                    </a:xfrm>
                    <a:prstGeom prst="rect">
                      <a:avLst/>
                    </a:prstGeom>
                  </pic:spPr>
                </pic:pic>
              </a:graphicData>
            </a:graphic>
          </wp:inline>
        </w:drawing>
      </w:r>
    </w:p>
    <w:p w:rsidR="004E0E1A" w:rsidRPr="00022234" w:rsidRDefault="004E0E1A" w:rsidP="004E0E1A">
      <w:pPr>
        <w:snapToGrid w:val="0"/>
        <w:rPr>
          <w:rFonts w:ascii="Times New Roman" w:hAnsi="Times New Roman"/>
          <w:b/>
          <w:sz w:val="24"/>
        </w:rPr>
      </w:pPr>
      <w:r w:rsidRPr="0064507C">
        <w:rPr>
          <w:rFonts w:ascii="Times New Roman" w:hAnsi="Times New Roman"/>
          <w:b/>
          <w:sz w:val="24"/>
        </w:rPr>
        <w:t xml:space="preserve">Fig. </w:t>
      </w:r>
      <w:r w:rsidR="00944FD3">
        <w:rPr>
          <w:rFonts w:ascii="Times New Roman" w:hAnsi="Times New Roman"/>
          <w:b/>
          <w:sz w:val="24"/>
        </w:rPr>
        <w:t>S4</w:t>
      </w:r>
    </w:p>
    <w:p w:rsidR="004E0E1A" w:rsidRDefault="004E0E1A" w:rsidP="004E0E1A">
      <w:pPr>
        <w:rPr>
          <w:rFonts w:ascii="Times New Roman" w:eastAsiaTheme="minorEastAsia" w:hAnsi="Times New Roman"/>
          <w:color w:val="000000"/>
          <w:sz w:val="24"/>
        </w:rPr>
      </w:pPr>
      <w:r w:rsidRPr="00022234">
        <w:rPr>
          <w:rFonts w:ascii="Times New Roman" w:eastAsiaTheme="minorEastAsia" w:hAnsi="Times New Roman"/>
          <w:kern w:val="0"/>
          <w:sz w:val="24"/>
        </w:rPr>
        <w:t xml:space="preserve">Induction vector maps (Parkinson criteria) </w:t>
      </w:r>
      <w:r w:rsidRPr="00022234">
        <w:rPr>
          <w:rFonts w:ascii="Times New Roman" w:eastAsiaTheme="minorEastAsia" w:hAnsi="Times New Roman"/>
          <w:color w:val="000000"/>
          <w:sz w:val="24"/>
        </w:rPr>
        <w:t>of the observed (</w:t>
      </w:r>
      <w:r w:rsidRPr="00022234">
        <w:rPr>
          <w:rFonts w:ascii="Times New Roman" w:hAnsi="Times New Roman"/>
          <w:color w:val="000000"/>
          <w:sz w:val="24"/>
        </w:rPr>
        <w:t>obs.</w:t>
      </w:r>
      <w:r w:rsidRPr="00022234">
        <w:rPr>
          <w:rFonts w:ascii="Times New Roman" w:eastAsiaTheme="minorEastAsia" w:hAnsi="Times New Roman"/>
          <w:color w:val="000000"/>
          <w:sz w:val="24"/>
        </w:rPr>
        <w:t xml:space="preserve">) and calculated (calc.) MT responses </w:t>
      </w:r>
      <w:r w:rsidRPr="00022234">
        <w:rPr>
          <w:rFonts w:ascii="Times New Roman" w:eastAsiaTheme="minorEastAsia" w:hAnsi="Times New Roman"/>
          <w:kern w:val="0"/>
          <w:sz w:val="24"/>
        </w:rPr>
        <w:t>at 100 s (upper) and 800 s (lower)</w:t>
      </w:r>
      <w:r w:rsidRPr="00022234">
        <w:rPr>
          <w:rFonts w:ascii="Times New Roman" w:eastAsiaTheme="minorEastAsia" w:hAnsi="Times New Roman"/>
          <w:color w:val="000000"/>
          <w:sz w:val="24"/>
        </w:rPr>
        <w:t>. The induction vectors at</w:t>
      </w:r>
      <w:r>
        <w:rPr>
          <w:rFonts w:ascii="Times New Roman" w:eastAsiaTheme="minorEastAsia" w:hAnsi="Times New Roman"/>
          <w:color w:val="000000"/>
          <w:sz w:val="24"/>
        </w:rPr>
        <w:t xml:space="preserve"> the telluric only sites were not used for the inversion. </w:t>
      </w:r>
    </w:p>
    <w:p w:rsidR="00A21AED" w:rsidRDefault="00A21AED">
      <w:pPr>
        <w:widowControl/>
        <w:jc w:val="left"/>
        <w:rPr>
          <w:rFonts w:ascii="Times New Roman" w:eastAsiaTheme="minorEastAsia" w:hAnsi="Times New Roman"/>
          <w:color w:val="000000"/>
          <w:sz w:val="24"/>
        </w:rPr>
      </w:pPr>
      <w:r>
        <w:rPr>
          <w:rFonts w:ascii="Times New Roman" w:eastAsiaTheme="minorEastAsia" w:hAnsi="Times New Roman"/>
          <w:color w:val="000000"/>
          <w:sz w:val="24"/>
        </w:rPr>
        <w:br w:type="page"/>
      </w:r>
    </w:p>
    <w:p w:rsidR="004E0E1A" w:rsidRDefault="004E0E1A" w:rsidP="004E0E1A">
      <w:pPr>
        <w:rPr>
          <w:rFonts w:ascii="Times New Roman" w:eastAsiaTheme="minorEastAsia" w:hAnsi="Times New Roman"/>
          <w:color w:val="000000"/>
          <w:sz w:val="24"/>
        </w:rPr>
      </w:pPr>
    </w:p>
    <w:p w:rsidR="004E0E1A" w:rsidRDefault="004E0E1A" w:rsidP="004E0E1A">
      <w:pPr>
        <w:rPr>
          <w:rFonts w:ascii="Times New Roman" w:eastAsiaTheme="minorEastAsia" w:hAnsi="Times New Roman"/>
          <w:color w:val="000000"/>
          <w:sz w:val="24"/>
        </w:rPr>
      </w:pPr>
    </w:p>
    <w:p w:rsidR="004E0E1A" w:rsidRDefault="004E0E1A" w:rsidP="004E0E1A">
      <w:pPr>
        <w:rPr>
          <w:rFonts w:ascii="Times New Roman" w:eastAsiaTheme="minorEastAsia" w:hAnsi="Times New Roman"/>
          <w:noProof/>
          <w:color w:val="000000"/>
          <w:sz w:val="24"/>
        </w:rPr>
      </w:pPr>
    </w:p>
    <w:p w:rsidR="00944FD3" w:rsidRPr="007C6F71" w:rsidRDefault="00944FD3" w:rsidP="00944FD3">
      <w:pPr>
        <w:rPr>
          <w:rFonts w:ascii="Times New Roman" w:eastAsiaTheme="minorEastAsia" w:hAnsi="Times New Roman"/>
          <w:color w:val="000000"/>
          <w:sz w:val="24"/>
        </w:rPr>
      </w:pPr>
    </w:p>
    <w:p w:rsidR="00944FD3" w:rsidRPr="007C6F71" w:rsidRDefault="00944FD3" w:rsidP="00944FD3">
      <w:pPr>
        <w:jc w:val="center"/>
      </w:pPr>
      <w:r w:rsidRPr="007C6F71">
        <w:rPr>
          <w:noProof/>
        </w:rPr>
        <w:drawing>
          <wp:inline distT="0" distB="0" distL="0" distR="0" wp14:anchorId="4CAE5220" wp14:editId="569177DB">
            <wp:extent cx="5400040" cy="2307590"/>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illin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00040" cy="2307590"/>
                    </a:xfrm>
                    <a:prstGeom prst="rect">
                      <a:avLst/>
                    </a:prstGeom>
                  </pic:spPr>
                </pic:pic>
              </a:graphicData>
            </a:graphic>
          </wp:inline>
        </w:drawing>
      </w:r>
    </w:p>
    <w:p w:rsidR="00944FD3" w:rsidRPr="007C6F71" w:rsidRDefault="00944FD3" w:rsidP="00944FD3">
      <w:pPr>
        <w:jc w:val="center"/>
      </w:pPr>
    </w:p>
    <w:p w:rsidR="00944FD3" w:rsidRPr="007C6F71" w:rsidRDefault="00944FD3" w:rsidP="00944FD3">
      <w:pPr>
        <w:snapToGrid w:val="0"/>
        <w:rPr>
          <w:rFonts w:ascii="Times New Roman" w:hAnsi="Times New Roman"/>
          <w:b/>
          <w:sz w:val="24"/>
        </w:rPr>
      </w:pPr>
      <w:r w:rsidRPr="007C6F71">
        <w:rPr>
          <w:rFonts w:ascii="Times New Roman" w:hAnsi="Times New Roman"/>
          <w:b/>
          <w:sz w:val="24"/>
        </w:rPr>
        <w:t xml:space="preserve">Fig. </w:t>
      </w:r>
      <w:r>
        <w:rPr>
          <w:rFonts w:ascii="Times New Roman" w:hAnsi="Times New Roman"/>
          <w:b/>
          <w:sz w:val="24"/>
        </w:rPr>
        <w:t>S5</w:t>
      </w:r>
    </w:p>
    <w:p w:rsidR="00944FD3" w:rsidRPr="007C6F71" w:rsidRDefault="00944FD3" w:rsidP="00944FD3">
      <w:pPr>
        <w:snapToGrid w:val="0"/>
      </w:pPr>
      <w:r w:rsidRPr="007C6F71">
        <w:rPr>
          <w:rFonts w:ascii="Times New Roman" w:hAnsi="Times New Roman"/>
          <w:sz w:val="24"/>
        </w:rPr>
        <w:t xml:space="preserve">Well-log data from the drill sites and inverted resistivity structure. (a) </w:t>
      </w:r>
      <w:r w:rsidRPr="007C6F71">
        <w:rPr>
          <w:rFonts w:ascii="Times New Roman" w:eastAsiaTheme="minorEastAsia" w:hAnsi="Times New Roman"/>
          <w:color w:val="000000"/>
          <w:sz w:val="24"/>
        </w:rPr>
        <w:t>Horizontal slices of the 3-D resistivity structure</w:t>
      </w:r>
      <w:r w:rsidRPr="007C6F71">
        <w:rPr>
          <w:rFonts w:ascii="Times New Roman" w:eastAsiaTheme="minorEastAsia" w:hAnsi="Times New Roman"/>
          <w:kern w:val="0"/>
          <w:sz w:val="24"/>
        </w:rPr>
        <w:t xml:space="preserve"> at 0.5 km b.s.l around the drilling sites. White crosses indicate the drilling sites. FF is the Futagawa Fault, which ruptured during the mainshock of the 2016 Kumamoto earthquake sequence. Other notations are the same as in Fig. </w:t>
      </w:r>
      <w:r w:rsidRPr="007C6F71">
        <w:rPr>
          <w:rFonts w:ascii="Times New Roman" w:eastAsiaTheme="minorEastAsia" w:hAnsi="Times New Roman" w:hint="eastAsia"/>
          <w:kern w:val="0"/>
          <w:sz w:val="24"/>
        </w:rPr>
        <w:t>1</w:t>
      </w:r>
      <w:r w:rsidRPr="007C6F71">
        <w:rPr>
          <w:rFonts w:ascii="Times New Roman" w:eastAsiaTheme="minorEastAsia" w:hAnsi="Times New Roman"/>
          <w:kern w:val="0"/>
          <w:sz w:val="24"/>
        </w:rPr>
        <w:t>.</w:t>
      </w:r>
      <w:r w:rsidRPr="007C6F71">
        <w:rPr>
          <w:rFonts w:ascii="Times New Roman" w:eastAsiaTheme="minorEastAsia" w:hAnsi="Times New Roman"/>
          <w:color w:val="000000"/>
          <w:sz w:val="24"/>
        </w:rPr>
        <w:t xml:space="preserve"> (b) Well-log data from the drill sites. Solid circles with lines indicate the well-log resistivity data. Red lines indicate the resistivity structure beneath the drilling sites that was determined from the 3-D inversion in this study. </w:t>
      </w:r>
    </w:p>
    <w:p w:rsidR="007378E0" w:rsidRPr="00944FD3" w:rsidRDefault="007378E0" w:rsidP="007378E0">
      <w:pPr>
        <w:rPr>
          <w:rFonts w:ascii="Times New Roman" w:eastAsiaTheme="minorEastAsia" w:hAnsi="Times New Roman"/>
          <w:noProof/>
          <w:color w:val="000000"/>
          <w:sz w:val="24"/>
        </w:rPr>
      </w:pPr>
    </w:p>
    <w:p w:rsidR="007378E0" w:rsidRDefault="007378E0" w:rsidP="007378E0">
      <w:pPr>
        <w:rPr>
          <w:rFonts w:ascii="Times New Roman" w:eastAsiaTheme="minorEastAsia" w:hAnsi="Times New Roman"/>
          <w:color w:val="000000"/>
          <w:sz w:val="24"/>
        </w:rPr>
      </w:pPr>
      <w:r>
        <w:rPr>
          <w:rFonts w:ascii="Times New Roman" w:eastAsiaTheme="minorEastAsia" w:hAnsi="Times New Roman"/>
          <w:noProof/>
          <w:color w:val="000000"/>
          <w:sz w:val="24"/>
        </w:rPr>
        <w:lastRenderedPageBreak/>
        <w:drawing>
          <wp:inline distT="0" distB="0" distL="0" distR="0" wp14:anchorId="60806A15" wp14:editId="3972891D">
            <wp:extent cx="5400040" cy="4016375"/>
            <wp:effectExtent l="0" t="0" r="0" b="3175"/>
            <wp:docPr id="16" name="図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lice_xy_Hypo_Yoko_Paper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4016375"/>
                    </a:xfrm>
                    <a:prstGeom prst="rect">
                      <a:avLst/>
                    </a:prstGeom>
                  </pic:spPr>
                </pic:pic>
              </a:graphicData>
            </a:graphic>
          </wp:inline>
        </w:drawing>
      </w:r>
    </w:p>
    <w:p w:rsidR="007378E0" w:rsidRDefault="007378E0" w:rsidP="007378E0">
      <w:pPr>
        <w:snapToGrid w:val="0"/>
        <w:rPr>
          <w:rFonts w:ascii="Times New Roman" w:hAnsi="Times New Roman"/>
          <w:b/>
          <w:sz w:val="24"/>
        </w:rPr>
      </w:pPr>
      <w:r w:rsidRPr="0037229D">
        <w:rPr>
          <w:rFonts w:ascii="Times New Roman" w:hAnsi="Times New Roman"/>
          <w:b/>
          <w:sz w:val="24"/>
        </w:rPr>
        <w:t xml:space="preserve">Fig. </w:t>
      </w:r>
      <w:r w:rsidR="00944FD3">
        <w:rPr>
          <w:rFonts w:ascii="Times New Roman" w:hAnsi="Times New Roman"/>
          <w:b/>
          <w:sz w:val="24"/>
        </w:rPr>
        <w:t>S6</w:t>
      </w:r>
    </w:p>
    <w:p w:rsidR="00A21AED" w:rsidRDefault="007378E0" w:rsidP="007378E0">
      <w:pPr>
        <w:rPr>
          <w:rFonts w:ascii="Times New Roman" w:hAnsi="Times New Roman"/>
          <w:sz w:val="24"/>
        </w:rPr>
      </w:pPr>
      <w:r>
        <w:rPr>
          <w:rFonts w:ascii="Times New Roman" w:hAnsi="Times New Roman"/>
          <w:sz w:val="24"/>
        </w:rPr>
        <w:t>Sensitivity tests</w:t>
      </w:r>
      <w:r w:rsidRPr="006C6E5E">
        <w:rPr>
          <w:rFonts w:ascii="Times New Roman" w:hAnsi="Times New Roman"/>
          <w:sz w:val="24"/>
        </w:rPr>
        <w:t xml:space="preserve">. </w:t>
      </w:r>
      <w:r>
        <w:rPr>
          <w:rFonts w:ascii="Times New Roman" w:hAnsi="Times New Roman"/>
          <w:sz w:val="24"/>
        </w:rPr>
        <w:t>The ability to detect the four low-re</w:t>
      </w:r>
      <w:r w:rsidRPr="003A3D0A">
        <w:rPr>
          <w:rFonts w:ascii="Times New Roman" w:hAnsi="Times New Roman"/>
          <w:sz w:val="24"/>
        </w:rPr>
        <w:t xml:space="preserve">sistivity zones discussed in the text </w:t>
      </w:r>
      <w:r>
        <w:rPr>
          <w:rFonts w:ascii="Times New Roman" w:hAnsi="Times New Roman"/>
          <w:sz w:val="24"/>
        </w:rPr>
        <w:t>is verified by modifying the initial resistivity model</w:t>
      </w:r>
      <w:r w:rsidRPr="003A3D0A">
        <w:rPr>
          <w:rFonts w:ascii="Times New Roman" w:hAnsi="Times New Roman"/>
          <w:sz w:val="24"/>
        </w:rPr>
        <w:t xml:space="preserve">. C1: The </w:t>
      </w:r>
      <w:r>
        <w:rPr>
          <w:rFonts w:ascii="Times New Roman" w:hAnsi="Times New Roman"/>
          <w:sz w:val="24"/>
        </w:rPr>
        <w:t>&lt;</w:t>
      </w:r>
      <w:r w:rsidRPr="003A3D0A">
        <w:rPr>
          <w:rFonts w:ascii="Times New Roman" w:hAnsi="Times New Roman"/>
          <w:sz w:val="24"/>
        </w:rPr>
        <w:t>100</w:t>
      </w:r>
      <w:r>
        <w:rPr>
          <w:rFonts w:ascii="Times New Roman" w:hAnsi="Times New Roman"/>
          <w:sz w:val="24"/>
        </w:rPr>
        <w:t>-</w:t>
      </w:r>
      <w:r w:rsidRPr="003A3D0A">
        <w:rPr>
          <w:rFonts w:ascii="Times New Roman" w:hAnsi="Times New Roman"/>
          <w:sz w:val="24"/>
        </w:rPr>
        <w:t xml:space="preserve">Ωm </w:t>
      </w:r>
      <w:r>
        <w:rPr>
          <w:rFonts w:ascii="Times New Roman" w:hAnsi="Times New Roman"/>
          <w:sz w:val="24"/>
        </w:rPr>
        <w:t xml:space="preserve">cells </w:t>
      </w:r>
      <w:r w:rsidRPr="003A3D0A">
        <w:rPr>
          <w:rFonts w:ascii="Times New Roman" w:hAnsi="Times New Roman"/>
          <w:sz w:val="24"/>
        </w:rPr>
        <w:t>in the red rectangle (</w:t>
      </w:r>
      <w:r w:rsidRPr="003A3D0A">
        <w:rPr>
          <w:rFonts w:ascii="Times New Roman" w:hAnsi="Times New Roman" w:hint="eastAsia"/>
          <w:sz w:val="24"/>
        </w:rPr>
        <w:t>14</w:t>
      </w:r>
      <w:r>
        <w:rPr>
          <w:rFonts w:ascii="Times New Roman" w:hAnsi="Times New Roman"/>
          <w:sz w:val="24"/>
        </w:rPr>
        <w:t>–</w:t>
      </w:r>
      <w:r w:rsidRPr="003A3D0A">
        <w:rPr>
          <w:rFonts w:ascii="Times New Roman" w:hAnsi="Times New Roman" w:hint="eastAsia"/>
          <w:sz w:val="24"/>
        </w:rPr>
        <w:t>42</w:t>
      </w:r>
      <w:r w:rsidRPr="003A3D0A">
        <w:rPr>
          <w:rFonts w:ascii="Times New Roman" w:hAnsi="Times New Roman"/>
          <w:sz w:val="24"/>
        </w:rPr>
        <w:t xml:space="preserve"> km b.s.l) were all changed</w:t>
      </w:r>
      <w:r w:rsidRPr="003A3D0A">
        <w:rPr>
          <w:rFonts w:ascii="Times New Roman" w:hAnsi="Times New Roman" w:hint="eastAsia"/>
          <w:sz w:val="24"/>
        </w:rPr>
        <w:t xml:space="preserve"> </w:t>
      </w:r>
      <w:r w:rsidRPr="003A3D0A">
        <w:rPr>
          <w:rFonts w:ascii="Times New Roman" w:hAnsi="Times New Roman"/>
          <w:sz w:val="24"/>
        </w:rPr>
        <w:t xml:space="preserve">to 100 Ωm. This elimination of C1 resulted in an increase </w:t>
      </w:r>
      <w:r>
        <w:rPr>
          <w:rFonts w:ascii="Times New Roman" w:hAnsi="Times New Roman"/>
          <w:sz w:val="24"/>
        </w:rPr>
        <w:t>in</w:t>
      </w:r>
      <w:r w:rsidRPr="003A3D0A">
        <w:rPr>
          <w:rFonts w:ascii="Times New Roman" w:hAnsi="Times New Roman"/>
          <w:sz w:val="24"/>
        </w:rPr>
        <w:t xml:space="preserve"> the RMS misfit from 1.56 to 1.69. C2: The </w:t>
      </w:r>
      <w:r>
        <w:rPr>
          <w:rFonts w:ascii="Times New Roman" w:hAnsi="Times New Roman"/>
          <w:sz w:val="24"/>
        </w:rPr>
        <w:t>&lt;</w:t>
      </w:r>
      <w:r w:rsidRPr="003A3D0A">
        <w:rPr>
          <w:rFonts w:ascii="Times New Roman" w:hAnsi="Times New Roman"/>
          <w:sz w:val="24"/>
        </w:rPr>
        <w:t>500</w:t>
      </w:r>
      <w:r>
        <w:rPr>
          <w:rFonts w:ascii="Times New Roman" w:hAnsi="Times New Roman"/>
          <w:sz w:val="24"/>
        </w:rPr>
        <w:t>-</w:t>
      </w:r>
      <w:r w:rsidRPr="003A3D0A">
        <w:rPr>
          <w:rFonts w:ascii="Times New Roman" w:hAnsi="Times New Roman"/>
          <w:sz w:val="24"/>
        </w:rPr>
        <w:t xml:space="preserve">Ωm </w:t>
      </w:r>
      <w:r>
        <w:rPr>
          <w:rFonts w:ascii="Times New Roman" w:hAnsi="Times New Roman"/>
          <w:sz w:val="24"/>
        </w:rPr>
        <w:t xml:space="preserve">cells </w:t>
      </w:r>
      <w:r w:rsidRPr="003A3D0A">
        <w:rPr>
          <w:rFonts w:ascii="Times New Roman" w:hAnsi="Times New Roman"/>
          <w:sz w:val="24"/>
        </w:rPr>
        <w:t>in the blue rectangles (</w:t>
      </w:r>
      <w:r w:rsidRPr="003A3D0A">
        <w:rPr>
          <w:rFonts w:ascii="Times New Roman" w:hAnsi="Times New Roman" w:hint="eastAsia"/>
          <w:sz w:val="24"/>
        </w:rPr>
        <w:t>7</w:t>
      </w:r>
      <w:r>
        <w:rPr>
          <w:rFonts w:ascii="Times New Roman" w:hAnsi="Times New Roman"/>
          <w:sz w:val="24"/>
        </w:rPr>
        <w:t>–</w:t>
      </w:r>
      <w:r w:rsidRPr="003A3D0A">
        <w:rPr>
          <w:rFonts w:ascii="Times New Roman" w:hAnsi="Times New Roman" w:hint="eastAsia"/>
          <w:sz w:val="24"/>
        </w:rPr>
        <w:t>42</w:t>
      </w:r>
      <w:r w:rsidRPr="003A3D0A">
        <w:rPr>
          <w:rFonts w:ascii="Times New Roman" w:hAnsi="Times New Roman"/>
          <w:sz w:val="24"/>
        </w:rPr>
        <w:t xml:space="preserve"> km b.s.l) were all changed</w:t>
      </w:r>
      <w:r w:rsidRPr="003A3D0A">
        <w:rPr>
          <w:rFonts w:ascii="Times New Roman" w:hAnsi="Times New Roman" w:hint="eastAsia"/>
          <w:sz w:val="24"/>
        </w:rPr>
        <w:t xml:space="preserve"> </w:t>
      </w:r>
      <w:r w:rsidRPr="003A3D0A">
        <w:rPr>
          <w:rFonts w:ascii="Times New Roman" w:hAnsi="Times New Roman"/>
          <w:sz w:val="24"/>
        </w:rPr>
        <w:t xml:space="preserve">to 500 Ωm. This elimination of C2 resulted in an increase </w:t>
      </w:r>
      <w:r>
        <w:rPr>
          <w:rFonts w:ascii="Times New Roman" w:hAnsi="Times New Roman"/>
          <w:sz w:val="24"/>
        </w:rPr>
        <w:t>in</w:t>
      </w:r>
      <w:r w:rsidRPr="003A3D0A">
        <w:rPr>
          <w:rFonts w:ascii="Times New Roman" w:hAnsi="Times New Roman"/>
          <w:sz w:val="24"/>
        </w:rPr>
        <w:t xml:space="preserve"> the RMS misfit from 1.56 to 1.69. C1N: The </w:t>
      </w:r>
      <w:r>
        <w:rPr>
          <w:rFonts w:ascii="Times New Roman" w:hAnsi="Times New Roman"/>
          <w:sz w:val="24"/>
        </w:rPr>
        <w:t>&lt;</w:t>
      </w:r>
      <w:r w:rsidRPr="003A3D0A">
        <w:rPr>
          <w:rFonts w:ascii="Times New Roman" w:hAnsi="Times New Roman"/>
          <w:sz w:val="24"/>
        </w:rPr>
        <w:t>3000</w:t>
      </w:r>
      <w:r>
        <w:rPr>
          <w:rFonts w:ascii="Times New Roman" w:hAnsi="Times New Roman"/>
          <w:sz w:val="24"/>
        </w:rPr>
        <w:t>-</w:t>
      </w:r>
      <w:r w:rsidRPr="003A3D0A">
        <w:rPr>
          <w:rFonts w:ascii="Times New Roman" w:hAnsi="Times New Roman"/>
          <w:sz w:val="24"/>
        </w:rPr>
        <w:t xml:space="preserve">Ωm </w:t>
      </w:r>
      <w:r>
        <w:rPr>
          <w:rFonts w:ascii="Times New Roman" w:hAnsi="Times New Roman"/>
          <w:sz w:val="24"/>
        </w:rPr>
        <w:t xml:space="preserve">cells </w:t>
      </w:r>
      <w:r w:rsidRPr="003A3D0A">
        <w:rPr>
          <w:rFonts w:ascii="Times New Roman" w:hAnsi="Times New Roman"/>
          <w:sz w:val="24"/>
        </w:rPr>
        <w:t>in the black rectangles (</w:t>
      </w:r>
      <w:r w:rsidRPr="003A3D0A">
        <w:rPr>
          <w:rFonts w:ascii="Times New Roman" w:hAnsi="Times New Roman" w:hint="eastAsia"/>
          <w:sz w:val="24"/>
        </w:rPr>
        <w:t>3</w:t>
      </w:r>
      <w:r>
        <w:rPr>
          <w:rFonts w:ascii="Times New Roman" w:hAnsi="Times New Roman"/>
          <w:sz w:val="24"/>
        </w:rPr>
        <w:t>–</w:t>
      </w:r>
      <w:r w:rsidRPr="003A3D0A">
        <w:rPr>
          <w:rFonts w:ascii="Times New Roman" w:hAnsi="Times New Roman" w:hint="eastAsia"/>
          <w:sz w:val="24"/>
        </w:rPr>
        <w:t>13</w:t>
      </w:r>
      <w:r w:rsidRPr="003A3D0A">
        <w:rPr>
          <w:rFonts w:ascii="Times New Roman" w:hAnsi="Times New Roman"/>
          <w:sz w:val="24"/>
        </w:rPr>
        <w:t xml:space="preserve"> km b.s.l) were all changed</w:t>
      </w:r>
      <w:r w:rsidRPr="003A3D0A">
        <w:rPr>
          <w:rFonts w:ascii="Times New Roman" w:hAnsi="Times New Roman" w:hint="eastAsia"/>
          <w:sz w:val="24"/>
        </w:rPr>
        <w:t xml:space="preserve"> </w:t>
      </w:r>
      <w:r w:rsidRPr="003A3D0A">
        <w:rPr>
          <w:rFonts w:ascii="Times New Roman" w:hAnsi="Times New Roman"/>
          <w:sz w:val="24"/>
        </w:rPr>
        <w:t xml:space="preserve">to 3000 Ωm. This elimination of C1N resulted in an increase </w:t>
      </w:r>
      <w:r>
        <w:rPr>
          <w:rFonts w:ascii="Times New Roman" w:hAnsi="Times New Roman"/>
          <w:sz w:val="24"/>
        </w:rPr>
        <w:t>in</w:t>
      </w:r>
      <w:r w:rsidRPr="003A3D0A">
        <w:rPr>
          <w:rFonts w:ascii="Times New Roman" w:hAnsi="Times New Roman"/>
          <w:sz w:val="24"/>
        </w:rPr>
        <w:t xml:space="preserve"> the RMS misfit from 1.56 to 1.72. C1S: The </w:t>
      </w:r>
      <w:r>
        <w:rPr>
          <w:rFonts w:ascii="Times New Roman" w:hAnsi="Times New Roman"/>
          <w:sz w:val="24"/>
        </w:rPr>
        <w:t>&lt;</w:t>
      </w:r>
      <w:r w:rsidRPr="003A3D0A">
        <w:rPr>
          <w:rFonts w:ascii="Times New Roman" w:hAnsi="Times New Roman"/>
          <w:sz w:val="24"/>
        </w:rPr>
        <w:t>3000</w:t>
      </w:r>
      <w:r>
        <w:rPr>
          <w:rFonts w:ascii="Times New Roman" w:hAnsi="Times New Roman"/>
          <w:sz w:val="24"/>
        </w:rPr>
        <w:t>-</w:t>
      </w:r>
      <w:r w:rsidRPr="003A3D0A">
        <w:rPr>
          <w:rFonts w:ascii="Times New Roman" w:hAnsi="Times New Roman"/>
          <w:sz w:val="24"/>
        </w:rPr>
        <w:t xml:space="preserve">Ωm </w:t>
      </w:r>
      <w:r>
        <w:rPr>
          <w:rFonts w:ascii="Times New Roman" w:hAnsi="Times New Roman"/>
          <w:sz w:val="24"/>
        </w:rPr>
        <w:t xml:space="preserve">cells </w:t>
      </w:r>
      <w:r w:rsidRPr="003A3D0A">
        <w:rPr>
          <w:rFonts w:ascii="Times New Roman" w:hAnsi="Times New Roman"/>
          <w:sz w:val="24"/>
        </w:rPr>
        <w:t xml:space="preserve">in the </w:t>
      </w:r>
      <w:r>
        <w:rPr>
          <w:rFonts w:ascii="Times New Roman" w:hAnsi="Times New Roman"/>
          <w:sz w:val="24"/>
        </w:rPr>
        <w:t>magenta</w:t>
      </w:r>
      <w:r w:rsidRPr="003A3D0A">
        <w:rPr>
          <w:rFonts w:ascii="Times New Roman" w:hAnsi="Times New Roman"/>
          <w:sz w:val="24"/>
        </w:rPr>
        <w:t xml:space="preserve"> rectangles (</w:t>
      </w:r>
      <w:r w:rsidRPr="003A3D0A">
        <w:rPr>
          <w:rFonts w:ascii="Times New Roman" w:hAnsi="Times New Roman" w:hint="eastAsia"/>
          <w:sz w:val="24"/>
        </w:rPr>
        <w:t>3</w:t>
      </w:r>
      <w:r>
        <w:rPr>
          <w:rFonts w:ascii="Times New Roman" w:hAnsi="Times New Roman"/>
          <w:sz w:val="24"/>
        </w:rPr>
        <w:t>–</w:t>
      </w:r>
      <w:r w:rsidRPr="003A3D0A">
        <w:rPr>
          <w:rFonts w:ascii="Times New Roman" w:hAnsi="Times New Roman" w:hint="eastAsia"/>
          <w:sz w:val="24"/>
        </w:rPr>
        <w:t>13</w:t>
      </w:r>
      <w:r w:rsidRPr="003A3D0A">
        <w:rPr>
          <w:rFonts w:ascii="Times New Roman" w:hAnsi="Times New Roman"/>
          <w:sz w:val="24"/>
        </w:rPr>
        <w:t xml:space="preserve"> km b.s.l) were all changed</w:t>
      </w:r>
      <w:r w:rsidRPr="003A3D0A">
        <w:rPr>
          <w:rFonts w:ascii="Times New Roman" w:hAnsi="Times New Roman" w:hint="eastAsia"/>
          <w:sz w:val="24"/>
        </w:rPr>
        <w:t xml:space="preserve"> </w:t>
      </w:r>
      <w:r w:rsidRPr="003A3D0A">
        <w:rPr>
          <w:rFonts w:ascii="Times New Roman" w:hAnsi="Times New Roman"/>
          <w:sz w:val="24"/>
        </w:rPr>
        <w:t xml:space="preserve">to 3000 Ωm. This elimination of C1N resulted in an increase </w:t>
      </w:r>
      <w:r>
        <w:rPr>
          <w:rFonts w:ascii="Times New Roman" w:hAnsi="Times New Roman"/>
          <w:sz w:val="24"/>
        </w:rPr>
        <w:t>in</w:t>
      </w:r>
      <w:r w:rsidRPr="003A3D0A">
        <w:rPr>
          <w:rFonts w:ascii="Times New Roman" w:hAnsi="Times New Roman"/>
          <w:sz w:val="24"/>
        </w:rPr>
        <w:t xml:space="preserve"> the RMS misfit from 1.56 to 1.6</w:t>
      </w:r>
      <w:r>
        <w:rPr>
          <w:rFonts w:ascii="Times New Roman" w:hAnsi="Times New Roman"/>
          <w:sz w:val="24"/>
        </w:rPr>
        <w:t>7.</w:t>
      </w:r>
    </w:p>
    <w:p w:rsidR="00A21AED" w:rsidRDefault="00A21AED">
      <w:pPr>
        <w:widowControl/>
        <w:jc w:val="left"/>
        <w:rPr>
          <w:rFonts w:ascii="Times New Roman" w:hAnsi="Times New Roman"/>
          <w:sz w:val="24"/>
        </w:rPr>
      </w:pPr>
      <w:r>
        <w:rPr>
          <w:rFonts w:ascii="Times New Roman" w:hAnsi="Times New Roman"/>
          <w:sz w:val="24"/>
        </w:rPr>
        <w:br w:type="page"/>
      </w:r>
    </w:p>
    <w:p w:rsidR="007378E0" w:rsidRDefault="007378E0" w:rsidP="007378E0">
      <w:pPr>
        <w:rPr>
          <w:rFonts w:ascii="Times New Roman" w:hAnsi="Times New Roman"/>
          <w:sz w:val="24"/>
        </w:rPr>
      </w:pPr>
    </w:p>
    <w:p w:rsidR="007378E0" w:rsidRPr="007378E0" w:rsidRDefault="007378E0" w:rsidP="007378E0">
      <w:pPr>
        <w:rPr>
          <w:rFonts w:ascii="Times New Roman" w:eastAsiaTheme="minorEastAsia" w:hAnsi="Times New Roman"/>
          <w:b/>
          <w:color w:val="000000"/>
          <w:sz w:val="24"/>
        </w:rPr>
      </w:pPr>
    </w:p>
    <w:p w:rsidR="007378E0" w:rsidRDefault="007378E0" w:rsidP="007378E0">
      <w:pPr>
        <w:rPr>
          <w:rFonts w:ascii="Times New Roman" w:eastAsiaTheme="minorEastAsia" w:hAnsi="Times New Roman"/>
          <w:color w:val="000000"/>
          <w:sz w:val="24"/>
        </w:rPr>
      </w:pPr>
      <w:r>
        <w:rPr>
          <w:rFonts w:ascii="Times New Roman" w:eastAsiaTheme="minorEastAsia" w:hAnsi="Times New Roman"/>
          <w:noProof/>
          <w:color w:val="000000"/>
          <w:sz w:val="24"/>
        </w:rPr>
        <w:drawing>
          <wp:inline distT="0" distB="0" distL="0" distR="0" wp14:anchorId="3A8A8A6A" wp14:editId="6FECD461">
            <wp:extent cx="5400040" cy="2964815"/>
            <wp:effectExtent l="0" t="0" r="0" b="6985"/>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erticalHikaku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00040" cy="2964815"/>
                    </a:xfrm>
                    <a:prstGeom prst="rect">
                      <a:avLst/>
                    </a:prstGeom>
                  </pic:spPr>
                </pic:pic>
              </a:graphicData>
            </a:graphic>
          </wp:inline>
        </w:drawing>
      </w:r>
    </w:p>
    <w:p w:rsidR="00A21AED" w:rsidRDefault="00A21AED" w:rsidP="007378E0">
      <w:pPr>
        <w:snapToGrid w:val="0"/>
        <w:rPr>
          <w:rFonts w:ascii="Times New Roman" w:hAnsi="Times New Roman"/>
          <w:b/>
          <w:sz w:val="24"/>
        </w:rPr>
      </w:pPr>
    </w:p>
    <w:p w:rsidR="007378E0" w:rsidRPr="0037229D" w:rsidRDefault="007378E0" w:rsidP="007378E0">
      <w:pPr>
        <w:snapToGrid w:val="0"/>
        <w:rPr>
          <w:rFonts w:ascii="Times New Roman" w:hAnsi="Times New Roman"/>
          <w:b/>
          <w:sz w:val="24"/>
        </w:rPr>
      </w:pPr>
      <w:r w:rsidRPr="0037229D">
        <w:rPr>
          <w:rFonts w:ascii="Times New Roman" w:hAnsi="Times New Roman"/>
          <w:b/>
          <w:sz w:val="24"/>
        </w:rPr>
        <w:t xml:space="preserve">Fig. </w:t>
      </w:r>
      <w:r w:rsidR="00944FD3">
        <w:rPr>
          <w:rFonts w:ascii="Times New Roman" w:hAnsi="Times New Roman"/>
          <w:b/>
          <w:sz w:val="24"/>
        </w:rPr>
        <w:t>S7</w:t>
      </w:r>
    </w:p>
    <w:p w:rsidR="007378E0" w:rsidRDefault="007378E0" w:rsidP="007378E0">
      <w:pPr>
        <w:rPr>
          <w:rFonts w:ascii="Times New Roman" w:eastAsiaTheme="minorEastAsia" w:hAnsi="Times New Roman"/>
          <w:kern w:val="0"/>
          <w:sz w:val="24"/>
        </w:rPr>
      </w:pPr>
      <w:r>
        <w:rPr>
          <w:rFonts w:ascii="Times New Roman" w:eastAsiaTheme="minorEastAsia" w:hAnsi="Times New Roman"/>
          <w:color w:val="000000"/>
          <w:sz w:val="24"/>
        </w:rPr>
        <w:t xml:space="preserve">Comparison of the resistivity structures and seismicity between the dipping slice along the Futugawa and Hinagu faults, where the mainshock rupture occurred (upper; Fig. 3b), and the vertical slice along the Futagawa Fault (lower). C1N is not dominant on the vertical slice beneath the Futagawa Fault, which suggests that the mainshock rupture occurred along the relatively conductive C1N. </w:t>
      </w:r>
      <w:r>
        <w:rPr>
          <w:rFonts w:ascii="Times New Roman" w:eastAsiaTheme="minorEastAsia" w:hAnsi="Times New Roman"/>
          <w:kern w:val="0"/>
          <w:sz w:val="24"/>
        </w:rPr>
        <w:t>The other notations are the same as in Fig. 3.</w:t>
      </w:r>
    </w:p>
    <w:p w:rsidR="004E0E1A" w:rsidRPr="007378E0" w:rsidRDefault="004E0E1A" w:rsidP="004E0E1A">
      <w:pPr>
        <w:rPr>
          <w:rFonts w:ascii="Times New Roman" w:hAnsi="Times New Roman"/>
          <w:sz w:val="24"/>
        </w:rPr>
      </w:pPr>
    </w:p>
    <w:p w:rsidR="004E0E1A" w:rsidRDefault="004E0E1A" w:rsidP="004E0E1A">
      <w:pPr>
        <w:rPr>
          <w:rFonts w:ascii="Times New Roman" w:eastAsiaTheme="minorEastAsia" w:hAnsi="Times New Roman"/>
          <w:color w:val="000000"/>
          <w:sz w:val="24"/>
        </w:rPr>
      </w:pPr>
    </w:p>
    <w:p w:rsidR="004E0E1A" w:rsidRDefault="004E0E1A" w:rsidP="004E0E1A">
      <w:pPr>
        <w:rPr>
          <w:rFonts w:ascii="Times New Roman" w:eastAsiaTheme="minorEastAsia" w:hAnsi="Times New Roman"/>
          <w:color w:val="000000"/>
          <w:sz w:val="24"/>
        </w:rPr>
      </w:pPr>
    </w:p>
    <w:p w:rsidR="002812AB" w:rsidRPr="004E0E1A" w:rsidRDefault="002812AB"/>
    <w:sectPr w:rsidR="002812AB" w:rsidRPr="004E0E1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493E" w:rsidRDefault="00C6493E" w:rsidP="004E0E1A">
      <w:r>
        <w:separator/>
      </w:r>
    </w:p>
  </w:endnote>
  <w:endnote w:type="continuationSeparator" w:id="0">
    <w:p w:rsidR="00C6493E" w:rsidRDefault="00C6493E" w:rsidP="004E0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493E" w:rsidRDefault="00C6493E" w:rsidP="004E0E1A">
      <w:r>
        <w:separator/>
      </w:r>
    </w:p>
  </w:footnote>
  <w:footnote w:type="continuationSeparator" w:id="0">
    <w:p w:rsidR="00C6493E" w:rsidRDefault="00C6493E" w:rsidP="004E0E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D2389F"/>
    <w:multiLevelType w:val="multilevel"/>
    <w:tmpl w:val="729C443A"/>
    <w:lvl w:ilvl="0">
      <w:start w:val="1"/>
      <w:numFmt w:val="decimal"/>
      <w:lvlText w:val="%1."/>
      <w:lvlJc w:val="left"/>
      <w:pPr>
        <w:ind w:left="360" w:hanging="360"/>
      </w:pPr>
      <w:rPr>
        <w:rFonts w:hint="default"/>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750"/>
    <w:rsid w:val="00074016"/>
    <w:rsid w:val="00134750"/>
    <w:rsid w:val="001B7682"/>
    <w:rsid w:val="002812AB"/>
    <w:rsid w:val="002B3659"/>
    <w:rsid w:val="00327130"/>
    <w:rsid w:val="004246F3"/>
    <w:rsid w:val="004E0E1A"/>
    <w:rsid w:val="005026F4"/>
    <w:rsid w:val="007378E0"/>
    <w:rsid w:val="00796A4A"/>
    <w:rsid w:val="007C6F71"/>
    <w:rsid w:val="009351DB"/>
    <w:rsid w:val="00944FD3"/>
    <w:rsid w:val="00952EF1"/>
    <w:rsid w:val="009D250D"/>
    <w:rsid w:val="00A21AED"/>
    <w:rsid w:val="00A348E7"/>
    <w:rsid w:val="00C15355"/>
    <w:rsid w:val="00C6493E"/>
    <w:rsid w:val="00CB771D"/>
    <w:rsid w:val="00D11DE3"/>
    <w:rsid w:val="00D403A2"/>
    <w:rsid w:val="00D5734E"/>
    <w:rsid w:val="00DF67FF"/>
    <w:rsid w:val="00EC5D23"/>
    <w:rsid w:val="00EF47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0E1A"/>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0E1A"/>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4E0E1A"/>
  </w:style>
  <w:style w:type="paragraph" w:styleId="a5">
    <w:name w:val="footer"/>
    <w:basedOn w:val="a"/>
    <w:link w:val="a6"/>
    <w:uiPriority w:val="99"/>
    <w:unhideWhenUsed/>
    <w:rsid w:val="004E0E1A"/>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4E0E1A"/>
  </w:style>
  <w:style w:type="paragraph" w:styleId="a7">
    <w:name w:val="List Paragraph"/>
    <w:basedOn w:val="a"/>
    <w:uiPriority w:val="34"/>
    <w:qFormat/>
    <w:rsid w:val="009351D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437</Words>
  <Characters>2495</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2020-08-13T10:32:00Z</dcterms:created>
  <dcterms:modified xsi:type="dcterms:W3CDTF">2020-09-02T05:27:00Z</dcterms:modified>
</cp:coreProperties>
</file>