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8648">
      <w:pPr>
        <w:spacing w:line="480" w:lineRule="auto"/>
        <w:rPr>
          <w:rFonts w:ascii="Arial" w:hAnsi="Arial" w:eastAsia="宋体" w:cs="Arial"/>
          <w:b/>
          <w:bCs/>
          <w:sz w:val="24"/>
        </w:rPr>
      </w:pPr>
      <w:r>
        <w:rPr>
          <w:rFonts w:ascii="Arial" w:hAnsi="Arial" w:eastAsia="宋体" w:cs="Arial"/>
          <w:b/>
          <w:bCs/>
          <w:sz w:val="24"/>
        </w:rPr>
        <w:t>Supplementary information</w:t>
      </w:r>
    </w:p>
    <w:p w14:paraId="727B38D1">
      <w:pPr>
        <w:spacing w:line="480" w:lineRule="auto"/>
        <w:rPr>
          <w:rFonts w:ascii="Arial" w:hAnsi="Arial" w:eastAsia="宋体" w:cs="Arial"/>
          <w:b/>
          <w:bCs/>
          <w:sz w:val="24"/>
        </w:rPr>
      </w:pPr>
      <w:r>
        <w:rPr>
          <w:rFonts w:ascii="Arial" w:hAnsi="Arial" w:eastAsia="宋体" w:cs="Arial"/>
          <w:b/>
          <w:bCs/>
          <w:sz w:val="24"/>
        </w:rPr>
        <w:t>Table S1 Primers used for qRT-PCR</w:t>
      </w:r>
    </w:p>
    <w:tbl>
      <w:tblPr>
        <w:tblStyle w:val="2"/>
        <w:tblW w:w="837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368"/>
        <w:gridCol w:w="4418"/>
      </w:tblGrid>
      <w:tr w14:paraId="05D4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2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7C3FA0C2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236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300735FA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  <w:t>Primer</w:t>
            </w:r>
          </w:p>
        </w:tc>
        <w:tc>
          <w:tcPr>
            <w:tcW w:w="441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FAE8945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lang w:bidi="ar"/>
              </w:rPr>
              <w:t>Sequence</w:t>
            </w:r>
          </w:p>
        </w:tc>
      </w:tr>
      <w:tr w14:paraId="2211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92" w:type="dxa"/>
            <w:vMerge w:val="restart"/>
            <w:tcBorders>
              <w:top w:val="single" w:color="000000" w:sz="4" w:space="0"/>
              <w:tl2br w:val="nil"/>
            </w:tcBorders>
            <w:shd w:val="clear" w:color="auto" w:fill="FFFFFF"/>
            <w:vAlign w:val="center"/>
          </w:tcPr>
          <w:p w14:paraId="52B75BCF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TMEM158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(human)</w:t>
            </w:r>
          </w:p>
        </w:tc>
        <w:tc>
          <w:tcPr>
            <w:tcW w:w="2368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F4A0531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35B5FF58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TGTGCTTCGTGCTGTAGTTATC</w:t>
            </w:r>
          </w:p>
        </w:tc>
      </w:tr>
      <w:tr w14:paraId="3EB1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 w14:paraId="19F18074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14:paraId="60D99FE1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17D76E5B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TCAGTCCAAGGGCTTAAACATC</w:t>
            </w:r>
          </w:p>
        </w:tc>
      </w:tr>
      <w:tr w14:paraId="6BD3D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 w14:paraId="34618377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TMEM158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(mouse)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1BFD483F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5EC94E75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AACATCAGCGTGCAACGACA</w:t>
            </w:r>
          </w:p>
        </w:tc>
      </w:tr>
      <w:tr w14:paraId="4F77A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 w14:paraId="3958BFD5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14:paraId="1CC4272C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2C1F7FD4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AGCCCCAGATGCTCGATGA</w:t>
            </w:r>
          </w:p>
        </w:tc>
      </w:tr>
      <w:tr w14:paraId="259DF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 w14:paraId="3D6961DB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TGFBR1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(human)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0EDBE541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24F6A829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ACGGCGTTACAGTGTTTCTG</w:t>
            </w:r>
          </w:p>
        </w:tc>
      </w:tr>
      <w:tr w14:paraId="1FB6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 w14:paraId="37954D14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14:paraId="75BABE78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182A095E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GCACATACAAACGGCCTATCTC</w:t>
            </w:r>
          </w:p>
        </w:tc>
      </w:tr>
      <w:tr w14:paraId="2A91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 w14:paraId="271F5901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TGFBR1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(mouse)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78A64910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1E4DD284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TCTGCATTGCACTTATGCTGA</w:t>
            </w:r>
          </w:p>
        </w:tc>
      </w:tr>
      <w:tr w14:paraId="6A2E0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 w14:paraId="378EC4C5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14:paraId="7B1F805F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028CAF4E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AAAGGGCGATCTAGTGATGGA</w:t>
            </w:r>
          </w:p>
        </w:tc>
      </w:tr>
      <w:tr w14:paraId="6E8F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 w14:paraId="01F4C923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SMAD2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(human)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26D4E5E2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5083E259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CGTCCATCTTGCCATTCACG</w:t>
            </w:r>
          </w:p>
        </w:tc>
      </w:tr>
      <w:tr w14:paraId="5B14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 w14:paraId="0C6D7105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14:paraId="5D957AE5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4A98983B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 xml:space="preserve">CTCAAGCTCATCTAATCGTCCTG </w:t>
            </w:r>
          </w:p>
        </w:tc>
      </w:tr>
      <w:tr w14:paraId="14CA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 w14:paraId="4AADC677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SMAD2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(mouse)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07A3A65D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Forward primer</w:t>
            </w:r>
          </w:p>
        </w:tc>
        <w:tc>
          <w:tcPr>
            <w:tcW w:w="4418" w:type="dxa"/>
            <w:shd w:val="clear" w:color="auto" w:fill="FFFFFF"/>
            <w:noWrap/>
            <w:vAlign w:val="center"/>
          </w:tcPr>
          <w:p w14:paraId="2C31FD2D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AAGCCATCACCACTCAGAATTG</w:t>
            </w:r>
          </w:p>
        </w:tc>
      </w:tr>
      <w:tr w14:paraId="6AD3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92" w:type="dxa"/>
            <w:vMerge w:val="continue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35E23618">
            <w:pPr>
              <w:spacing w:line="480" w:lineRule="auto"/>
              <w:jc w:val="left"/>
              <w:rPr>
                <w:rFonts w:ascii="Arial" w:hAnsi="Arial" w:eastAsia="宋体" w:cs="Arial"/>
                <w:color w:val="000000"/>
                <w:sz w:val="24"/>
              </w:rPr>
            </w:pPr>
          </w:p>
        </w:tc>
        <w:tc>
          <w:tcPr>
            <w:tcW w:w="2368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42421A26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>Reverse primer</w:t>
            </w:r>
          </w:p>
        </w:tc>
        <w:tc>
          <w:tcPr>
            <w:tcW w:w="4418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7CF1FF10">
            <w:pPr>
              <w:widowControl/>
              <w:spacing w:line="480" w:lineRule="auto"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bidi="ar"/>
              </w:rPr>
              <w:t xml:space="preserve">CACTGATCTACCGTATTTGCTGT </w:t>
            </w:r>
          </w:p>
        </w:tc>
      </w:tr>
    </w:tbl>
    <w:p w14:paraId="3E6C606C">
      <w:pPr>
        <w:spacing w:line="480" w:lineRule="auto"/>
        <w:rPr>
          <w:rFonts w:ascii="Arial" w:hAnsi="Arial" w:eastAsia="宋体" w:cs="Arial"/>
          <w:sz w:val="24"/>
        </w:rPr>
      </w:pPr>
    </w:p>
    <w:p w14:paraId="5EBBEB9F">
      <w:pPr>
        <w:spacing w:line="480" w:lineRule="auto"/>
        <w:rPr>
          <w:rFonts w:ascii="Arial" w:hAnsi="Arial" w:eastAsia="宋体" w:cs="Arial"/>
          <w:sz w:val="24"/>
        </w:rPr>
      </w:pPr>
    </w:p>
    <w:p w14:paraId="6A4B0B2D">
      <w:pPr>
        <w:spacing w:line="480" w:lineRule="auto"/>
        <w:ind w:firstLine="240" w:firstLineChars="100"/>
        <w:rPr>
          <w:rFonts w:ascii="Arial" w:hAnsi="Arial" w:eastAsia="宋体" w:cs="Arial"/>
          <w:sz w:val="24"/>
        </w:rPr>
      </w:pPr>
    </w:p>
    <w:p w14:paraId="5BF8A413">
      <w:pPr>
        <w:spacing w:line="480" w:lineRule="auto"/>
        <w:rPr>
          <w:rFonts w:ascii="Arial" w:hAnsi="Arial" w:eastAsia="宋体" w:cs="Arial"/>
          <w:sz w:val="24"/>
        </w:rPr>
      </w:pPr>
      <w:r>
        <w:rPr>
          <w:rFonts w:ascii="Arial" w:hAnsi="Arial" w:eastAsia="宋体" w:cs="Arial"/>
          <w:sz w:val="24"/>
        </w:rPr>
        <w:br w:type="page"/>
      </w:r>
    </w:p>
    <w:p w14:paraId="3FFCB265">
      <w:r>
        <w:rPr>
          <w:rFonts w:ascii="Arial" w:hAnsi="Arial" w:eastAsia="宋体" w:cs="Arial"/>
          <w:sz w:val="24"/>
        </w:rPr>
        <w:drawing>
          <wp:inline distT="0" distB="0" distL="114300" distR="114300">
            <wp:extent cx="5257800" cy="7343775"/>
            <wp:effectExtent l="0" t="0" r="0" b="9525"/>
            <wp:docPr id="8" name="图片 8" descr="TMEM158介导的TGFb通路调控P53缺陷型骨肉瘤对USP14抑制剂的敏感性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MEM158介导的TGFb通路调控P53缺陷型骨肉瘤对USP14抑制剂的敏感性_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345BF"/>
    <w:rsid w:val="73B3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2025-07-08T04:45:00Z</dcterms:created>
  <dc:creator>小肆。</dc:creator>
  <cp:lastModifiedBy>小肆。</cp:lastModifiedBy>
  <dcterms:modified xsi:type="dcterms:W3CDTF">2025-07-08T04:45:43Z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9AA121DB70E14D76BC4D6034EAA798AB_11</vt:lpwstr>
  </property>
  <property fmtid="{D5CDD505-2E9C-101B-9397-08002B2CF9AE}" pid="4" name="KSOTemplateDocerSaveRecord">
    <vt:lpwstr>eyJoZGlkIjoiMmZkOGExZDcwNmQ1NjQyNjI1ZjgwNjgwYzRiNTI3ZDciLCJ1c2VySWQiOiIyNDY1ODQwMDUifQ==</vt:lpwstr>
  </property>
</Properties>
</file>