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7303" w:rsidRPr="00140B56" w:rsidRDefault="00F57303" w:rsidP="00B2168C">
      <w:pPr>
        <w:rPr>
          <w:b/>
          <w:bCs/>
        </w:rPr>
      </w:pPr>
      <w:bookmarkStart w:id="0" w:name="_GoBack"/>
      <w:bookmarkEnd w:id="0"/>
      <w:r w:rsidRPr="00140B56">
        <w:rPr>
          <w:b/>
          <w:bCs/>
        </w:rPr>
        <w:t>Supplementary figures</w:t>
      </w:r>
    </w:p>
    <w:p w:rsidR="00F57303" w:rsidRDefault="00F57303" w:rsidP="00F57303">
      <w:pPr>
        <w:jc w:val="center"/>
      </w:pPr>
      <w:r w:rsidRPr="00F57303">
        <w:rPr>
          <w:noProof/>
          <w:lang w:bidi="he-IL"/>
        </w:rPr>
        <w:drawing>
          <wp:inline distT="0" distB="0" distL="0" distR="0">
            <wp:extent cx="4297045" cy="5856605"/>
            <wp:effectExtent l="0" t="0" r="8255" b="0"/>
            <wp:docPr id="8" name="Picture 8" descr="E:\1desktop\2Under process\Arabidopsis\Manuscript data\Final MS data\Supply figure\Supplementray Fi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1desktop\2Under process\Arabidopsis\Manuscript data\Final MS data\Supply figure\Supplementray Fig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045" cy="585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85E" w:rsidRDefault="0084085E" w:rsidP="0084085E">
      <w:pPr>
        <w:spacing w:line="360" w:lineRule="auto"/>
        <w:jc w:val="both"/>
        <w:rPr>
          <w:color w:val="000000" w:themeColor="text1"/>
        </w:rPr>
      </w:pPr>
      <w:r w:rsidRPr="00E50A6C">
        <w:rPr>
          <w:b/>
          <w:bCs/>
          <w:color w:val="000000" w:themeColor="text1"/>
        </w:rPr>
        <w:t xml:space="preserve">Figure S1. Generation and Characterization of </w:t>
      </w:r>
      <w:r w:rsidRPr="00E50A6C">
        <w:rPr>
          <w:b/>
          <w:bCs/>
          <w:i/>
          <w:iCs/>
          <w:color w:val="000000" w:themeColor="text1"/>
        </w:rPr>
        <w:t>AtERF103</w:t>
      </w:r>
      <w:r w:rsidRPr="00E50A6C">
        <w:rPr>
          <w:b/>
          <w:bCs/>
          <w:color w:val="000000" w:themeColor="text1"/>
        </w:rPr>
        <w:t xml:space="preserve"> Transgenic </w:t>
      </w:r>
      <w:r w:rsidRPr="00E50A6C">
        <w:rPr>
          <w:b/>
          <w:bCs/>
          <w:i/>
          <w:iCs/>
          <w:color w:val="000000" w:themeColor="text1"/>
        </w:rPr>
        <w:t>A. thaliana</w:t>
      </w:r>
      <w:r w:rsidRPr="00E50A6C">
        <w:rPr>
          <w:b/>
          <w:bCs/>
          <w:color w:val="000000" w:themeColor="text1"/>
        </w:rPr>
        <w:t xml:space="preserve"> Lines.</w:t>
      </w:r>
      <w:r w:rsidRPr="00E50A6C">
        <w:rPr>
          <w:color w:val="000000" w:themeColor="text1"/>
        </w:rPr>
        <w:t xml:space="preserve"> </w:t>
      </w:r>
      <w:r w:rsidRPr="00E50A6C">
        <w:rPr>
          <w:b/>
          <w:color w:val="000000" w:themeColor="text1"/>
        </w:rPr>
        <w:t>(</w:t>
      </w:r>
      <w:r w:rsidRPr="00E50A6C">
        <w:rPr>
          <w:b/>
          <w:iCs/>
          <w:color w:val="000000" w:themeColor="text1"/>
        </w:rPr>
        <w:t>A)</w:t>
      </w:r>
      <w:r w:rsidRPr="00E50A6C">
        <w:rPr>
          <w:color w:val="000000" w:themeColor="text1"/>
        </w:rPr>
        <w:t xml:space="preserve"> Verification of </w:t>
      </w:r>
      <w:proofErr w:type="spellStart"/>
      <w:r w:rsidRPr="00E50A6C">
        <w:rPr>
          <w:color w:val="000000" w:themeColor="text1"/>
        </w:rPr>
        <w:t>Basta</w:t>
      </w:r>
      <w:proofErr w:type="spellEnd"/>
      <w:r w:rsidRPr="00E50A6C">
        <w:rPr>
          <w:color w:val="000000" w:themeColor="text1"/>
        </w:rPr>
        <w:t xml:space="preserve">-resistant transgenic lines. </w:t>
      </w:r>
      <w:r w:rsidRPr="00E50A6C">
        <w:rPr>
          <w:b/>
          <w:color w:val="000000" w:themeColor="text1"/>
        </w:rPr>
        <w:t>(</w:t>
      </w:r>
      <w:r w:rsidRPr="00E50A6C">
        <w:rPr>
          <w:b/>
          <w:iCs/>
          <w:color w:val="000000" w:themeColor="text1"/>
        </w:rPr>
        <w:t>B)</w:t>
      </w:r>
      <w:r w:rsidRPr="00E50A6C">
        <w:rPr>
          <w:color w:val="000000" w:themeColor="text1"/>
        </w:rPr>
        <w:t xml:space="preserve"> Gel electrophoresis confirming T-DNA insertion in transgenic lines. </w:t>
      </w:r>
      <w:r w:rsidRPr="00E50A6C">
        <w:rPr>
          <w:b/>
          <w:color w:val="000000" w:themeColor="text1"/>
        </w:rPr>
        <w:t>(</w:t>
      </w:r>
      <w:r w:rsidRPr="00E50A6C">
        <w:rPr>
          <w:b/>
          <w:iCs/>
          <w:color w:val="000000" w:themeColor="text1"/>
        </w:rPr>
        <w:t>C)</w:t>
      </w:r>
      <w:r w:rsidRPr="00E50A6C">
        <w:rPr>
          <w:color w:val="000000" w:themeColor="text1"/>
        </w:rPr>
        <w:t xml:space="preserve"> Growth phenotype comparison of Col-0, </w:t>
      </w:r>
      <w:r w:rsidRPr="00E50A6C">
        <w:rPr>
          <w:i/>
          <w:iCs/>
          <w:color w:val="000000" w:themeColor="text1"/>
        </w:rPr>
        <w:t>35S-AtERF103</w:t>
      </w:r>
      <w:r w:rsidRPr="00E50A6C">
        <w:rPr>
          <w:color w:val="000000" w:themeColor="text1"/>
        </w:rPr>
        <w:t xml:space="preserve">, and </w:t>
      </w:r>
      <w:r w:rsidRPr="00E50A6C">
        <w:rPr>
          <w:i/>
          <w:iCs/>
          <w:color w:val="000000" w:themeColor="text1"/>
        </w:rPr>
        <w:t>GE-aterf103</w:t>
      </w:r>
      <w:r w:rsidRPr="00E50A6C">
        <w:rPr>
          <w:color w:val="000000" w:themeColor="text1"/>
        </w:rPr>
        <w:t xml:space="preserve"> lines.</w:t>
      </w:r>
    </w:p>
    <w:p w:rsidR="00F57303" w:rsidRDefault="00F57303" w:rsidP="00140B56"/>
    <w:p w:rsidR="003809CD" w:rsidRDefault="003809CD" w:rsidP="00F57303">
      <w:pPr>
        <w:jc w:val="center"/>
      </w:pPr>
      <w:r w:rsidRPr="003809CD">
        <w:rPr>
          <w:noProof/>
          <w:lang w:bidi="he-IL"/>
        </w:rPr>
        <w:lastRenderedPageBreak/>
        <w:drawing>
          <wp:inline distT="0" distB="0" distL="0" distR="0">
            <wp:extent cx="5943600" cy="6143363"/>
            <wp:effectExtent l="0" t="0" r="0" b="0"/>
            <wp:docPr id="15" name="Picture 15" descr="E:\1desktop\2Under process\Arabidopsis\Manuscript data\Final MS data\Supply figure\Figure 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desktop\2Under process\Arabidopsis\Manuscript data\Final MS data\Supply figure\Figure S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4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85E" w:rsidRDefault="0084085E" w:rsidP="0084085E">
      <w:pPr>
        <w:spacing w:line="360" w:lineRule="auto"/>
        <w:jc w:val="both"/>
        <w:rPr>
          <w:color w:val="000000" w:themeColor="text1"/>
        </w:rPr>
      </w:pPr>
      <w:r w:rsidRPr="00E50A6C">
        <w:rPr>
          <w:b/>
          <w:bCs/>
          <w:color w:val="000000" w:themeColor="text1"/>
        </w:rPr>
        <w:t xml:space="preserve">Figure S2. Evolution of Root Phenotypes Regulated by </w:t>
      </w:r>
      <w:r w:rsidRPr="00E50A6C">
        <w:rPr>
          <w:b/>
          <w:bCs/>
          <w:i/>
          <w:iCs/>
          <w:color w:val="000000" w:themeColor="text1"/>
        </w:rPr>
        <w:t>AtERF103</w:t>
      </w:r>
      <w:r w:rsidRPr="00E50A6C">
        <w:rPr>
          <w:b/>
          <w:bCs/>
          <w:color w:val="000000" w:themeColor="text1"/>
        </w:rPr>
        <w:t>.</w:t>
      </w:r>
      <w:r w:rsidRPr="00E50A6C">
        <w:rPr>
          <w:color w:val="000000" w:themeColor="text1"/>
        </w:rPr>
        <w:t xml:space="preserve"> </w:t>
      </w:r>
      <w:r w:rsidRPr="00E50A6C">
        <w:rPr>
          <w:b/>
          <w:color w:val="000000" w:themeColor="text1"/>
        </w:rPr>
        <w:t>(</w:t>
      </w:r>
      <w:r w:rsidRPr="00E50A6C">
        <w:rPr>
          <w:b/>
          <w:bCs/>
          <w:color w:val="000000" w:themeColor="text1"/>
        </w:rPr>
        <w:t>A)</w:t>
      </w:r>
      <w:r w:rsidRPr="00E50A6C">
        <w:rPr>
          <w:color w:val="000000" w:themeColor="text1"/>
        </w:rPr>
        <w:t xml:space="preserve"> Root growth patterns of the three genotypes after 1 week of growth on vertical agar plates under standard conditions. </w:t>
      </w:r>
      <w:r w:rsidRPr="00E50A6C">
        <w:rPr>
          <w:b/>
          <w:color w:val="000000" w:themeColor="text1"/>
        </w:rPr>
        <w:t>(</w:t>
      </w:r>
      <w:r w:rsidRPr="00E50A6C">
        <w:rPr>
          <w:b/>
          <w:bCs/>
          <w:color w:val="000000" w:themeColor="text1"/>
        </w:rPr>
        <w:t>B)</w:t>
      </w:r>
      <w:r w:rsidRPr="00E50A6C">
        <w:rPr>
          <w:color w:val="000000" w:themeColor="text1"/>
        </w:rPr>
        <w:t xml:space="preserve"> Measurement of primary root length. </w:t>
      </w:r>
      <w:r w:rsidRPr="00E50A6C">
        <w:rPr>
          <w:b/>
          <w:color w:val="000000" w:themeColor="text1"/>
        </w:rPr>
        <w:t>(</w:t>
      </w:r>
      <w:r w:rsidRPr="00E50A6C">
        <w:rPr>
          <w:b/>
          <w:bCs/>
          <w:color w:val="000000" w:themeColor="text1"/>
        </w:rPr>
        <w:t>C)</w:t>
      </w:r>
      <w:r w:rsidRPr="00E50A6C">
        <w:rPr>
          <w:color w:val="000000" w:themeColor="text1"/>
        </w:rPr>
        <w:t xml:space="preserve"> Measurement of lateral root length. </w:t>
      </w:r>
      <w:r w:rsidRPr="00E50A6C">
        <w:rPr>
          <w:b/>
          <w:color w:val="000000" w:themeColor="text1"/>
        </w:rPr>
        <w:t>(</w:t>
      </w:r>
      <w:r w:rsidRPr="00E50A6C">
        <w:rPr>
          <w:b/>
          <w:bCs/>
          <w:color w:val="000000" w:themeColor="text1"/>
        </w:rPr>
        <w:t>D)</w:t>
      </w:r>
      <w:r w:rsidRPr="00E50A6C">
        <w:rPr>
          <w:color w:val="000000" w:themeColor="text1"/>
        </w:rPr>
        <w:t xml:space="preserve"> Lateral roots development in the three genotypes, indicated by arrows. Data </w:t>
      </w:r>
      <w:proofErr w:type="gramStart"/>
      <w:r w:rsidRPr="00E50A6C">
        <w:rPr>
          <w:color w:val="000000" w:themeColor="text1"/>
        </w:rPr>
        <w:t>are presented</w:t>
      </w:r>
      <w:proofErr w:type="gramEnd"/>
      <w:r w:rsidRPr="00E50A6C">
        <w:rPr>
          <w:color w:val="000000" w:themeColor="text1"/>
        </w:rPr>
        <w:t xml:space="preserve"> as mean ± standard deviation (SD) from multiple biological replicates. Statistical significance was assessed using post hoc multiple comparisons, with significance levels indicated as *</w:t>
      </w:r>
      <w:r w:rsidRPr="00E50A6C">
        <w:rPr>
          <w:i/>
          <w:iCs/>
          <w:color w:val="000000" w:themeColor="text1"/>
        </w:rPr>
        <w:t>P &lt; 0.05</w:t>
      </w:r>
      <w:r w:rsidRPr="00E50A6C">
        <w:rPr>
          <w:color w:val="000000" w:themeColor="text1"/>
        </w:rPr>
        <w:t>, **</w:t>
      </w:r>
      <w:r w:rsidRPr="00E50A6C">
        <w:rPr>
          <w:i/>
          <w:iCs/>
          <w:color w:val="000000" w:themeColor="text1"/>
        </w:rPr>
        <w:t>P &lt; 0.01</w:t>
      </w:r>
      <w:r w:rsidRPr="00E50A6C">
        <w:rPr>
          <w:color w:val="000000" w:themeColor="text1"/>
        </w:rPr>
        <w:t>, and ***</w:t>
      </w:r>
      <w:r w:rsidRPr="00E50A6C">
        <w:rPr>
          <w:i/>
          <w:iCs/>
          <w:color w:val="000000" w:themeColor="text1"/>
        </w:rPr>
        <w:t>P &lt; 0.001</w:t>
      </w:r>
      <w:r w:rsidRPr="00E50A6C">
        <w:rPr>
          <w:color w:val="000000" w:themeColor="text1"/>
        </w:rPr>
        <w:t>.</w:t>
      </w:r>
    </w:p>
    <w:p w:rsidR="0084085E" w:rsidRPr="00E50A6C" w:rsidRDefault="0084085E" w:rsidP="0084085E">
      <w:pPr>
        <w:spacing w:line="360" w:lineRule="auto"/>
        <w:jc w:val="both"/>
        <w:rPr>
          <w:color w:val="000000" w:themeColor="text1"/>
        </w:rPr>
      </w:pPr>
    </w:p>
    <w:p w:rsidR="00F57303" w:rsidRDefault="00F57303" w:rsidP="00F57303">
      <w:pPr>
        <w:jc w:val="center"/>
      </w:pPr>
      <w:r w:rsidRPr="00F57303">
        <w:rPr>
          <w:noProof/>
          <w:lang w:bidi="he-IL"/>
        </w:rPr>
        <w:lastRenderedPageBreak/>
        <w:drawing>
          <wp:inline distT="0" distB="0" distL="0" distR="0">
            <wp:extent cx="5692023" cy="3352760"/>
            <wp:effectExtent l="0" t="0" r="4445" b="635"/>
            <wp:docPr id="10" name="Picture 10" descr="E:\1desktop\2Under process\Arabidopsis\Manuscript data\Final MS data\Supply figure\Figure 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1desktop\2Under process\Arabidopsis\Manuscript data\Final MS data\Supply figure\Figure S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581" cy="335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85E" w:rsidRDefault="0084085E" w:rsidP="0084085E">
      <w:pPr>
        <w:spacing w:line="360" w:lineRule="auto"/>
        <w:jc w:val="both"/>
        <w:rPr>
          <w:color w:val="000000" w:themeColor="text1"/>
        </w:rPr>
      </w:pPr>
      <w:r w:rsidRPr="00E50A6C">
        <w:rPr>
          <w:b/>
          <w:bCs/>
          <w:color w:val="000000" w:themeColor="text1"/>
        </w:rPr>
        <w:t>Figure S3. LC-MS/MS Analysis of IAA Peak Area.</w:t>
      </w:r>
      <w:r w:rsidRPr="00E50A6C">
        <w:rPr>
          <w:color w:val="000000" w:themeColor="text1"/>
        </w:rPr>
        <w:t xml:space="preserve"> (</w:t>
      </w:r>
      <w:r w:rsidRPr="00E50A6C">
        <w:rPr>
          <w:b/>
          <w:bCs/>
          <w:color w:val="000000" w:themeColor="text1"/>
        </w:rPr>
        <w:t>A–C):</w:t>
      </w:r>
      <w:r w:rsidRPr="00E50A6C">
        <w:rPr>
          <w:color w:val="000000" w:themeColor="text1"/>
        </w:rPr>
        <w:t xml:space="preserve"> Chromatograms of the peak area corresponding to IAA in the Col-0 (A), </w:t>
      </w:r>
      <w:r w:rsidRPr="00E50A6C">
        <w:rPr>
          <w:i/>
          <w:iCs/>
          <w:color w:val="000000" w:themeColor="text1"/>
        </w:rPr>
        <w:t>GE-aterf103</w:t>
      </w:r>
      <w:r w:rsidRPr="00E50A6C">
        <w:rPr>
          <w:iCs/>
          <w:color w:val="000000" w:themeColor="text1"/>
        </w:rPr>
        <w:t xml:space="preserve"> (B)</w:t>
      </w:r>
      <w:r w:rsidRPr="00E50A6C">
        <w:rPr>
          <w:color w:val="000000" w:themeColor="text1"/>
        </w:rPr>
        <w:t xml:space="preserve">, and </w:t>
      </w:r>
      <w:r w:rsidRPr="00E50A6C">
        <w:rPr>
          <w:i/>
          <w:iCs/>
          <w:color w:val="000000" w:themeColor="text1"/>
        </w:rPr>
        <w:t>35S-atERF103</w:t>
      </w:r>
      <w:r w:rsidRPr="00E50A6C">
        <w:rPr>
          <w:color w:val="000000" w:themeColor="text1"/>
        </w:rPr>
        <w:t xml:space="preserve"> (C) genotypes.</w:t>
      </w:r>
    </w:p>
    <w:p w:rsidR="0084085E" w:rsidRPr="00E50A6C" w:rsidRDefault="0084085E" w:rsidP="0084085E">
      <w:pPr>
        <w:spacing w:line="360" w:lineRule="auto"/>
        <w:jc w:val="both"/>
        <w:rPr>
          <w:color w:val="000000" w:themeColor="text1"/>
        </w:rPr>
      </w:pPr>
    </w:p>
    <w:p w:rsidR="00F57303" w:rsidRDefault="00F57303" w:rsidP="00F57303">
      <w:pPr>
        <w:jc w:val="center"/>
      </w:pPr>
      <w:r w:rsidRPr="00F57303">
        <w:rPr>
          <w:noProof/>
          <w:lang w:bidi="he-IL"/>
        </w:rPr>
        <w:lastRenderedPageBreak/>
        <w:drawing>
          <wp:inline distT="0" distB="0" distL="0" distR="0">
            <wp:extent cx="5736603" cy="7192098"/>
            <wp:effectExtent l="0" t="0" r="0" b="8890"/>
            <wp:docPr id="11" name="Picture 11" descr="E:\1desktop\2Under process\Arabidopsis\Manuscript data\Final MS data\Supply figure\Figure 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1desktop\2Under process\Arabidopsis\Manuscript data\Final MS data\Supply figure\Figure S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85" cy="719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85E" w:rsidRPr="00E50A6C" w:rsidRDefault="0084085E" w:rsidP="0084085E">
      <w:pPr>
        <w:spacing w:line="360" w:lineRule="auto"/>
        <w:jc w:val="both"/>
        <w:rPr>
          <w:color w:val="000000" w:themeColor="text1"/>
        </w:rPr>
      </w:pPr>
      <w:r w:rsidRPr="00E50A6C">
        <w:rPr>
          <w:b/>
          <w:bCs/>
          <w:color w:val="000000" w:themeColor="text1"/>
        </w:rPr>
        <w:t xml:space="preserve">Figure S4. </w:t>
      </w:r>
      <w:r w:rsidRPr="00E50A6C">
        <w:rPr>
          <w:b/>
          <w:bCs/>
          <w:i/>
          <w:iCs/>
          <w:color w:val="000000" w:themeColor="text1"/>
        </w:rPr>
        <w:t>AtERF103</w:t>
      </w:r>
      <w:r w:rsidRPr="00E50A6C">
        <w:rPr>
          <w:b/>
          <w:bCs/>
          <w:color w:val="000000" w:themeColor="text1"/>
        </w:rPr>
        <w:t xml:space="preserve"> Regulates </w:t>
      </w:r>
      <w:proofErr w:type="spellStart"/>
      <w:r w:rsidRPr="00E50A6C">
        <w:rPr>
          <w:b/>
          <w:bCs/>
          <w:color w:val="000000" w:themeColor="text1"/>
        </w:rPr>
        <w:t>Trichome</w:t>
      </w:r>
      <w:proofErr w:type="spellEnd"/>
      <w:r w:rsidRPr="00E50A6C">
        <w:rPr>
          <w:b/>
          <w:bCs/>
          <w:color w:val="000000" w:themeColor="text1"/>
        </w:rPr>
        <w:t xml:space="preserve"> Development in Different Organs in </w:t>
      </w:r>
      <w:r w:rsidRPr="00E50A6C">
        <w:rPr>
          <w:b/>
          <w:bCs/>
          <w:i/>
          <w:iCs/>
          <w:color w:val="000000" w:themeColor="text1"/>
        </w:rPr>
        <w:t>A. thaliana</w:t>
      </w:r>
      <w:r w:rsidRPr="00E50A6C">
        <w:rPr>
          <w:b/>
          <w:bCs/>
          <w:color w:val="000000" w:themeColor="text1"/>
        </w:rPr>
        <w:t xml:space="preserve"> under Standard Growth Conditions. (A–C)</w:t>
      </w:r>
      <w:r w:rsidRPr="00E50A6C">
        <w:rPr>
          <w:color w:val="000000" w:themeColor="text1"/>
        </w:rPr>
        <w:t xml:space="preserve"> </w:t>
      </w:r>
      <w:proofErr w:type="spellStart"/>
      <w:r w:rsidRPr="00E50A6C">
        <w:rPr>
          <w:color w:val="000000" w:themeColor="text1"/>
        </w:rPr>
        <w:t>Trichome</w:t>
      </w:r>
      <w:proofErr w:type="spellEnd"/>
      <w:r w:rsidRPr="00E50A6C">
        <w:rPr>
          <w:color w:val="000000" w:themeColor="text1"/>
        </w:rPr>
        <w:t xml:space="preserve"> visualization on leaf margin </w:t>
      </w:r>
      <w:r w:rsidRPr="00E50A6C">
        <w:rPr>
          <w:b/>
          <w:bCs/>
          <w:color w:val="000000" w:themeColor="text1"/>
        </w:rPr>
        <w:t>(A)</w:t>
      </w:r>
      <w:r w:rsidRPr="00E50A6C">
        <w:rPr>
          <w:color w:val="000000" w:themeColor="text1"/>
        </w:rPr>
        <w:t xml:space="preserve">, leaf petiole </w:t>
      </w:r>
      <w:r w:rsidRPr="00E50A6C">
        <w:rPr>
          <w:b/>
          <w:bCs/>
          <w:color w:val="000000" w:themeColor="text1"/>
        </w:rPr>
        <w:t>(B)</w:t>
      </w:r>
      <w:r w:rsidRPr="00E50A6C">
        <w:rPr>
          <w:color w:val="000000" w:themeColor="text1"/>
        </w:rPr>
        <w:t xml:space="preserve">, and the third and fourth leaves </w:t>
      </w:r>
      <w:r w:rsidRPr="00E50A6C">
        <w:rPr>
          <w:b/>
          <w:bCs/>
          <w:color w:val="000000" w:themeColor="text1"/>
        </w:rPr>
        <w:t>(C)</w:t>
      </w:r>
      <w:r w:rsidRPr="00E50A6C">
        <w:rPr>
          <w:color w:val="000000" w:themeColor="text1"/>
        </w:rPr>
        <w:t>. (</w:t>
      </w:r>
      <w:r w:rsidRPr="00E50A6C">
        <w:rPr>
          <w:b/>
          <w:bCs/>
          <w:color w:val="000000" w:themeColor="text1"/>
        </w:rPr>
        <w:t>D–F)</w:t>
      </w:r>
      <w:r w:rsidRPr="00E50A6C">
        <w:rPr>
          <w:color w:val="000000" w:themeColor="text1"/>
        </w:rPr>
        <w:t xml:space="preserve"> Quantitative analysis of </w:t>
      </w:r>
      <w:proofErr w:type="spellStart"/>
      <w:r w:rsidRPr="00E50A6C">
        <w:rPr>
          <w:color w:val="000000" w:themeColor="text1"/>
        </w:rPr>
        <w:t>trichome</w:t>
      </w:r>
      <w:proofErr w:type="spellEnd"/>
      <w:r w:rsidRPr="00E50A6C">
        <w:rPr>
          <w:color w:val="000000" w:themeColor="text1"/>
        </w:rPr>
        <w:t xml:space="preserve"> density across these regions. Data </w:t>
      </w:r>
      <w:proofErr w:type="gramStart"/>
      <w:r w:rsidRPr="00E50A6C">
        <w:rPr>
          <w:color w:val="000000" w:themeColor="text1"/>
        </w:rPr>
        <w:t>are presented</w:t>
      </w:r>
      <w:proofErr w:type="gramEnd"/>
      <w:r w:rsidRPr="00E50A6C">
        <w:rPr>
          <w:color w:val="000000" w:themeColor="text1"/>
        </w:rPr>
        <w:t xml:space="preserve"> </w:t>
      </w:r>
      <w:r w:rsidRPr="00E50A6C">
        <w:rPr>
          <w:color w:val="000000" w:themeColor="text1"/>
        </w:rPr>
        <w:lastRenderedPageBreak/>
        <w:t>as mean ± standard deviation (SD) from 10 biological replicates. Statistical significance was determined using post hoc multiple comparisons, with significance levels indicated as *</w:t>
      </w:r>
      <w:r w:rsidRPr="00E50A6C">
        <w:rPr>
          <w:i/>
          <w:iCs/>
          <w:color w:val="000000" w:themeColor="text1"/>
        </w:rPr>
        <w:t>P &lt; 0.05</w:t>
      </w:r>
      <w:r w:rsidRPr="00E50A6C">
        <w:rPr>
          <w:color w:val="000000" w:themeColor="text1"/>
        </w:rPr>
        <w:t>, **</w:t>
      </w:r>
      <w:r w:rsidRPr="00E50A6C">
        <w:rPr>
          <w:i/>
          <w:iCs/>
          <w:color w:val="000000" w:themeColor="text1"/>
        </w:rPr>
        <w:t>P &lt; 0.01</w:t>
      </w:r>
      <w:r w:rsidRPr="00E50A6C">
        <w:rPr>
          <w:color w:val="000000" w:themeColor="text1"/>
        </w:rPr>
        <w:t>, and ***</w:t>
      </w:r>
      <w:r w:rsidRPr="00E50A6C">
        <w:rPr>
          <w:i/>
          <w:iCs/>
          <w:color w:val="000000" w:themeColor="text1"/>
        </w:rPr>
        <w:t>P &lt; 0.001</w:t>
      </w:r>
      <w:r w:rsidRPr="00E50A6C">
        <w:rPr>
          <w:color w:val="000000" w:themeColor="text1"/>
        </w:rPr>
        <w:t>.</w:t>
      </w:r>
    </w:p>
    <w:p w:rsidR="0084085E" w:rsidRDefault="0084085E" w:rsidP="00D56ADA"/>
    <w:p w:rsidR="00F57303" w:rsidRDefault="0084085E" w:rsidP="00D56ADA">
      <w:r w:rsidRPr="0084085E">
        <w:rPr>
          <w:noProof/>
          <w:lang w:bidi="he-IL"/>
        </w:rPr>
        <w:drawing>
          <wp:inline distT="0" distB="0" distL="0" distR="0">
            <wp:extent cx="5943600" cy="4720185"/>
            <wp:effectExtent l="0" t="0" r="0" b="4445"/>
            <wp:docPr id="13" name="Picture 13" descr="E:\1desktop\2Under process\Arabidopsis\Manuscript data\Final MS data\Supply figure\Figure 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desktop\2Under process\Arabidopsis\Manuscript data\Final MS data\Supply figure\Figure S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85E" w:rsidRPr="00E50A6C" w:rsidRDefault="0084085E" w:rsidP="0084085E">
      <w:pPr>
        <w:spacing w:line="360" w:lineRule="auto"/>
        <w:jc w:val="both"/>
        <w:rPr>
          <w:color w:val="000000" w:themeColor="text1"/>
        </w:rPr>
      </w:pPr>
      <w:r w:rsidRPr="00E50A6C">
        <w:rPr>
          <w:b/>
          <w:bCs/>
          <w:color w:val="000000" w:themeColor="text1"/>
        </w:rPr>
        <w:t xml:space="preserve">Figure S5. </w:t>
      </w:r>
      <w:r w:rsidRPr="00677CB3">
        <w:rPr>
          <w:b/>
          <w:bCs/>
          <w:i/>
          <w:iCs/>
          <w:color w:val="000000" w:themeColor="text1"/>
        </w:rPr>
        <w:t>AtERF103</w:t>
      </w:r>
      <w:r w:rsidRPr="00677CB3">
        <w:rPr>
          <w:b/>
          <w:bCs/>
          <w:color w:val="000000" w:themeColor="text1"/>
        </w:rPr>
        <w:t xml:space="preserve"> Modulates Leaf Morphology and Internode Length.</w:t>
      </w:r>
      <w:r w:rsidRPr="00E50A6C">
        <w:rPr>
          <w:color w:val="000000" w:themeColor="text1"/>
        </w:rPr>
        <w:t xml:space="preserve"> (A) Illustration of Leaf morphology of all the three genotypes. (B) Visualization of internode length variations among the three genotypes. </w:t>
      </w:r>
    </w:p>
    <w:p w:rsidR="0084085E" w:rsidRDefault="0084085E" w:rsidP="00D56ADA"/>
    <w:p w:rsidR="00F57303" w:rsidRDefault="00F57303" w:rsidP="00F57303">
      <w:pPr>
        <w:jc w:val="center"/>
      </w:pPr>
      <w:r w:rsidRPr="00F57303">
        <w:rPr>
          <w:noProof/>
          <w:lang w:bidi="he-IL"/>
        </w:rPr>
        <w:lastRenderedPageBreak/>
        <w:drawing>
          <wp:inline distT="0" distB="0" distL="0" distR="0">
            <wp:extent cx="5511843" cy="4453659"/>
            <wp:effectExtent l="0" t="0" r="0" b="4445"/>
            <wp:docPr id="12" name="Picture 12" descr="E:\1desktop\2Under process\Arabidopsis\Manuscript data\Final MS data\Supply figure\Figure 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1desktop\2Under process\Arabidopsis\Manuscript data\Final MS data\Supply figure\Figure S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743" cy="44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85E" w:rsidRPr="00E50A6C" w:rsidRDefault="0084085E" w:rsidP="00C06227">
      <w:pPr>
        <w:spacing w:line="360" w:lineRule="auto"/>
        <w:jc w:val="both"/>
        <w:rPr>
          <w:color w:val="000000" w:themeColor="text1"/>
        </w:rPr>
      </w:pPr>
      <w:r w:rsidRPr="00E50A6C">
        <w:rPr>
          <w:b/>
          <w:bCs/>
          <w:color w:val="000000" w:themeColor="text1"/>
        </w:rPr>
        <w:t>Figure S6.</w:t>
      </w:r>
      <w:r w:rsidRPr="00E50A6C">
        <w:rPr>
          <w:color w:val="000000" w:themeColor="text1"/>
        </w:rPr>
        <w:t xml:space="preserve"> Schematic representation of the workflow for transgenic plant generation. </w:t>
      </w:r>
    </w:p>
    <w:p w:rsidR="0084085E" w:rsidRDefault="0084085E" w:rsidP="0084085E">
      <w:pPr>
        <w:spacing w:line="360" w:lineRule="auto"/>
        <w:jc w:val="both"/>
        <w:rPr>
          <w:b/>
          <w:bCs/>
          <w:color w:val="000000" w:themeColor="text1"/>
        </w:rPr>
      </w:pPr>
    </w:p>
    <w:p w:rsidR="00CE3F01" w:rsidRDefault="00CE3F01" w:rsidP="00B2168C"/>
    <w:sectPr w:rsidR="00CE3F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185"/>
    <w:rsid w:val="000055ED"/>
    <w:rsid w:val="000A057D"/>
    <w:rsid w:val="00140B56"/>
    <w:rsid w:val="0016071E"/>
    <w:rsid w:val="001E5ADE"/>
    <w:rsid w:val="00224B74"/>
    <w:rsid w:val="002667CD"/>
    <w:rsid w:val="00294559"/>
    <w:rsid w:val="002F4AFF"/>
    <w:rsid w:val="00370279"/>
    <w:rsid w:val="003809CD"/>
    <w:rsid w:val="00390ED4"/>
    <w:rsid w:val="003A0185"/>
    <w:rsid w:val="004777A4"/>
    <w:rsid w:val="004877E7"/>
    <w:rsid w:val="004A61B5"/>
    <w:rsid w:val="004B251A"/>
    <w:rsid w:val="004C05B2"/>
    <w:rsid w:val="004D284A"/>
    <w:rsid w:val="004D40E8"/>
    <w:rsid w:val="004D5F52"/>
    <w:rsid w:val="004F2A5D"/>
    <w:rsid w:val="00581EFC"/>
    <w:rsid w:val="005B4222"/>
    <w:rsid w:val="0060217B"/>
    <w:rsid w:val="006318B0"/>
    <w:rsid w:val="00677CB3"/>
    <w:rsid w:val="006C7AED"/>
    <w:rsid w:val="006E32E4"/>
    <w:rsid w:val="006F6EAF"/>
    <w:rsid w:val="00710C25"/>
    <w:rsid w:val="007159E1"/>
    <w:rsid w:val="007F59D5"/>
    <w:rsid w:val="0083506A"/>
    <w:rsid w:val="0084085E"/>
    <w:rsid w:val="00903707"/>
    <w:rsid w:val="00937747"/>
    <w:rsid w:val="009406D2"/>
    <w:rsid w:val="00973835"/>
    <w:rsid w:val="009A148F"/>
    <w:rsid w:val="00A14C29"/>
    <w:rsid w:val="00A267D6"/>
    <w:rsid w:val="00A5315A"/>
    <w:rsid w:val="00B151A0"/>
    <w:rsid w:val="00B2168C"/>
    <w:rsid w:val="00B64BFA"/>
    <w:rsid w:val="00BC348A"/>
    <w:rsid w:val="00C3246E"/>
    <w:rsid w:val="00C61B63"/>
    <w:rsid w:val="00CD7AD7"/>
    <w:rsid w:val="00CE3F01"/>
    <w:rsid w:val="00CE44AB"/>
    <w:rsid w:val="00D10039"/>
    <w:rsid w:val="00D416A7"/>
    <w:rsid w:val="00D56ADA"/>
    <w:rsid w:val="00DD03CE"/>
    <w:rsid w:val="00DD0A15"/>
    <w:rsid w:val="00E16C66"/>
    <w:rsid w:val="00E21D19"/>
    <w:rsid w:val="00E70AA4"/>
    <w:rsid w:val="00E94D42"/>
    <w:rsid w:val="00EB777F"/>
    <w:rsid w:val="00F57303"/>
    <w:rsid w:val="00F9419B"/>
    <w:rsid w:val="00FC7428"/>
    <w:rsid w:val="00FE6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230BAE-BF6E-4D86-A81B-AE4D7B430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3F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D7A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6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PCZONE</dc:creator>
  <cp:keywords/>
  <dc:description/>
  <cp:lastModifiedBy>PCZONE</cp:lastModifiedBy>
  <cp:revision>65</cp:revision>
  <dcterms:created xsi:type="dcterms:W3CDTF">2025-03-21T07:29:00Z</dcterms:created>
  <dcterms:modified xsi:type="dcterms:W3CDTF">2025-04-22T09:02:00Z</dcterms:modified>
</cp:coreProperties>
</file>