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7D2C6" w14:textId="77777777" w:rsidR="00A76BBB" w:rsidRPr="00B93DFF" w:rsidRDefault="00A76BBB" w:rsidP="00A76BBB">
      <w:pPr>
        <w:spacing w:line="276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B93DFF">
        <w:rPr>
          <w:rFonts w:ascii="Arial" w:eastAsia="Times New Roman" w:hAnsi="Arial" w:cs="Arial"/>
          <w:b/>
          <w:sz w:val="28"/>
          <w:szCs w:val="28"/>
        </w:rPr>
        <w:t>Supplementary</w:t>
      </w:r>
    </w:p>
    <w:p w14:paraId="518DE5F2" w14:textId="7C47B731" w:rsidR="00A76BBB" w:rsidRPr="00B93DFF" w:rsidRDefault="00B93DFF" w:rsidP="00B93DFF">
      <w:pPr>
        <w:rPr>
          <w:rFonts w:ascii="Arial" w:hAnsi="Arial" w:cs="Arial"/>
          <w:b/>
          <w:sz w:val="22"/>
          <w:szCs w:val="22"/>
        </w:rPr>
      </w:pPr>
      <w:r w:rsidRPr="00B93DFF">
        <w:rPr>
          <w:rFonts w:ascii="Arial" w:eastAsia="Times New Roman" w:hAnsi="Arial" w:cs="Arial"/>
          <w:b/>
          <w:sz w:val="22"/>
          <w:szCs w:val="22"/>
        </w:rPr>
        <w:t xml:space="preserve">Table </w:t>
      </w:r>
      <w:r>
        <w:rPr>
          <w:rFonts w:ascii="Arial" w:hAnsi="Arial" w:cs="Arial" w:hint="eastAsia"/>
          <w:b/>
          <w:sz w:val="22"/>
          <w:szCs w:val="22"/>
        </w:rPr>
        <w:t>S</w:t>
      </w:r>
      <w:r w:rsidRPr="00B93DFF">
        <w:rPr>
          <w:rFonts w:ascii="Arial" w:eastAsia="Times New Roman" w:hAnsi="Arial" w:cs="Arial"/>
          <w:b/>
          <w:sz w:val="22"/>
          <w:szCs w:val="22"/>
        </w:rPr>
        <w:t xml:space="preserve">1 | </w:t>
      </w:r>
      <w:r>
        <w:rPr>
          <w:rFonts w:ascii="Arial" w:hAnsi="Arial" w:cs="Arial" w:hint="eastAsia"/>
          <w:b/>
          <w:sz w:val="22"/>
          <w:szCs w:val="22"/>
        </w:rPr>
        <w:t>Information of DAMIP experiments used in this work.</w:t>
      </w:r>
    </w:p>
    <w:tbl>
      <w:tblPr>
        <w:tblStyle w:val="af3"/>
        <w:tblW w:w="977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1"/>
        <w:gridCol w:w="1202"/>
        <w:gridCol w:w="1134"/>
        <w:gridCol w:w="993"/>
        <w:gridCol w:w="850"/>
        <w:gridCol w:w="4536"/>
      </w:tblGrid>
      <w:tr w:rsidR="00A76BBB" w:rsidRPr="00B93DFF" w14:paraId="755D56B0" w14:textId="77777777" w:rsidTr="00BB5072">
        <w:trPr>
          <w:trHeight w:val="159"/>
        </w:trPr>
        <w:tc>
          <w:tcPr>
            <w:tcW w:w="1061" w:type="dxa"/>
            <w:vMerge w:val="restart"/>
          </w:tcPr>
          <w:p w14:paraId="4BBB63F5" w14:textId="77777777" w:rsidR="00A76BBB" w:rsidRPr="00B93DFF" w:rsidRDefault="00A76BBB" w:rsidP="00485CBC">
            <w:pPr>
              <w:spacing w:line="276" w:lineRule="auto"/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B93DFF">
              <w:rPr>
                <w:rFonts w:ascii="Arial" w:eastAsia="Times New Roman" w:hAnsi="Arial" w:cs="Arial"/>
                <w:bCs/>
                <w:sz w:val="22"/>
                <w:szCs w:val="22"/>
              </w:rPr>
              <w:t>CMIP6 models</w:t>
            </w:r>
          </w:p>
        </w:tc>
        <w:tc>
          <w:tcPr>
            <w:tcW w:w="1202" w:type="dxa"/>
            <w:vMerge w:val="restart"/>
          </w:tcPr>
          <w:p w14:paraId="6EF68F2F" w14:textId="77777777" w:rsidR="00A76BBB" w:rsidRPr="00B93DFF" w:rsidRDefault="00A76BBB" w:rsidP="00485CBC">
            <w:pPr>
              <w:spacing w:line="276" w:lineRule="auto"/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B93DFF">
              <w:rPr>
                <w:rFonts w:ascii="Arial" w:eastAsia="Times New Roman" w:hAnsi="Arial" w:cs="Arial"/>
                <w:bCs/>
                <w:sz w:val="20"/>
                <w:szCs w:val="20"/>
              </w:rPr>
              <w:t>Institution</w:t>
            </w:r>
          </w:p>
        </w:tc>
        <w:tc>
          <w:tcPr>
            <w:tcW w:w="2977" w:type="dxa"/>
            <w:gridSpan w:val="3"/>
          </w:tcPr>
          <w:p w14:paraId="03DFEE78" w14:textId="77777777" w:rsidR="00A76BBB" w:rsidRPr="00B93DFF" w:rsidRDefault="00A76BBB" w:rsidP="00485CBC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B93DFF">
              <w:rPr>
                <w:rFonts w:ascii="Arial" w:eastAsia="Times New Roman" w:hAnsi="Arial" w:cs="Arial"/>
                <w:bCs/>
                <w:sz w:val="22"/>
                <w:szCs w:val="22"/>
              </w:rPr>
              <w:t>Size of ensemble</w:t>
            </w:r>
          </w:p>
        </w:tc>
        <w:tc>
          <w:tcPr>
            <w:tcW w:w="4536" w:type="dxa"/>
            <w:vMerge w:val="restart"/>
          </w:tcPr>
          <w:p w14:paraId="40CC36C1" w14:textId="79885342" w:rsidR="00A76BBB" w:rsidRPr="003A7F44" w:rsidRDefault="00A76BBB" w:rsidP="00F27AD9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93DFF">
              <w:rPr>
                <w:rFonts w:ascii="Arial" w:eastAsia="Times New Roman" w:hAnsi="Arial" w:cs="Arial"/>
                <w:bCs/>
                <w:sz w:val="22"/>
                <w:szCs w:val="22"/>
              </w:rPr>
              <w:t>DAMIP References</w:t>
            </w:r>
            <w:r w:rsidR="003A7F44">
              <w:rPr>
                <w:rFonts w:ascii="Arial" w:hAnsi="Arial" w:cs="Arial" w:hint="eastAsia"/>
                <w:bCs/>
                <w:sz w:val="22"/>
                <w:szCs w:val="22"/>
              </w:rPr>
              <w:t xml:space="preserve"> and A</w:t>
            </w:r>
            <w:r w:rsidR="003A7F44">
              <w:rPr>
                <w:rFonts w:ascii="Arial" w:hAnsi="Arial" w:cs="Arial"/>
                <w:bCs/>
                <w:sz w:val="22"/>
                <w:szCs w:val="22"/>
              </w:rPr>
              <w:t>vailability</w:t>
            </w:r>
            <w:r w:rsidR="003A7F44">
              <w:rPr>
                <w:rFonts w:ascii="Arial" w:hAnsi="Arial" w:cs="Arial" w:hint="eastAsia"/>
                <w:bCs/>
                <w:sz w:val="22"/>
                <w:szCs w:val="22"/>
              </w:rPr>
              <w:t xml:space="preserve"> </w:t>
            </w:r>
          </w:p>
        </w:tc>
      </w:tr>
      <w:tr w:rsidR="00A76BBB" w:rsidRPr="00B93DFF" w14:paraId="3D016004" w14:textId="77777777" w:rsidTr="00BB5072">
        <w:trPr>
          <w:trHeight w:val="159"/>
        </w:trPr>
        <w:tc>
          <w:tcPr>
            <w:tcW w:w="1061" w:type="dxa"/>
            <w:vMerge/>
          </w:tcPr>
          <w:p w14:paraId="18D39035" w14:textId="77777777" w:rsidR="00A76BBB" w:rsidRPr="00B93DFF" w:rsidRDefault="00A76BBB" w:rsidP="00485CBC">
            <w:pPr>
              <w:spacing w:line="276" w:lineRule="auto"/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</w:tc>
        <w:tc>
          <w:tcPr>
            <w:tcW w:w="1202" w:type="dxa"/>
            <w:vMerge/>
          </w:tcPr>
          <w:p w14:paraId="074FF4E2" w14:textId="77777777" w:rsidR="00A76BBB" w:rsidRPr="00B93DFF" w:rsidRDefault="00A76BBB" w:rsidP="00485CBC">
            <w:pPr>
              <w:spacing w:line="276" w:lineRule="auto"/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21723B59" w14:textId="77777777" w:rsidR="00A76BBB" w:rsidRPr="00B93DFF" w:rsidRDefault="00A76BBB" w:rsidP="00485CBC">
            <w:pPr>
              <w:spacing w:line="276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B93DFF">
              <w:rPr>
                <w:rFonts w:ascii="Arial" w:eastAsia="Times New Roman" w:hAnsi="Arial" w:cs="Arial"/>
                <w:bCs/>
                <w:sz w:val="20"/>
                <w:szCs w:val="20"/>
              </w:rPr>
              <w:t>historical</w:t>
            </w:r>
          </w:p>
        </w:tc>
        <w:tc>
          <w:tcPr>
            <w:tcW w:w="993" w:type="dxa"/>
          </w:tcPr>
          <w:p w14:paraId="365B967B" w14:textId="77777777" w:rsidR="00A76BBB" w:rsidRPr="00B93DFF" w:rsidRDefault="00A76BBB" w:rsidP="00485CBC">
            <w:pPr>
              <w:spacing w:line="276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B93DFF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Aerosol-only </w:t>
            </w:r>
          </w:p>
        </w:tc>
        <w:tc>
          <w:tcPr>
            <w:tcW w:w="850" w:type="dxa"/>
          </w:tcPr>
          <w:p w14:paraId="72A8BBA8" w14:textId="77777777" w:rsidR="00A76BBB" w:rsidRPr="00B93DFF" w:rsidRDefault="00A76BBB" w:rsidP="00485CBC">
            <w:pPr>
              <w:spacing w:line="276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B93DFF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GHG-only </w:t>
            </w:r>
          </w:p>
        </w:tc>
        <w:tc>
          <w:tcPr>
            <w:tcW w:w="4536" w:type="dxa"/>
            <w:vMerge/>
          </w:tcPr>
          <w:p w14:paraId="4E34071A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</w:tc>
      </w:tr>
      <w:tr w:rsidR="00A76BBB" w:rsidRPr="00B93DFF" w14:paraId="166D418F" w14:textId="77777777" w:rsidTr="00BB5072">
        <w:tc>
          <w:tcPr>
            <w:tcW w:w="1061" w:type="dxa"/>
          </w:tcPr>
          <w:p w14:paraId="78CD3EAF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CESM2</w:t>
            </w:r>
          </w:p>
        </w:tc>
        <w:tc>
          <w:tcPr>
            <w:tcW w:w="1202" w:type="dxa"/>
          </w:tcPr>
          <w:p w14:paraId="74EAB97B" w14:textId="675FF4AE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NCAR</w:t>
            </w:r>
          </w:p>
        </w:tc>
        <w:tc>
          <w:tcPr>
            <w:tcW w:w="1134" w:type="dxa"/>
          </w:tcPr>
          <w:p w14:paraId="6BDA91E7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14:paraId="3B1C2C40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14:paraId="42DA6B4A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4536" w:type="dxa"/>
          </w:tcPr>
          <w:p w14:paraId="5052E021" w14:textId="77777777" w:rsidR="00A76BBB" w:rsidRPr="003A7F44" w:rsidRDefault="00A76BBB" w:rsidP="00A76BBB">
            <w:pPr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Danabasoglu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, Gokhan </w:t>
            </w:r>
            <w:r w:rsidRPr="003A7F4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(2023)</w:t>
            </w:r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.</w:t>
            </w:r>
            <w:r w:rsidRPr="003A7F44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</w:rPr>
              <w:t> IPCC DDC: NCAR CESM2 model output prepared for CMIP6 DAMIP</w:t>
            </w:r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. World Data Center for Climate (WDCC) at DKRZ. </w:t>
            </w:r>
            <w:hyperlink r:id="rId6" w:history="1">
              <w:r w:rsidRPr="003A7F44">
                <w:rPr>
                  <w:rStyle w:val="af2"/>
                  <w:rFonts w:ascii="Arial" w:eastAsia="Times New Roman" w:hAnsi="Arial" w:cs="Arial"/>
                  <w:bCs/>
                  <w:sz w:val="16"/>
                  <w:szCs w:val="16"/>
                </w:rPr>
                <w:t>https://doi.org/10.26050/WDCC/AR6.C6DANRCES</w:t>
              </w:r>
            </w:hyperlink>
          </w:p>
        </w:tc>
      </w:tr>
      <w:tr w:rsidR="00A76BBB" w:rsidRPr="00B93DFF" w14:paraId="4DCDECDD" w14:textId="77777777" w:rsidTr="00BB5072">
        <w:tc>
          <w:tcPr>
            <w:tcW w:w="1061" w:type="dxa"/>
          </w:tcPr>
          <w:p w14:paraId="7878D02E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GFDL-ESM4</w:t>
            </w:r>
          </w:p>
        </w:tc>
        <w:tc>
          <w:tcPr>
            <w:tcW w:w="1202" w:type="dxa"/>
          </w:tcPr>
          <w:p w14:paraId="4DD76E9E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NOAA-GFDL</w:t>
            </w:r>
          </w:p>
        </w:tc>
        <w:tc>
          <w:tcPr>
            <w:tcW w:w="1134" w:type="dxa"/>
          </w:tcPr>
          <w:p w14:paraId="5CBB919E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14:paraId="22CE3BA8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14:paraId="5CD36D07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4536" w:type="dxa"/>
          </w:tcPr>
          <w:p w14:paraId="360A8CF2" w14:textId="77777777" w:rsidR="00A76BBB" w:rsidRPr="003A7F44" w:rsidRDefault="00A76BBB" w:rsidP="00A76BBB">
            <w:pPr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Horowitz, Larry W.; John, Jasmin G.; Blanton, Chris; McHugh, Colleen; Radhakrishnan, Aparna; Rand, Kristopher;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Vahlenkamp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, Hans; Zadeh, Niki T.; Wilson,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Chandin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; Dunne, John P.;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Ploshay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, Jeffrey; Winton, Michael; Zeng, Yujin </w:t>
            </w:r>
            <w:r w:rsidRPr="003A7F4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(2023)</w:t>
            </w:r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.</w:t>
            </w:r>
            <w:r w:rsidRPr="003A7F44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</w:rPr>
              <w:t> IPCC DDC: NOAA-GFDL GFDL-ESM4 model output prepared for CMIP6 DAMIP</w:t>
            </w:r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. World Data Center for Climate (WDCC) at DKRZ. </w:t>
            </w:r>
            <w:hyperlink r:id="rId7" w:history="1">
              <w:r w:rsidRPr="003A7F44">
                <w:rPr>
                  <w:rStyle w:val="af2"/>
                  <w:rFonts w:ascii="Arial" w:eastAsia="Times New Roman" w:hAnsi="Arial" w:cs="Arial"/>
                  <w:bCs/>
                  <w:sz w:val="16"/>
                  <w:szCs w:val="16"/>
                </w:rPr>
                <w:t>https://doi.org/10.26050/WDCC/AR6.C6DANGGFD</w:t>
              </w:r>
            </w:hyperlink>
          </w:p>
        </w:tc>
      </w:tr>
      <w:tr w:rsidR="00A76BBB" w:rsidRPr="00B93DFF" w14:paraId="5A384828" w14:textId="77777777" w:rsidTr="00BB5072">
        <w:tc>
          <w:tcPr>
            <w:tcW w:w="1061" w:type="dxa"/>
          </w:tcPr>
          <w:p w14:paraId="7004C907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GFDL-CM4</w:t>
            </w:r>
          </w:p>
        </w:tc>
        <w:tc>
          <w:tcPr>
            <w:tcW w:w="1202" w:type="dxa"/>
          </w:tcPr>
          <w:p w14:paraId="02A0FD38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NOAA-GFDL</w:t>
            </w:r>
          </w:p>
        </w:tc>
        <w:tc>
          <w:tcPr>
            <w:tcW w:w="1134" w:type="dxa"/>
          </w:tcPr>
          <w:p w14:paraId="751F0191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14:paraId="418C08AC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14:paraId="343575BE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4536" w:type="dxa"/>
          </w:tcPr>
          <w:p w14:paraId="01F2C9E7" w14:textId="77777777" w:rsidR="00A76BBB" w:rsidRPr="003A7F44" w:rsidRDefault="00A76BBB" w:rsidP="00A76BBB">
            <w:pPr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Ploshay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, Jeffrey; Hurlin, William; John, Jasmin G; Blanton, Chris; McHugh, Colleen; Radhakrishnan, Aparna; Rand, Kristopher;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Vahlenkamp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, Hans; Zadeh, Niki T.; Wilson,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Chandin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; Paynter, David J; Winton, Michael; Zeng, Yujin; Knutson, Thomas </w:t>
            </w:r>
            <w:r w:rsidRPr="003A7F4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(2023)</w:t>
            </w:r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.</w:t>
            </w:r>
            <w:r w:rsidRPr="003A7F44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</w:rPr>
              <w:t> IPCC DDC: NOAA-GFDL GFDL-CM4 model output prepared for CMIP6 DAMIP</w:t>
            </w:r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. World Data Center for Climate (WDCC) at DKRZ. </w:t>
            </w:r>
            <w:hyperlink r:id="rId8" w:history="1">
              <w:r w:rsidRPr="003A7F44">
                <w:rPr>
                  <w:rStyle w:val="af2"/>
                  <w:rFonts w:ascii="Arial" w:eastAsia="Times New Roman" w:hAnsi="Arial" w:cs="Arial"/>
                  <w:bCs/>
                  <w:sz w:val="16"/>
                  <w:szCs w:val="16"/>
                </w:rPr>
                <w:t>https://doi.org/10.26050/WDCC/AR6.C6DANGGFL</w:t>
              </w:r>
            </w:hyperlink>
          </w:p>
        </w:tc>
      </w:tr>
      <w:tr w:rsidR="00A76BBB" w:rsidRPr="00B93DFF" w14:paraId="1FB85395" w14:textId="77777777" w:rsidTr="00BB5072">
        <w:tc>
          <w:tcPr>
            <w:tcW w:w="1061" w:type="dxa"/>
          </w:tcPr>
          <w:p w14:paraId="3C350AF0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GISS-E2-1-G</w:t>
            </w:r>
          </w:p>
        </w:tc>
        <w:tc>
          <w:tcPr>
            <w:tcW w:w="1202" w:type="dxa"/>
          </w:tcPr>
          <w:p w14:paraId="59F172F3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NASA-GISS</w:t>
            </w:r>
          </w:p>
        </w:tc>
        <w:tc>
          <w:tcPr>
            <w:tcW w:w="1134" w:type="dxa"/>
          </w:tcPr>
          <w:p w14:paraId="1ED3C559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14:paraId="3D469E7B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14:paraId="593AA288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4536" w:type="dxa"/>
          </w:tcPr>
          <w:p w14:paraId="397A310B" w14:textId="77777777" w:rsidR="00A76BBB" w:rsidRPr="003A7F44" w:rsidRDefault="00A76BBB" w:rsidP="00A76BBB">
            <w:pPr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NASA Goddard Institute for Space Studies (NASA/GISS) </w:t>
            </w:r>
            <w:r w:rsidRPr="003A7F4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(2023)</w:t>
            </w:r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.</w:t>
            </w:r>
            <w:r w:rsidRPr="003A7F44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</w:rPr>
              <w:t> IPCC DDC: NASA-GISS GISS-E2.1G model output prepared for CMIP6 DAMIP</w:t>
            </w:r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. World Data Center for Climate (WDCC) at DKRZ. </w:t>
            </w:r>
            <w:hyperlink r:id="rId9" w:history="1">
              <w:r w:rsidRPr="003A7F44">
                <w:rPr>
                  <w:rStyle w:val="af2"/>
                  <w:rFonts w:ascii="Arial" w:eastAsia="Times New Roman" w:hAnsi="Arial" w:cs="Arial"/>
                  <w:bCs/>
                  <w:sz w:val="16"/>
                  <w:szCs w:val="16"/>
                </w:rPr>
                <w:t>https://doi.org/10.26050/WDCC/AR6.C6DAGIGE1</w:t>
              </w:r>
            </w:hyperlink>
          </w:p>
        </w:tc>
      </w:tr>
      <w:tr w:rsidR="00A76BBB" w:rsidRPr="00B93DFF" w14:paraId="4B74FB31" w14:textId="77777777" w:rsidTr="00BB5072">
        <w:tc>
          <w:tcPr>
            <w:tcW w:w="1061" w:type="dxa"/>
          </w:tcPr>
          <w:p w14:paraId="7D6B33C5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HadGEM3-GC31-LL</w:t>
            </w:r>
          </w:p>
        </w:tc>
        <w:tc>
          <w:tcPr>
            <w:tcW w:w="1202" w:type="dxa"/>
          </w:tcPr>
          <w:p w14:paraId="14AE190F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MOHC</w:t>
            </w:r>
          </w:p>
        </w:tc>
        <w:tc>
          <w:tcPr>
            <w:tcW w:w="1134" w:type="dxa"/>
          </w:tcPr>
          <w:p w14:paraId="76041E1A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14:paraId="1703BA7E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14:paraId="05162EBF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4536" w:type="dxa"/>
          </w:tcPr>
          <w:p w14:paraId="3F0C06FD" w14:textId="77777777" w:rsidR="00A76BBB" w:rsidRPr="003A7F44" w:rsidRDefault="00A76BBB" w:rsidP="00A76BBB">
            <w:pPr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Jones, Gareth </w:t>
            </w:r>
            <w:r w:rsidRPr="003A7F4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(2023)</w:t>
            </w:r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.</w:t>
            </w:r>
            <w:r w:rsidRPr="003A7F44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</w:rPr>
              <w:t> IPCC DDC: MOHC HadGEM3-GC31-LL model output prepared for CMIP6 DAMIP</w:t>
            </w:r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. World Data Center for Climate (WDCC) at DKRZ. </w:t>
            </w:r>
            <w:hyperlink r:id="rId10" w:history="1">
              <w:r w:rsidRPr="003A7F44">
                <w:rPr>
                  <w:rStyle w:val="af2"/>
                  <w:rFonts w:ascii="Arial" w:eastAsia="Times New Roman" w:hAnsi="Arial" w:cs="Arial"/>
                  <w:bCs/>
                  <w:sz w:val="16"/>
                  <w:szCs w:val="16"/>
                </w:rPr>
                <w:t>https://doi.org/10.26050/WDCC/AR6.C6DAMOHGL</w:t>
              </w:r>
            </w:hyperlink>
          </w:p>
        </w:tc>
      </w:tr>
      <w:tr w:rsidR="00A76BBB" w:rsidRPr="00B93DFF" w14:paraId="32D95E78" w14:textId="77777777" w:rsidTr="00BB5072">
        <w:tc>
          <w:tcPr>
            <w:tcW w:w="1061" w:type="dxa"/>
          </w:tcPr>
          <w:p w14:paraId="61D55420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IPSL-CM6A-LR</w:t>
            </w:r>
          </w:p>
        </w:tc>
        <w:tc>
          <w:tcPr>
            <w:tcW w:w="1202" w:type="dxa"/>
          </w:tcPr>
          <w:p w14:paraId="50093AD9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IPSL</w:t>
            </w:r>
          </w:p>
        </w:tc>
        <w:tc>
          <w:tcPr>
            <w:tcW w:w="1134" w:type="dxa"/>
          </w:tcPr>
          <w:p w14:paraId="0D236DE7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14:paraId="233BECF1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14:paraId="4CFDB1F7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4536" w:type="dxa"/>
          </w:tcPr>
          <w:p w14:paraId="3BA13775" w14:textId="77777777" w:rsidR="00A76BBB" w:rsidRPr="003A7F44" w:rsidRDefault="00A76BBB" w:rsidP="00A76BBB">
            <w:pPr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Boucher, Olivier; Denvil, Sébastien; Levavasseur, Guillaume;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Cozic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, Anne;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Caubel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, Arnaud;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Foujols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, Marie-Alice;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Meurdesoif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, Yann; Gastineau, Guillaume (2023). IPSL IPSL-CM6A-LR model output prepared for CMIP6 DAMIP. World Data Center for Climate (WDCC) at DKRZ.</w:t>
            </w:r>
          </w:p>
        </w:tc>
      </w:tr>
      <w:tr w:rsidR="00A76BBB" w:rsidRPr="00B93DFF" w14:paraId="437E1F79" w14:textId="77777777" w:rsidTr="00BB5072">
        <w:tc>
          <w:tcPr>
            <w:tcW w:w="1061" w:type="dxa"/>
          </w:tcPr>
          <w:p w14:paraId="5809E8B3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MRI-ESM2-0</w:t>
            </w:r>
          </w:p>
        </w:tc>
        <w:tc>
          <w:tcPr>
            <w:tcW w:w="1202" w:type="dxa"/>
          </w:tcPr>
          <w:p w14:paraId="0F310355" w14:textId="713EF619" w:rsidR="00A76BBB" w:rsidRPr="00B93DFF" w:rsidRDefault="00BB5072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B5072">
              <w:rPr>
                <w:rFonts w:ascii="Arial" w:eastAsia="Times New Roman" w:hAnsi="Arial" w:cs="Arial"/>
                <w:bCs/>
                <w:sz w:val="18"/>
                <w:szCs w:val="18"/>
              </w:rPr>
              <w:t>MRI</w:t>
            </w:r>
          </w:p>
        </w:tc>
        <w:tc>
          <w:tcPr>
            <w:tcW w:w="1134" w:type="dxa"/>
          </w:tcPr>
          <w:p w14:paraId="6659815C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14:paraId="12C48A14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14:paraId="18F1EB13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4536" w:type="dxa"/>
          </w:tcPr>
          <w:p w14:paraId="13D3E829" w14:textId="77777777" w:rsidR="00A76BBB" w:rsidRPr="003A7F44" w:rsidRDefault="00A76BBB" w:rsidP="00A76BBB">
            <w:pPr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Yukimoto, Seiji; Koshiro, Tsuyoshi; Kawai, Hideaki; Oshima, Naga; Yoshida, Kohei; Urakawa, Shogo;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Tsujino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, Hiroyuki; Deushi, Makoto; Tanaka,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Taichu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; Hosaka, Masahiro; Yoshimura, Hiromasa; Shindo, Eiki; Mizuta, Ryo; Ishii, Masayoshi; Obata, Atsushi; Adachi, Yukimasa </w:t>
            </w:r>
            <w:r w:rsidRPr="003A7F4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(2023)</w:t>
            </w:r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.</w:t>
            </w:r>
            <w:r w:rsidRPr="003A7F44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</w:rPr>
              <w:t> IPCC DDC: MRI MRI-ESM2.0 model output prepared for CMIP6 DAMIP</w:t>
            </w:r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. World Data Center for Climate (WDCC) at DKRZ. </w:t>
            </w:r>
            <w:hyperlink r:id="rId11" w:history="1">
              <w:r w:rsidRPr="003A7F44">
                <w:rPr>
                  <w:rStyle w:val="af2"/>
                  <w:rFonts w:ascii="Arial" w:eastAsia="Times New Roman" w:hAnsi="Arial" w:cs="Arial"/>
                  <w:bCs/>
                  <w:sz w:val="16"/>
                  <w:szCs w:val="16"/>
                </w:rPr>
                <w:t>https://doi.org/10.26050/WDCC/AR6.C6DAMRME0</w:t>
              </w:r>
            </w:hyperlink>
          </w:p>
        </w:tc>
      </w:tr>
      <w:tr w:rsidR="00A76BBB" w:rsidRPr="00B93DFF" w14:paraId="310A0B1F" w14:textId="77777777" w:rsidTr="00BB5072">
        <w:tc>
          <w:tcPr>
            <w:tcW w:w="1061" w:type="dxa"/>
          </w:tcPr>
          <w:p w14:paraId="588A2FBC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NorESM2-LM</w:t>
            </w:r>
          </w:p>
        </w:tc>
        <w:tc>
          <w:tcPr>
            <w:tcW w:w="1202" w:type="dxa"/>
          </w:tcPr>
          <w:p w14:paraId="485623C7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NCC</w:t>
            </w:r>
          </w:p>
        </w:tc>
        <w:tc>
          <w:tcPr>
            <w:tcW w:w="1134" w:type="dxa"/>
          </w:tcPr>
          <w:p w14:paraId="2BA75306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14:paraId="4D28DCD4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14:paraId="33AC8E14" w14:textId="77777777" w:rsidR="00A76BBB" w:rsidRPr="00B93DFF" w:rsidRDefault="00A76BBB" w:rsidP="00F27AD9">
            <w:pPr>
              <w:spacing w:line="360" w:lineRule="auto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B93DFF">
              <w:rPr>
                <w:rFonts w:ascii="Arial" w:eastAsia="Times New Roman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4536" w:type="dxa"/>
          </w:tcPr>
          <w:p w14:paraId="7DD35FAA" w14:textId="77777777" w:rsidR="00A76BBB" w:rsidRPr="003A7F44" w:rsidRDefault="00A76BBB" w:rsidP="00A76BBB">
            <w:pPr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Seland, Øyvind; Bentsen, Mats;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Oliviè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, Dirk Jan Leo;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Toniazzo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, Thomas; Gjermundsen, Ada; Graff, Lise Seland; Debernard, Jens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Boldingh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; Gupta, Alok Kumar; He,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Yanchun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;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Kirkevåg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, Alf; Schwinger, Jörg;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Tjiputra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, Jerry; Aas, Kjetil Schanke; Bethke, Ingo; Fan,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Yuanchao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;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Griesfeller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, Jan; Grini, Alf; Guo,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Chuncheng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;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Ilicak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, Mehmet; Karset, Inger Helene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Hafsahl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; Landgren, Oskar Andreas;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Liakka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, Johan; Moseid,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Kine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Onsum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; Nummelin, Aleksi;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Spensberger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, Clemens; Tang, Hui; Zhang, </w:t>
            </w:r>
            <w:proofErr w:type="spellStart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Zhongshi</w:t>
            </w:r>
            <w:proofErr w:type="spellEnd"/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; Heinze, Christoph; Iversen, Trond; Schulz, Michael </w:t>
            </w:r>
            <w:r w:rsidRPr="003A7F4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(2023)</w:t>
            </w:r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.</w:t>
            </w:r>
            <w:r w:rsidRPr="003A7F44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</w:rPr>
              <w:t> IPCC DDC: NCC NorESM2-LM model output prepared for CMIP6 DAMIP</w:t>
            </w:r>
            <w:r w:rsidRPr="003A7F44">
              <w:rPr>
                <w:rFonts w:ascii="Arial" w:eastAsia="Times New Roman" w:hAnsi="Arial" w:cs="Arial"/>
                <w:bCs/>
                <w:sz w:val="16"/>
                <w:szCs w:val="16"/>
              </w:rPr>
              <w:t>. World Data Center for Climate (WDCC) at DKRZ. </w:t>
            </w:r>
            <w:hyperlink r:id="rId12" w:history="1">
              <w:r w:rsidRPr="003A7F44">
                <w:rPr>
                  <w:rStyle w:val="af2"/>
                  <w:rFonts w:ascii="Arial" w:eastAsia="Times New Roman" w:hAnsi="Arial" w:cs="Arial"/>
                  <w:bCs/>
                  <w:sz w:val="16"/>
                  <w:szCs w:val="16"/>
                </w:rPr>
                <w:t>https://doi.org/10.26050/WDCC/AR6.C6DANCCNL</w:t>
              </w:r>
            </w:hyperlink>
          </w:p>
        </w:tc>
      </w:tr>
    </w:tbl>
    <w:p w14:paraId="69598298" w14:textId="77777777" w:rsidR="00A76BBB" w:rsidRPr="00B93DFF" w:rsidRDefault="00A76BBB" w:rsidP="00A76BBB">
      <w:pPr>
        <w:rPr>
          <w:rFonts w:ascii="Arial" w:eastAsia="Times New Roman" w:hAnsi="Arial" w:cs="Arial"/>
          <w:b/>
          <w:sz w:val="22"/>
          <w:szCs w:val="22"/>
        </w:rPr>
      </w:pPr>
    </w:p>
    <w:p w14:paraId="29F3F55C" w14:textId="77777777" w:rsidR="00A76BBB" w:rsidRPr="00B93DFF" w:rsidRDefault="00A76BBB" w:rsidP="00A76BBB">
      <w:pPr>
        <w:spacing w:line="276" w:lineRule="auto"/>
        <w:jc w:val="center"/>
        <w:rPr>
          <w:rFonts w:ascii="Arial" w:eastAsia="Times New Roman" w:hAnsi="Arial" w:cs="Arial"/>
          <w:b/>
          <w:sz w:val="22"/>
          <w:szCs w:val="22"/>
        </w:rPr>
      </w:pPr>
    </w:p>
    <w:p w14:paraId="0F1892BB" w14:textId="77777777" w:rsidR="00A76BBB" w:rsidRPr="00B93DFF" w:rsidRDefault="00A76BBB" w:rsidP="00A76BBB">
      <w:pPr>
        <w:spacing w:line="276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B93DFF">
        <w:rPr>
          <w:rFonts w:ascii="Arial" w:eastAsia="Times New Roman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2586D2F4" wp14:editId="29F80F61">
            <wp:extent cx="5913120" cy="5976620"/>
            <wp:effectExtent l="0" t="0" r="0" b="5080"/>
            <wp:docPr id="2081796752" name="image4.png" descr="日历&#10;&#10;AI 生成的内容可能不正确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96752" name="image4.png" descr="日历&#10;&#10;AI 生成的内容可能不正确。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3611" cy="5977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C1CE46" w14:textId="77777777" w:rsidR="00A76BBB" w:rsidRPr="009F23D8" w:rsidRDefault="00A76BBB" w:rsidP="00A76BBB">
      <w:pPr>
        <w:spacing w:after="240" w:line="276" w:lineRule="auto"/>
        <w:rPr>
          <w:rFonts w:ascii="Arial" w:eastAsia="Arial" w:hAnsi="Arial" w:cs="Arial"/>
          <w:sz w:val="22"/>
          <w:szCs w:val="22"/>
        </w:rPr>
      </w:pPr>
      <w:bookmarkStart w:id="0" w:name="bookmark=id.s28r7we1wglv" w:colFirst="0" w:colLast="0"/>
      <w:bookmarkEnd w:id="0"/>
      <w:r w:rsidRPr="009F23D8">
        <w:rPr>
          <w:rFonts w:ascii="Arial" w:eastAsia="Arial" w:hAnsi="Arial" w:cs="Arial"/>
          <w:b/>
          <w:sz w:val="22"/>
          <w:szCs w:val="22"/>
        </w:rPr>
        <w:t>Fig. S1 | The correlations between historical</w:t>
      </w:r>
      <w:r w:rsidRPr="009F23D8">
        <w:rPr>
          <w:rFonts w:ascii="Arial" w:eastAsia="Arial" w:hAnsi="Arial" w:cs="Arial"/>
          <w:sz w:val="22"/>
          <w:szCs w:val="22"/>
        </w:rPr>
        <w:t xml:space="preserve"> </w:t>
      </w:r>
      <w:r w:rsidRPr="009F23D8">
        <w:rPr>
          <w:rFonts w:ascii="Arial" w:eastAsia="Arial" w:hAnsi="Arial" w:cs="Arial"/>
          <w:b/>
          <w:sz w:val="22"/>
          <w:szCs w:val="22"/>
        </w:rPr>
        <w:t>hydrological, energetic, and circulation changes (1970–2014). a–b,</w:t>
      </w:r>
      <w:r w:rsidRPr="009F23D8">
        <w:rPr>
          <w:rFonts w:ascii="Arial" w:eastAsia="Arial" w:hAnsi="Arial" w:cs="Arial"/>
          <w:sz w:val="22"/>
          <w:szCs w:val="22"/>
        </w:rPr>
        <w:t xml:space="preserve"> Same as Fig. 1a–</w:t>
      </w:r>
      <w:proofErr w:type="gramStart"/>
      <w:r w:rsidRPr="009F23D8">
        <w:rPr>
          <w:rFonts w:ascii="Arial" w:eastAsia="Arial" w:hAnsi="Arial" w:cs="Arial"/>
          <w:sz w:val="22"/>
          <w:szCs w:val="22"/>
        </w:rPr>
        <w:t>b, but</w:t>
      </w:r>
      <w:proofErr w:type="gramEnd"/>
      <w:r w:rsidRPr="009F23D8">
        <w:rPr>
          <w:rFonts w:ascii="Arial" w:eastAsia="Arial" w:hAnsi="Arial" w:cs="Arial"/>
          <w:sz w:val="22"/>
          <w:szCs w:val="22"/>
        </w:rPr>
        <w:t xml:space="preserve"> based on CMIP6 aerosol-only simulations. </w:t>
      </w:r>
      <w:r w:rsidRPr="009F23D8">
        <w:rPr>
          <w:rFonts w:ascii="Arial" w:eastAsia="Arial" w:hAnsi="Arial" w:cs="Arial"/>
          <w:b/>
          <w:sz w:val="22"/>
          <w:szCs w:val="22"/>
        </w:rPr>
        <w:t xml:space="preserve">c–d, </w:t>
      </w:r>
      <w:r w:rsidRPr="009F23D8">
        <w:rPr>
          <w:rFonts w:ascii="Arial" w:eastAsia="Arial" w:hAnsi="Arial" w:cs="Arial"/>
          <w:sz w:val="22"/>
          <w:szCs w:val="22"/>
        </w:rPr>
        <w:t xml:space="preserve">based on CMIP6 GHG-only simulations; Light-blue dots cover </w:t>
      </w:r>
      <w:proofErr w:type="spellStart"/>
      <w:r w:rsidRPr="009F23D8">
        <w:rPr>
          <w:rFonts w:ascii="Arial" w:eastAsia="Arial" w:hAnsi="Arial" w:cs="Arial"/>
          <w:sz w:val="22"/>
          <w:szCs w:val="22"/>
        </w:rPr>
        <w:t>gridboxes</w:t>
      </w:r>
      <w:proofErr w:type="spellEnd"/>
      <w:r w:rsidRPr="009F23D8">
        <w:rPr>
          <w:rFonts w:ascii="Arial" w:eastAsia="Arial" w:hAnsi="Arial" w:cs="Arial"/>
          <w:sz w:val="22"/>
          <w:szCs w:val="22"/>
        </w:rPr>
        <w:t xml:space="preserve"> where linear correlations larger than 0.6 in 7 out of 8 models. </w:t>
      </w:r>
      <w:r w:rsidRPr="009F23D8">
        <w:rPr>
          <w:rFonts w:ascii="Arial" w:eastAsia="Arial" w:hAnsi="Arial" w:cs="Arial"/>
          <w:b/>
          <w:sz w:val="22"/>
          <w:szCs w:val="22"/>
        </w:rPr>
        <w:t xml:space="preserve">e–h, </w:t>
      </w:r>
      <w:r w:rsidRPr="009F23D8">
        <w:rPr>
          <w:rFonts w:ascii="Arial" w:eastAsia="Arial" w:hAnsi="Arial" w:cs="Arial"/>
          <w:sz w:val="22"/>
          <w:szCs w:val="22"/>
        </w:rPr>
        <w:t xml:space="preserve">Pearson linear correlations between annual mean </w:t>
      </w:r>
      <w:r w:rsidRPr="009F23D8">
        <w:rPr>
          <w:rFonts w:ascii="Arial" w:eastAsia="Arial" w:hAnsi="Arial" w:cs="Arial"/>
          <w:i/>
          <w:sz w:val="22"/>
          <w:szCs w:val="22"/>
        </w:rPr>
        <w:t>δP</w:t>
      </w:r>
      <w:r w:rsidRPr="009F23D8">
        <w:rPr>
          <w:rFonts w:ascii="Arial" w:eastAsia="Arial" w:hAnsi="Arial" w:cs="Arial"/>
          <w:sz w:val="22"/>
          <w:szCs w:val="22"/>
        </w:rPr>
        <w:t xml:space="preserve"> and </w:t>
      </w:r>
      <w:r w:rsidRPr="009F23D8">
        <w:rPr>
          <w:rFonts w:ascii="Arial" w:eastAsia="Arial" w:hAnsi="Arial" w:cs="Arial"/>
          <w:i/>
          <w:sz w:val="22"/>
          <w:szCs w:val="22"/>
        </w:rPr>
        <w:t>δH,</w:t>
      </w:r>
      <w:r w:rsidRPr="009F23D8">
        <w:rPr>
          <w:rFonts w:ascii="Arial" w:eastAsia="Arial" w:hAnsi="Arial" w:cs="Arial"/>
          <w:sz w:val="22"/>
          <w:szCs w:val="22"/>
        </w:rPr>
        <w:t xml:space="preserve"> from ERA5 reanalysis (</w:t>
      </w:r>
      <w:r w:rsidRPr="009F23D8">
        <w:rPr>
          <w:rFonts w:ascii="Arial" w:eastAsia="Arial" w:hAnsi="Arial" w:cs="Arial"/>
          <w:b/>
          <w:sz w:val="22"/>
          <w:szCs w:val="22"/>
        </w:rPr>
        <w:t>e</w:t>
      </w:r>
      <w:r w:rsidRPr="009F23D8">
        <w:rPr>
          <w:rFonts w:ascii="Arial" w:eastAsia="Arial" w:hAnsi="Arial" w:cs="Arial"/>
          <w:sz w:val="22"/>
          <w:szCs w:val="22"/>
        </w:rPr>
        <w:t>), CMIP6 historical all-forcing (</w:t>
      </w:r>
      <w:r w:rsidRPr="009F23D8">
        <w:rPr>
          <w:rFonts w:ascii="Arial" w:eastAsia="Arial" w:hAnsi="Arial" w:cs="Arial"/>
          <w:b/>
          <w:sz w:val="22"/>
          <w:szCs w:val="22"/>
        </w:rPr>
        <w:t>f</w:t>
      </w:r>
      <w:r w:rsidRPr="009F23D8">
        <w:rPr>
          <w:rFonts w:ascii="Arial" w:eastAsia="Arial" w:hAnsi="Arial" w:cs="Arial"/>
          <w:sz w:val="22"/>
          <w:szCs w:val="22"/>
        </w:rPr>
        <w:t>), aerosol-only (</w:t>
      </w:r>
      <w:r w:rsidRPr="009F23D8">
        <w:rPr>
          <w:rFonts w:ascii="Arial" w:eastAsia="Arial" w:hAnsi="Arial" w:cs="Arial"/>
          <w:b/>
          <w:sz w:val="22"/>
          <w:szCs w:val="22"/>
        </w:rPr>
        <w:t>g</w:t>
      </w:r>
      <w:r w:rsidRPr="009F23D8">
        <w:rPr>
          <w:rFonts w:ascii="Arial" w:eastAsia="Arial" w:hAnsi="Arial" w:cs="Arial"/>
          <w:sz w:val="22"/>
          <w:szCs w:val="22"/>
        </w:rPr>
        <w:t>), and GHG-only (</w:t>
      </w:r>
      <w:r w:rsidRPr="009F23D8">
        <w:rPr>
          <w:rFonts w:ascii="Arial" w:eastAsia="Arial" w:hAnsi="Arial" w:cs="Arial"/>
          <w:b/>
          <w:sz w:val="22"/>
          <w:szCs w:val="22"/>
        </w:rPr>
        <w:t>h</w:t>
      </w:r>
      <w:r w:rsidRPr="009F23D8">
        <w:rPr>
          <w:rFonts w:ascii="Arial" w:eastAsia="Arial" w:hAnsi="Arial" w:cs="Arial"/>
          <w:sz w:val="22"/>
          <w:szCs w:val="22"/>
        </w:rPr>
        <w:t>) simulations.</w:t>
      </w:r>
    </w:p>
    <w:p w14:paraId="72133210" w14:textId="77777777" w:rsidR="00A76BBB" w:rsidRPr="009F23D8" w:rsidRDefault="00A76BBB" w:rsidP="00A76BBB">
      <w:pPr>
        <w:spacing w:line="276" w:lineRule="auto"/>
        <w:rPr>
          <w:rFonts w:ascii="Arial" w:eastAsia="Times New Roman" w:hAnsi="Arial" w:cs="Arial"/>
          <w:b/>
          <w:sz w:val="22"/>
          <w:szCs w:val="22"/>
        </w:rPr>
      </w:pPr>
    </w:p>
    <w:p w14:paraId="65747976" w14:textId="31F0F43A" w:rsidR="00A76BBB" w:rsidRPr="009F23D8" w:rsidRDefault="00A76BBB" w:rsidP="00A76BBB">
      <w:pPr>
        <w:spacing w:line="276" w:lineRule="auto"/>
        <w:jc w:val="center"/>
        <w:rPr>
          <w:rFonts w:ascii="Arial" w:eastAsia="Times New Roman" w:hAnsi="Arial" w:cs="Arial"/>
          <w:b/>
          <w:sz w:val="22"/>
          <w:szCs w:val="22"/>
        </w:rPr>
      </w:pPr>
    </w:p>
    <w:p w14:paraId="5E8ABC69" w14:textId="34F4E48E" w:rsidR="00E87AEC" w:rsidRPr="009F23D8" w:rsidRDefault="00E87AEC" w:rsidP="00A76BBB">
      <w:pPr>
        <w:spacing w:line="276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9F23D8">
        <w:rPr>
          <w:rFonts w:ascii="Arial" w:eastAsia="Times New Roman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09AC4C65" wp14:editId="5CAA0142">
            <wp:extent cx="5995028" cy="4360545"/>
            <wp:effectExtent l="0" t="0" r="6350" b="1905"/>
            <wp:docPr id="19348657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680" cy="436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48234" w14:textId="4EC9AC14" w:rsidR="00A76BBB" w:rsidRPr="009F23D8" w:rsidRDefault="00A76BBB" w:rsidP="00A76BBB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 w:rsidRPr="009F23D8">
        <w:rPr>
          <w:rFonts w:ascii="Arial" w:eastAsia="Arial" w:hAnsi="Arial" w:cs="Arial"/>
          <w:b/>
          <w:sz w:val="22"/>
          <w:szCs w:val="22"/>
        </w:rPr>
        <w:t xml:space="preserve">Fig. S2 | The spatial distributions of the standard deviation (a–c) of </w:t>
      </w:r>
      <w:r w:rsidRPr="009F23D8">
        <w:rPr>
          <w:rFonts w:ascii="Arial" w:eastAsia="Arial" w:hAnsi="Arial" w:cs="Arial"/>
          <w:b/>
          <w:i/>
          <w:sz w:val="22"/>
          <w:szCs w:val="22"/>
        </w:rPr>
        <w:t>δ</w:t>
      </w:r>
      <w:r w:rsidRPr="009F23D8">
        <w:rPr>
          <w:rFonts w:ascii="Arial" w:eastAsia="Arial" w:hAnsi="Arial" w:cs="Arial"/>
          <w:b/>
          <w:sz w:val="22"/>
          <w:szCs w:val="22"/>
        </w:rPr>
        <w:t xml:space="preserve">H and </w:t>
      </w:r>
      <w:r w:rsidRPr="009F23D8">
        <w:rPr>
          <w:rFonts w:ascii="Arial" w:eastAsia="Arial" w:hAnsi="Arial" w:cs="Arial"/>
          <w:b/>
          <w:i/>
          <w:sz w:val="22"/>
          <w:szCs w:val="22"/>
        </w:rPr>
        <w:t>δ</w:t>
      </w:r>
      <w:r w:rsidRPr="009F23D8">
        <w:rPr>
          <w:rFonts w:ascii="Arial" w:eastAsia="Arial" w:hAnsi="Arial" w:cs="Arial"/>
          <w:b/>
          <w:sz w:val="22"/>
          <w:szCs w:val="22"/>
        </w:rPr>
        <w:t>R</w:t>
      </w:r>
      <w:r w:rsidRPr="009F23D8">
        <w:rPr>
          <w:rFonts w:ascii="Arial" w:eastAsia="Arial" w:hAnsi="Arial" w:cs="Arial"/>
          <w:b/>
          <w:sz w:val="22"/>
          <w:szCs w:val="22"/>
          <w:vertAlign w:val="subscript"/>
        </w:rPr>
        <w:t>TOA</w:t>
      </w:r>
      <w:r w:rsidRPr="009F23D8">
        <w:rPr>
          <w:rFonts w:ascii="Arial" w:eastAsia="Arial" w:hAnsi="Arial" w:cs="Arial"/>
          <w:b/>
          <w:sz w:val="22"/>
          <w:szCs w:val="22"/>
        </w:rPr>
        <w:t xml:space="preserve"> (d–f) in response to radiative forcings</w:t>
      </w:r>
      <w:r w:rsidRPr="009F23D8">
        <w:rPr>
          <w:rFonts w:ascii="Arial" w:eastAsia="Arial" w:hAnsi="Arial" w:cs="Arial"/>
          <w:sz w:val="22"/>
          <w:szCs w:val="22"/>
        </w:rPr>
        <w:t>.</w:t>
      </w:r>
    </w:p>
    <w:p w14:paraId="6AE3D2AA" w14:textId="77777777" w:rsidR="00A76BBB" w:rsidRPr="009F23D8" w:rsidRDefault="00A76BBB" w:rsidP="00A76BBB">
      <w:pPr>
        <w:rPr>
          <w:rFonts w:ascii="Arial" w:eastAsia="Times New Roman" w:hAnsi="Arial" w:cs="Arial"/>
          <w:b/>
          <w:sz w:val="22"/>
          <w:szCs w:val="22"/>
        </w:rPr>
      </w:pPr>
      <w:r w:rsidRPr="009F23D8">
        <w:rPr>
          <w:rFonts w:ascii="Arial" w:hAnsi="Arial" w:cs="Arial"/>
          <w:sz w:val="22"/>
          <w:szCs w:val="22"/>
        </w:rPr>
        <w:br w:type="page"/>
      </w:r>
    </w:p>
    <w:p w14:paraId="4115B26D" w14:textId="77777777" w:rsidR="00A76BBB" w:rsidRPr="009F23D8" w:rsidRDefault="00A76BBB" w:rsidP="00A76BBB">
      <w:pPr>
        <w:spacing w:line="276" w:lineRule="auto"/>
        <w:jc w:val="center"/>
        <w:rPr>
          <w:rFonts w:ascii="Arial" w:eastAsia="Times New Roman" w:hAnsi="Arial" w:cs="Arial"/>
          <w:sz w:val="22"/>
          <w:szCs w:val="22"/>
        </w:rPr>
      </w:pPr>
      <w:r w:rsidRPr="009F23D8">
        <w:rPr>
          <w:rFonts w:ascii="Arial" w:eastAsia="Times New Roman" w:hAnsi="Arial" w:cs="Arial"/>
          <w:noProof/>
          <w:sz w:val="22"/>
          <w:szCs w:val="22"/>
        </w:rPr>
        <w:lastRenderedPageBreak/>
        <w:drawing>
          <wp:inline distT="114300" distB="114300" distL="114300" distR="114300" wp14:anchorId="5F0E2634" wp14:editId="7CE62E61">
            <wp:extent cx="5897880" cy="3063240"/>
            <wp:effectExtent l="0" t="0" r="7620" b="3810"/>
            <wp:docPr id="2081796755" name="image2.png" descr="地图&#10;&#10;AI 生成的内容可能不正确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96755" name="image2.png" descr="地图&#10;&#10;AI 生成的内容可能不正确。"/>
                    <pic:cNvPicPr preferRelativeResize="0"/>
                  </pic:nvPicPr>
                  <pic:blipFill>
                    <a:blip r:embed="rId15"/>
                    <a:srcRect l="2804" t="18247" r="2083" b="18403"/>
                    <a:stretch>
                      <a:fillRect/>
                    </a:stretch>
                  </pic:blipFill>
                  <pic:spPr>
                    <a:xfrm>
                      <a:off x="0" y="0"/>
                      <a:ext cx="5898574" cy="306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6AE460" w14:textId="77777777" w:rsidR="00A76BBB" w:rsidRPr="009F23D8" w:rsidRDefault="00A76BBB" w:rsidP="00A76BBB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9F23D8">
        <w:rPr>
          <w:rFonts w:ascii="Arial" w:eastAsia="Arial" w:hAnsi="Arial" w:cs="Arial"/>
          <w:b/>
          <w:sz w:val="22"/>
          <w:szCs w:val="22"/>
        </w:rPr>
        <w:t xml:space="preserve">Fig. S3 | Ocean-land contrast of </w:t>
      </w:r>
      <w:r w:rsidRPr="009F23D8">
        <w:rPr>
          <w:rFonts w:ascii="Arial" w:eastAsia="Arial" w:hAnsi="Arial" w:cs="Arial"/>
          <w:b/>
          <w:bCs/>
          <w:sz w:val="22"/>
          <w:szCs w:val="22"/>
        </w:rPr>
        <w:t>surface heat transport trend (</w:t>
      </w:r>
      <w:proofErr w:type="spellStart"/>
      <w:r w:rsidRPr="009F23D8">
        <w:rPr>
          <w:rFonts w:ascii="Arial" w:eastAsia="Arial" w:hAnsi="Arial" w:cs="Arial"/>
          <w:b/>
          <w:bCs/>
          <w:sz w:val="22"/>
          <w:szCs w:val="22"/>
        </w:rPr>
        <w:t>δG</w:t>
      </w:r>
      <w:proofErr w:type="spellEnd"/>
      <w:r w:rsidRPr="009F23D8">
        <w:rPr>
          <w:rFonts w:ascii="Arial" w:eastAsia="Arial" w:hAnsi="Arial" w:cs="Arial"/>
          <w:b/>
          <w:bCs/>
          <w:sz w:val="22"/>
          <w:szCs w:val="22"/>
        </w:rPr>
        <w:t>)</w:t>
      </w:r>
      <w:r w:rsidRPr="009F23D8">
        <w:rPr>
          <w:rFonts w:ascii="Arial" w:eastAsia="Arial" w:hAnsi="Arial" w:cs="Arial"/>
          <w:sz w:val="22"/>
          <w:szCs w:val="22"/>
        </w:rPr>
        <w:t xml:space="preserve"> (1970–2014) in CMIP6 multimodel mean simulations.</w:t>
      </w:r>
    </w:p>
    <w:p w14:paraId="37C81C7B" w14:textId="77777777" w:rsidR="00A76BBB" w:rsidRPr="009F23D8" w:rsidRDefault="00A76BBB" w:rsidP="00A76BBB">
      <w:pPr>
        <w:rPr>
          <w:rFonts w:ascii="Arial" w:eastAsia="Times New Roman" w:hAnsi="Arial" w:cs="Arial"/>
          <w:b/>
          <w:sz w:val="22"/>
          <w:szCs w:val="22"/>
        </w:rPr>
      </w:pPr>
      <w:r w:rsidRPr="009F23D8">
        <w:rPr>
          <w:rFonts w:ascii="Arial" w:hAnsi="Arial" w:cs="Arial"/>
          <w:sz w:val="22"/>
          <w:szCs w:val="22"/>
        </w:rPr>
        <w:br w:type="page"/>
      </w:r>
    </w:p>
    <w:p w14:paraId="12F959DA" w14:textId="77777777" w:rsidR="00A76BBB" w:rsidRPr="009F23D8" w:rsidRDefault="00A76BBB" w:rsidP="00A76BBB">
      <w:pPr>
        <w:spacing w:line="276" w:lineRule="auto"/>
        <w:rPr>
          <w:rFonts w:ascii="Arial" w:eastAsia="Times New Roman" w:hAnsi="Arial" w:cs="Arial"/>
          <w:b/>
          <w:sz w:val="22"/>
          <w:szCs w:val="22"/>
        </w:rPr>
      </w:pPr>
      <w:r w:rsidRPr="009F23D8">
        <w:rPr>
          <w:rFonts w:ascii="Arial" w:eastAsia="Times New Roman" w:hAnsi="Arial" w:cs="Arial"/>
          <w:b/>
          <w:noProof/>
          <w:sz w:val="22"/>
          <w:szCs w:val="22"/>
        </w:rPr>
        <w:lastRenderedPageBreak/>
        <w:drawing>
          <wp:inline distT="114300" distB="114300" distL="114300" distR="114300" wp14:anchorId="74D60BCE" wp14:editId="69AB5737">
            <wp:extent cx="5943600" cy="5461000"/>
            <wp:effectExtent l="0" t="0" r="0" b="0"/>
            <wp:docPr id="2081796747" name="image1.png" descr="图表&#10;&#10;AI 生成的内容可能不正确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96747" name="image1.png" descr="图表&#10;&#10;AI 生成的内容可能不正确。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F8B865" w14:textId="77777777" w:rsidR="00A76BBB" w:rsidRPr="009F23D8" w:rsidRDefault="00A76BBB" w:rsidP="00A76BBB">
      <w:pPr>
        <w:spacing w:line="276" w:lineRule="auto"/>
        <w:rPr>
          <w:rFonts w:ascii="Arial" w:eastAsia="Times New Roman" w:hAnsi="Arial" w:cs="Arial"/>
          <w:sz w:val="22"/>
          <w:szCs w:val="22"/>
        </w:rPr>
      </w:pPr>
      <w:r w:rsidRPr="009F23D8">
        <w:rPr>
          <w:rFonts w:ascii="Arial" w:eastAsia="Arial" w:hAnsi="Arial" w:cs="Arial"/>
          <w:b/>
          <w:sz w:val="22"/>
          <w:szCs w:val="22"/>
        </w:rPr>
        <w:t>Fig. S4 | Historical hydrological and energetic changes. a-c</w:t>
      </w:r>
      <w:r w:rsidRPr="009F23D8">
        <w:rPr>
          <w:rFonts w:ascii="Arial" w:eastAsia="Arial" w:hAnsi="Arial" w:cs="Arial"/>
          <w:sz w:val="22"/>
          <w:szCs w:val="22"/>
        </w:rPr>
        <w:t>,</w:t>
      </w:r>
      <w:r w:rsidRPr="009F23D8">
        <w:rPr>
          <w:rFonts w:ascii="Arial" w:eastAsia="Arial" w:hAnsi="Arial" w:cs="Arial"/>
          <w:b/>
          <w:i/>
          <w:sz w:val="22"/>
          <w:szCs w:val="22"/>
        </w:rPr>
        <w:t xml:space="preserve"> </w:t>
      </w:r>
      <w:r w:rsidRPr="009F23D8">
        <w:rPr>
          <w:rFonts w:ascii="Arial" w:eastAsia="Arial" w:hAnsi="Arial" w:cs="Arial"/>
          <w:sz w:val="22"/>
          <w:szCs w:val="22"/>
        </w:rPr>
        <w:t>Annual time series of CMIP6 MMM δQ (red), δE (blue), and δP (black) changes in dryland in response to historical all forcing (</w:t>
      </w:r>
      <w:r w:rsidRPr="009F23D8">
        <w:rPr>
          <w:rFonts w:ascii="Arial" w:eastAsia="Arial" w:hAnsi="Arial" w:cs="Arial"/>
          <w:b/>
          <w:sz w:val="22"/>
          <w:szCs w:val="22"/>
        </w:rPr>
        <w:t>a</w:t>
      </w:r>
      <w:r w:rsidRPr="009F23D8">
        <w:rPr>
          <w:rFonts w:ascii="Arial" w:eastAsia="Arial" w:hAnsi="Arial" w:cs="Arial"/>
          <w:sz w:val="22"/>
          <w:szCs w:val="22"/>
        </w:rPr>
        <w:t>), aerosol-only (</w:t>
      </w:r>
      <w:r w:rsidRPr="009F23D8">
        <w:rPr>
          <w:rFonts w:ascii="Arial" w:eastAsia="Arial" w:hAnsi="Arial" w:cs="Arial"/>
          <w:b/>
          <w:sz w:val="22"/>
          <w:szCs w:val="22"/>
        </w:rPr>
        <w:t>b</w:t>
      </w:r>
      <w:r w:rsidRPr="009F23D8">
        <w:rPr>
          <w:rFonts w:ascii="Arial" w:eastAsia="Arial" w:hAnsi="Arial" w:cs="Arial"/>
          <w:sz w:val="22"/>
          <w:szCs w:val="22"/>
        </w:rPr>
        <w:t>), and GHG-only forcings (</w:t>
      </w:r>
      <w:r w:rsidRPr="009F23D8">
        <w:rPr>
          <w:rFonts w:ascii="Arial" w:eastAsia="Arial" w:hAnsi="Arial" w:cs="Arial"/>
          <w:b/>
          <w:sz w:val="22"/>
          <w:szCs w:val="22"/>
        </w:rPr>
        <w:t>c</w:t>
      </w:r>
      <w:r w:rsidRPr="009F23D8">
        <w:rPr>
          <w:rFonts w:ascii="Arial" w:eastAsia="Arial" w:hAnsi="Arial" w:cs="Arial"/>
          <w:sz w:val="22"/>
          <w:szCs w:val="22"/>
        </w:rPr>
        <w:t xml:space="preserve">); </w:t>
      </w:r>
      <w:r w:rsidRPr="009F23D8">
        <w:rPr>
          <w:rFonts w:ascii="Arial" w:eastAsia="Arial" w:hAnsi="Arial" w:cs="Arial"/>
          <w:b/>
          <w:sz w:val="22"/>
          <w:szCs w:val="22"/>
        </w:rPr>
        <w:t>b–f</w:t>
      </w:r>
      <w:r w:rsidRPr="009F23D8">
        <w:rPr>
          <w:rFonts w:ascii="Arial" w:eastAsia="Arial" w:hAnsi="Arial" w:cs="Arial"/>
          <w:sz w:val="22"/>
          <w:szCs w:val="22"/>
        </w:rPr>
        <w:t xml:space="preserve">, Same as </w:t>
      </w:r>
      <w:r w:rsidRPr="009F23D8">
        <w:rPr>
          <w:rFonts w:ascii="Arial" w:eastAsia="Arial" w:hAnsi="Arial" w:cs="Arial"/>
          <w:b/>
          <w:sz w:val="22"/>
          <w:szCs w:val="22"/>
        </w:rPr>
        <w:t>a–</w:t>
      </w:r>
      <w:proofErr w:type="gramStart"/>
      <w:r w:rsidRPr="009F23D8">
        <w:rPr>
          <w:rFonts w:ascii="Arial" w:eastAsia="Arial" w:hAnsi="Arial" w:cs="Arial"/>
          <w:b/>
          <w:sz w:val="22"/>
          <w:szCs w:val="22"/>
        </w:rPr>
        <w:t>c</w:t>
      </w:r>
      <w:r w:rsidRPr="009F23D8">
        <w:rPr>
          <w:rFonts w:ascii="Arial" w:eastAsia="Arial" w:hAnsi="Arial" w:cs="Arial"/>
          <w:sz w:val="22"/>
          <w:szCs w:val="22"/>
        </w:rPr>
        <w:t>, but</w:t>
      </w:r>
      <w:proofErr w:type="gramEnd"/>
      <w:r w:rsidRPr="009F23D8">
        <w:rPr>
          <w:rFonts w:ascii="Arial" w:eastAsia="Arial" w:hAnsi="Arial" w:cs="Arial"/>
          <w:sz w:val="22"/>
          <w:szCs w:val="22"/>
        </w:rPr>
        <w:t xml:space="preserve"> averaged over (semi-)humid land. </w:t>
      </w:r>
    </w:p>
    <w:p w14:paraId="1AC6B703" w14:textId="77777777" w:rsidR="00A76BBB" w:rsidRPr="009F23D8" w:rsidRDefault="00A76BBB" w:rsidP="00A76BBB">
      <w:pPr>
        <w:rPr>
          <w:rFonts w:ascii="Arial" w:eastAsia="Times New Roman" w:hAnsi="Arial" w:cs="Arial"/>
          <w:sz w:val="22"/>
          <w:szCs w:val="22"/>
        </w:rPr>
      </w:pPr>
      <w:r w:rsidRPr="009F23D8">
        <w:rPr>
          <w:rFonts w:ascii="Arial" w:hAnsi="Arial" w:cs="Arial"/>
          <w:sz w:val="22"/>
          <w:szCs w:val="22"/>
        </w:rPr>
        <w:br w:type="page"/>
      </w:r>
    </w:p>
    <w:p w14:paraId="5467AA09" w14:textId="77777777" w:rsidR="00A76BBB" w:rsidRPr="009F23D8" w:rsidRDefault="00A76BBB" w:rsidP="00A76BBB">
      <w:pPr>
        <w:spacing w:line="276" w:lineRule="auto"/>
        <w:rPr>
          <w:rFonts w:ascii="Arial" w:eastAsia="Times New Roman" w:hAnsi="Arial" w:cs="Arial"/>
          <w:sz w:val="22"/>
          <w:szCs w:val="22"/>
        </w:rPr>
      </w:pPr>
      <w:r w:rsidRPr="009F23D8">
        <w:rPr>
          <w:rFonts w:ascii="Arial" w:eastAsia="Times New Roman" w:hAnsi="Arial" w:cs="Arial"/>
          <w:noProof/>
          <w:sz w:val="22"/>
          <w:szCs w:val="22"/>
        </w:rPr>
        <w:lastRenderedPageBreak/>
        <w:drawing>
          <wp:inline distT="114300" distB="114300" distL="114300" distR="114300" wp14:anchorId="7040E5AD" wp14:editId="058DF97E">
            <wp:extent cx="5943600" cy="3263900"/>
            <wp:effectExtent l="0" t="0" r="0" b="0"/>
            <wp:docPr id="2081796753" name="image9.png" descr="地图&#10;&#10;AI 生成的内容可能不正确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96753" name="image9.png" descr="地图&#10;&#10;AI 生成的内容可能不正确。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F2F1BD" w14:textId="0E53674F" w:rsidR="006D79F3" w:rsidRPr="009F23D8" w:rsidRDefault="00A76BBB" w:rsidP="00A76BBB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9F23D8">
        <w:rPr>
          <w:rFonts w:ascii="Arial" w:eastAsia="Arial" w:hAnsi="Arial" w:cs="Arial"/>
          <w:b/>
          <w:sz w:val="22"/>
          <w:szCs w:val="22"/>
        </w:rPr>
        <w:t xml:space="preserve">Fig. S5 | </w:t>
      </w:r>
      <w:r w:rsidRPr="009F23D8">
        <w:rPr>
          <w:rFonts w:ascii="Arial" w:eastAsia="Arial" w:hAnsi="Arial" w:cs="Arial"/>
          <w:b/>
          <w:bCs/>
          <w:sz w:val="22"/>
          <w:szCs w:val="22"/>
        </w:rPr>
        <w:t>Long-term trends of radiative cooling (δRc) over (Semi-)Arid land</w:t>
      </w:r>
      <w:r w:rsidRPr="009F23D8">
        <w:rPr>
          <w:rFonts w:ascii="Arial" w:eastAsia="Arial" w:hAnsi="Arial" w:cs="Arial"/>
          <w:sz w:val="22"/>
          <w:szCs w:val="22"/>
        </w:rPr>
        <w:t xml:space="preserve"> from ERA5 (a) and CMIP6 historical all-forcing simulations (b). Correlation between δSH</w:t>
      </w:r>
      <w:r w:rsidRPr="009F23D8">
        <w:rPr>
          <w:rFonts w:ascii="Arial" w:eastAsia="Arial" w:hAnsi="Arial" w:cs="Arial"/>
          <w:sz w:val="22"/>
          <w:szCs w:val="22"/>
          <w:vertAlign w:val="subscript"/>
        </w:rPr>
        <w:t>down</w:t>
      </w:r>
      <w:r w:rsidRPr="009F23D8">
        <w:rPr>
          <w:rFonts w:ascii="Arial" w:eastAsia="Arial" w:hAnsi="Arial" w:cs="Arial"/>
          <w:sz w:val="22"/>
          <w:szCs w:val="22"/>
        </w:rPr>
        <w:t xml:space="preserve"> and δDSSR from ERA5 (c) and CMIP6 historical all-forcing simulations (d). </w:t>
      </w:r>
    </w:p>
    <w:p w14:paraId="7C601D5D" w14:textId="6A098D88" w:rsidR="00A76BBB" w:rsidRPr="009F23D8" w:rsidRDefault="006D79F3" w:rsidP="00AA40A4">
      <w:pPr>
        <w:rPr>
          <w:rFonts w:ascii="Arial" w:eastAsia="Arial" w:hAnsi="Arial" w:cs="Arial"/>
          <w:sz w:val="22"/>
          <w:szCs w:val="22"/>
        </w:rPr>
      </w:pPr>
      <w:r w:rsidRPr="009F23D8">
        <w:rPr>
          <w:rFonts w:ascii="Arial" w:eastAsia="Arial" w:hAnsi="Arial" w:cs="Arial"/>
          <w:sz w:val="22"/>
          <w:szCs w:val="22"/>
        </w:rPr>
        <w:br w:type="page"/>
      </w:r>
    </w:p>
    <w:p w14:paraId="1C100EC8" w14:textId="77777777" w:rsidR="00A76BBB" w:rsidRPr="009F23D8" w:rsidRDefault="00A76BBB" w:rsidP="006D79F3">
      <w:pPr>
        <w:spacing w:line="276" w:lineRule="auto"/>
        <w:jc w:val="center"/>
        <w:rPr>
          <w:rFonts w:ascii="Arial" w:eastAsia="Times New Roman" w:hAnsi="Arial" w:cs="Arial"/>
          <w:sz w:val="22"/>
          <w:szCs w:val="22"/>
        </w:rPr>
      </w:pPr>
      <w:r w:rsidRPr="009F23D8">
        <w:rPr>
          <w:rFonts w:ascii="Arial" w:eastAsia="Times New Roman" w:hAnsi="Arial" w:cs="Arial"/>
          <w:noProof/>
          <w:sz w:val="22"/>
          <w:szCs w:val="22"/>
        </w:rPr>
        <w:lastRenderedPageBreak/>
        <w:drawing>
          <wp:inline distT="114300" distB="114300" distL="114300" distR="114300" wp14:anchorId="2440A319" wp14:editId="07F2007E">
            <wp:extent cx="5955360" cy="3138805"/>
            <wp:effectExtent l="0" t="0" r="7620" b="4445"/>
            <wp:docPr id="2081796750" name="image8.png" descr="图表, 地图&#10;&#10;AI 生成的内容可能不正确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96750" name="image8.png" descr="图表, 地图&#10;&#10;AI 生成的内容可能不正确。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7903" cy="3145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13CC06" w14:textId="4C0AFD73" w:rsidR="00A76BBB" w:rsidRPr="009F23D8" w:rsidRDefault="00A76BBB" w:rsidP="00A76BBB">
      <w:pPr>
        <w:spacing w:line="276" w:lineRule="auto"/>
        <w:rPr>
          <w:rFonts w:ascii="Arial" w:hAnsi="Arial" w:cs="Arial"/>
          <w:sz w:val="22"/>
          <w:szCs w:val="22"/>
        </w:rPr>
      </w:pPr>
      <w:r w:rsidRPr="009F23D8">
        <w:rPr>
          <w:rFonts w:ascii="Arial" w:eastAsia="Arial" w:hAnsi="Arial" w:cs="Arial"/>
          <w:b/>
          <w:sz w:val="22"/>
          <w:szCs w:val="22"/>
        </w:rPr>
        <w:t xml:space="preserve">Fig. S6 | </w:t>
      </w:r>
      <w:r w:rsidRPr="009F23D8">
        <w:rPr>
          <w:rFonts w:ascii="Arial" w:eastAsia="Times New Roman" w:hAnsi="Arial" w:cs="Arial"/>
          <w:b/>
          <w:bCs/>
          <w:sz w:val="22"/>
          <w:szCs w:val="22"/>
        </w:rPr>
        <w:t>Long-term trends (1970-2014) of surface solar irradiance under all-sky (</w:t>
      </w:r>
      <w:r w:rsidRPr="009F23D8">
        <w:rPr>
          <w:rFonts w:ascii="Arial" w:eastAsia="Times New Roman" w:hAnsi="Arial" w:cs="Arial"/>
          <w:b/>
          <w:bCs/>
          <w:i/>
          <w:iCs/>
          <w:sz w:val="22"/>
          <w:szCs w:val="22"/>
        </w:rPr>
        <w:t>δDSSR</w:t>
      </w:r>
      <w:r w:rsidRPr="009F23D8">
        <w:rPr>
          <w:rFonts w:ascii="Arial" w:eastAsia="Times New Roman" w:hAnsi="Arial" w:cs="Arial"/>
          <w:b/>
          <w:bCs/>
          <w:sz w:val="22"/>
          <w:szCs w:val="22"/>
        </w:rPr>
        <w:t>) and clear-sky (</w:t>
      </w:r>
      <w:proofErr w:type="spellStart"/>
      <w:r w:rsidRPr="009F23D8">
        <w:rPr>
          <w:rFonts w:ascii="Arial" w:eastAsia="Times New Roman" w:hAnsi="Arial" w:cs="Arial"/>
          <w:b/>
          <w:bCs/>
          <w:i/>
          <w:iCs/>
          <w:sz w:val="22"/>
          <w:szCs w:val="22"/>
        </w:rPr>
        <w:t>δDSSR</w:t>
      </w:r>
      <w:r w:rsidRPr="009F23D8">
        <w:rPr>
          <w:rFonts w:ascii="Arial" w:eastAsia="Arial" w:hAnsi="Arial" w:cs="Arial"/>
          <w:b/>
          <w:bCs/>
          <w:i/>
          <w:iCs/>
          <w:sz w:val="22"/>
          <w:szCs w:val="22"/>
          <w:vertAlign w:val="subscript"/>
        </w:rPr>
        <w:t>clear</w:t>
      </w:r>
      <w:proofErr w:type="spellEnd"/>
      <w:r w:rsidRPr="009F23D8">
        <w:rPr>
          <w:rFonts w:ascii="Arial" w:eastAsia="Arial" w:hAnsi="Arial" w:cs="Arial"/>
          <w:b/>
          <w:bCs/>
          <w:i/>
          <w:iCs/>
          <w:sz w:val="22"/>
          <w:szCs w:val="22"/>
          <w:vertAlign w:val="subscript"/>
        </w:rPr>
        <w:t>-sky</w:t>
      </w:r>
      <w:r w:rsidRPr="009F23D8">
        <w:rPr>
          <w:rFonts w:ascii="Arial" w:eastAsia="Times New Roman" w:hAnsi="Arial" w:cs="Arial"/>
          <w:b/>
          <w:bCs/>
          <w:sz w:val="22"/>
          <w:szCs w:val="22"/>
        </w:rPr>
        <w:t>) conditions</w:t>
      </w:r>
      <w:r w:rsidRPr="009F23D8">
        <w:rPr>
          <w:rFonts w:ascii="Arial" w:eastAsia="Times New Roman" w:hAnsi="Arial" w:cs="Arial"/>
          <w:sz w:val="22"/>
          <w:szCs w:val="22"/>
        </w:rPr>
        <w:t xml:space="preserve"> </w:t>
      </w:r>
      <w:r w:rsidRPr="009F23D8">
        <w:rPr>
          <w:rFonts w:ascii="Arial" w:eastAsia="Arial" w:hAnsi="Arial" w:cs="Arial"/>
          <w:sz w:val="22"/>
          <w:szCs w:val="22"/>
        </w:rPr>
        <w:t>from ERA5 (a, b) and CMIP6 historical all-forcing simulations (c, b).</w:t>
      </w:r>
    </w:p>
    <w:p w14:paraId="1D88E437" w14:textId="77777777" w:rsidR="001B3B25" w:rsidRPr="009F23D8" w:rsidRDefault="001B3B25">
      <w:pPr>
        <w:rPr>
          <w:rFonts w:ascii="Arial" w:hAnsi="Arial" w:cs="Arial"/>
          <w:sz w:val="22"/>
          <w:szCs w:val="22"/>
        </w:rPr>
      </w:pPr>
    </w:p>
    <w:sectPr w:rsidR="001B3B25" w:rsidRPr="009F23D8" w:rsidSect="00A76BBB">
      <w:pgSz w:w="12240" w:h="15840"/>
      <w:pgMar w:top="1440" w:right="1440" w:bottom="1440" w:left="144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845C7" w14:textId="77777777" w:rsidR="000C43FA" w:rsidRDefault="000C43FA" w:rsidP="00A76BBB">
      <w:pPr>
        <w:spacing w:after="0" w:line="240" w:lineRule="auto"/>
      </w:pPr>
      <w:r>
        <w:separator/>
      </w:r>
    </w:p>
  </w:endnote>
  <w:endnote w:type="continuationSeparator" w:id="0">
    <w:p w14:paraId="4E085E34" w14:textId="77777777" w:rsidR="000C43FA" w:rsidRDefault="000C43FA" w:rsidP="00A76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ADCB3" w14:textId="77777777" w:rsidR="000C43FA" w:rsidRDefault="000C43FA" w:rsidP="00A76BBB">
      <w:pPr>
        <w:spacing w:after="0" w:line="240" w:lineRule="auto"/>
      </w:pPr>
      <w:r>
        <w:separator/>
      </w:r>
    </w:p>
  </w:footnote>
  <w:footnote w:type="continuationSeparator" w:id="0">
    <w:p w14:paraId="45EFF721" w14:textId="77777777" w:rsidR="000C43FA" w:rsidRDefault="000C43FA" w:rsidP="00A76B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B25"/>
    <w:rsid w:val="00052F9F"/>
    <w:rsid w:val="000C43FA"/>
    <w:rsid w:val="001B3B25"/>
    <w:rsid w:val="003A7F44"/>
    <w:rsid w:val="00401FE0"/>
    <w:rsid w:val="00485CBC"/>
    <w:rsid w:val="004B4D43"/>
    <w:rsid w:val="005B5C2E"/>
    <w:rsid w:val="0060642D"/>
    <w:rsid w:val="006D79F3"/>
    <w:rsid w:val="00786A19"/>
    <w:rsid w:val="009B566E"/>
    <w:rsid w:val="009C70AA"/>
    <w:rsid w:val="009F23D8"/>
    <w:rsid w:val="00A76BBB"/>
    <w:rsid w:val="00AA40A4"/>
    <w:rsid w:val="00AE1601"/>
    <w:rsid w:val="00B802AA"/>
    <w:rsid w:val="00B93DFF"/>
    <w:rsid w:val="00BB5072"/>
    <w:rsid w:val="00C5139F"/>
    <w:rsid w:val="00D451B6"/>
    <w:rsid w:val="00E87AEC"/>
    <w:rsid w:val="00FD4169"/>
    <w:rsid w:val="00FF0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585AF9"/>
  <w15:chartTrackingRefBased/>
  <w15:docId w15:val="{62BECB5A-049C-4E01-B428-F52F50C3F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6BBB"/>
    <w:rPr>
      <w:rFonts w:ascii="Aptos" w:hAnsi="Aptos" w:cs="Aptos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B3B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B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B2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B2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B2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3B2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B2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B2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B2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B3B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1B3B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1B3B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1B3B2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1B3B25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1B3B2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1B3B25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B3B2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1B3B2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B3B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1B3B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B3B2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1B3B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B3B25"/>
    <w:pPr>
      <w:spacing w:before="160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1B3B2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B3B25"/>
    <w:pPr>
      <w:ind w:left="720"/>
      <w:contextualSpacing/>
    </w:pPr>
    <w:rPr>
      <w:rFonts w:asciiTheme="minorHAnsi" w:hAnsiTheme="minorHAnsi" w:cstheme="minorBidi"/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1B3B2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B3B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1B3B2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B3B25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76BB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kern w:val="2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A76BBB"/>
  </w:style>
  <w:style w:type="paragraph" w:styleId="af0">
    <w:name w:val="footer"/>
    <w:basedOn w:val="a"/>
    <w:link w:val="af1"/>
    <w:uiPriority w:val="99"/>
    <w:unhideWhenUsed/>
    <w:rsid w:val="00A76BB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kern w:val="2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A76BBB"/>
  </w:style>
  <w:style w:type="character" w:styleId="af2">
    <w:name w:val="Hyperlink"/>
    <w:basedOn w:val="a0"/>
    <w:uiPriority w:val="99"/>
    <w:unhideWhenUsed/>
    <w:rsid w:val="00A76BBB"/>
    <w:rPr>
      <w:color w:val="467886" w:themeColor="hyperlink"/>
      <w:u w:val="single"/>
    </w:rPr>
  </w:style>
  <w:style w:type="table" w:styleId="af3">
    <w:name w:val="Table Grid"/>
    <w:basedOn w:val="a1"/>
    <w:uiPriority w:val="39"/>
    <w:rsid w:val="00A76BBB"/>
    <w:pPr>
      <w:spacing w:after="0" w:line="240" w:lineRule="auto"/>
    </w:pPr>
    <w:rPr>
      <w:rFonts w:ascii="Aptos" w:hAnsi="Aptos" w:cs="Aptos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line number"/>
    <w:basedOn w:val="a0"/>
    <w:uiPriority w:val="99"/>
    <w:semiHidden/>
    <w:unhideWhenUsed/>
    <w:rsid w:val="00A76BBB"/>
  </w:style>
  <w:style w:type="character" w:styleId="af5">
    <w:name w:val="FollowedHyperlink"/>
    <w:basedOn w:val="a0"/>
    <w:uiPriority w:val="99"/>
    <w:semiHidden/>
    <w:unhideWhenUsed/>
    <w:rsid w:val="003A7F4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26050/WDCC/AR6.C6DANGGFL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doi.org/10.26050/WDCC/AR6.C6DANGGFD" TargetMode="External"/><Relationship Id="rId12" Type="http://schemas.openxmlformats.org/officeDocument/2006/relationships/hyperlink" Target="https://doi.org/10.26050/WDCC/AR6.C6DANCCNL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doi.org/10.26050/WDCC/AR6.C6DANRCES" TargetMode="External"/><Relationship Id="rId11" Type="http://schemas.openxmlformats.org/officeDocument/2006/relationships/hyperlink" Target="https://doi.org/10.26050/WDCC/AR6.C6DAMRME0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10" Type="http://schemas.openxmlformats.org/officeDocument/2006/relationships/hyperlink" Target="https://doi.org/10.26050/WDCC/AR6.C6DAMOHGL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doi.org/10.26050/WDCC/AR6.C6DAGIGE1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755</Words>
  <Characters>4308</Characters>
  <Application>Microsoft Office Word</Application>
  <DocSecurity>0</DocSecurity>
  <Lines>35</Lines>
  <Paragraphs>10</Paragraphs>
  <ScaleCrop>false</ScaleCrop>
  <Company/>
  <LinksUpToDate>false</LinksUpToDate>
  <CharactersWithSpaces>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Yanda Zhang</dc:creator>
  <cp:keywords/>
  <dc:description/>
  <cp:lastModifiedBy>Yanda Zhang</cp:lastModifiedBy>
  <cp:revision>14</cp:revision>
  <dcterms:created xsi:type="dcterms:W3CDTF">2025-06-05T21:55:00Z</dcterms:created>
  <dcterms:modified xsi:type="dcterms:W3CDTF">2025-07-08T04:03:00Z</dcterms:modified>
</cp:coreProperties>
</file>