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F3E9F" w14:textId="77777777" w:rsidR="008F036F" w:rsidRPr="00580088" w:rsidRDefault="008F036F" w:rsidP="008F036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755ADEA" wp14:editId="1CFD9FE2">
            <wp:extent cx="5267325" cy="29622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3384" w14:textId="10E83584" w:rsidR="00BF125C" w:rsidRPr="008F036F" w:rsidRDefault="008F036F" w:rsidP="008F036F">
      <w:pPr>
        <w:spacing w:line="360" w:lineRule="auto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843F3">
        <w:rPr>
          <w:rFonts w:ascii="Times New Roman" w:hAnsi="Times New Roman" w:cs="Times New Roman"/>
          <w:b/>
          <w:sz w:val="24"/>
          <w:szCs w:val="24"/>
        </w:rPr>
        <w:t>upplemental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 2. Inflammatory response in eosinophils. </w:t>
      </w:r>
      <w:r w:rsidRPr="009E4A57">
        <w:rPr>
          <w:rFonts w:ascii="Times New Roman" w:hAnsi="Times New Roman" w:cs="Times New Roman"/>
          <w:b/>
          <w:sz w:val="24"/>
          <w:szCs w:val="24"/>
        </w:rPr>
        <w:t>Eosinophils promote resolution of acute inflammation via lipid signals. Eosinophils are recruited in the early resolution phase, where they locally produce resolution mediators via a 12/15-LOX-initiated biosynthetic route, and play roles leading to the efficient clearance of inflammatory exudates, through the CXCL13 pathway.</w:t>
      </w:r>
    </w:p>
    <w:sectPr w:rsidR="00BF125C" w:rsidRPr="008F0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6F"/>
    <w:rsid w:val="008F036F"/>
    <w:rsid w:val="00B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06B4C"/>
  <w15:chartTrackingRefBased/>
  <w15:docId w15:val="{0CFEEB77-DA06-472D-A2B7-6D6D9EF6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传旭</dc:creator>
  <cp:keywords/>
  <dc:description/>
  <cp:lastModifiedBy>蔡 传旭</cp:lastModifiedBy>
  <cp:revision>1</cp:revision>
  <dcterms:created xsi:type="dcterms:W3CDTF">2020-11-26T12:51:00Z</dcterms:created>
  <dcterms:modified xsi:type="dcterms:W3CDTF">2020-11-26T12:51:00Z</dcterms:modified>
</cp:coreProperties>
</file>