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B101E8" w14:textId="77777777" w:rsidR="007271C1" w:rsidRDefault="007271C1" w:rsidP="007271C1">
      <w:pPr>
        <w:ind w:left="289" w:firstLine="0"/>
      </w:pPr>
    </w:p>
    <w:p w14:paraId="2A59F958" w14:textId="083D0A54" w:rsidR="006B02BC" w:rsidRPr="00A40BB2" w:rsidRDefault="007F26D6" w:rsidP="00FF0BD8">
      <w:pPr>
        <w:pStyle w:val="Heading1"/>
        <w:numPr>
          <w:ilvl w:val="0"/>
          <w:numId w:val="0"/>
        </w:numPr>
        <w:ind w:left="10"/>
        <w:rPr>
          <w:color w:val="4472C4" w:themeColor="accent1"/>
          <w:sz w:val="32"/>
          <w:szCs w:val="32"/>
        </w:rPr>
      </w:pPr>
      <w:r w:rsidRPr="00A40BB2">
        <w:rPr>
          <w:color w:val="4472C4" w:themeColor="accent1"/>
          <w:sz w:val="32"/>
          <w:szCs w:val="32"/>
        </w:rPr>
        <w:t>Supplement</w:t>
      </w:r>
      <w:r w:rsidR="001D75F3" w:rsidRPr="00A40BB2">
        <w:rPr>
          <w:color w:val="4472C4" w:themeColor="accent1"/>
          <w:sz w:val="32"/>
          <w:szCs w:val="32"/>
        </w:rPr>
        <w:t xml:space="preserve"> materials</w:t>
      </w:r>
    </w:p>
    <w:p w14:paraId="139D3520" w14:textId="77777777" w:rsidR="00D46639" w:rsidRDefault="00D46639" w:rsidP="00FF0BD8">
      <w:pPr>
        <w:pStyle w:val="heading2"/>
        <w:numPr>
          <w:ilvl w:val="0"/>
          <w:numId w:val="0"/>
        </w:numPr>
        <w:ind w:left="4257"/>
        <w:sectPr w:rsidR="00D46639">
          <w:footerReference w:type="even" r:id="rId8"/>
          <w:footerReference w:type="default" r:id="rId9"/>
          <w:footerReference w:type="first" r:id="rId10"/>
          <w:pgSz w:w="12240" w:h="15840"/>
          <w:pgMar w:top="1440" w:right="1440" w:bottom="1999" w:left="1440" w:header="720" w:footer="1401" w:gutter="0"/>
          <w:cols w:space="720"/>
        </w:sectPr>
      </w:pPr>
    </w:p>
    <w:p w14:paraId="4C040191" w14:textId="77777777" w:rsidR="00FF0BD8" w:rsidRDefault="00FF0BD8" w:rsidP="00FF0BD8">
      <w:pPr>
        <w:pStyle w:val="heading2"/>
        <w:numPr>
          <w:ilvl w:val="0"/>
          <w:numId w:val="0"/>
        </w:numPr>
        <w:ind w:left="4257"/>
        <w:sectPr w:rsidR="00FF0BD8" w:rsidSect="00D46639">
          <w:type w:val="continuous"/>
          <w:pgSz w:w="12240" w:h="15840"/>
          <w:pgMar w:top="1440" w:right="1440" w:bottom="1999" w:left="1440" w:header="720" w:footer="1401" w:gutter="0"/>
          <w:cols w:space="720"/>
        </w:sectPr>
      </w:pPr>
    </w:p>
    <w:p w14:paraId="10BBEC76" w14:textId="3DD23B70" w:rsidR="006B02BC" w:rsidRPr="00A40BB2" w:rsidRDefault="006B02BC" w:rsidP="00AD6E8C">
      <w:pPr>
        <w:pStyle w:val="heading2"/>
        <w:numPr>
          <w:ilvl w:val="0"/>
          <w:numId w:val="0"/>
        </w:numPr>
        <w:spacing w:before="120" w:after="120"/>
        <w:rPr>
          <w:rFonts w:asciiTheme="minorHAnsi" w:hAnsiTheme="minorHAnsi" w:cstheme="minorHAnsi"/>
          <w:color w:val="4472C4" w:themeColor="accent1"/>
          <w:sz w:val="28"/>
          <w:szCs w:val="28"/>
        </w:rPr>
      </w:pPr>
      <w:r w:rsidRPr="00A40BB2">
        <w:rPr>
          <w:rFonts w:asciiTheme="minorHAnsi" w:hAnsiTheme="minorHAnsi" w:cstheme="minorHAnsi"/>
          <w:color w:val="4472C4" w:themeColor="accent1"/>
          <w:sz w:val="28"/>
          <w:szCs w:val="28"/>
        </w:rPr>
        <w:t>Simulation Methodology</w:t>
      </w:r>
    </w:p>
    <w:p w14:paraId="146B33C7" w14:textId="77777777" w:rsidR="006B02BC" w:rsidRDefault="006B02BC" w:rsidP="006B02BC">
      <w:pPr>
        <w:pStyle w:val="Heading1"/>
        <w:numPr>
          <w:ilvl w:val="0"/>
          <w:numId w:val="0"/>
        </w:numPr>
        <w:ind w:left="-15"/>
      </w:pPr>
    </w:p>
    <w:p w14:paraId="6FAE02A7" w14:textId="7755A0DA" w:rsidR="006B02BC" w:rsidRPr="00B070D2" w:rsidRDefault="006B02BC" w:rsidP="00A40BB2">
      <w:pPr>
        <w:overflowPunct w:val="0"/>
        <w:spacing w:line="276" w:lineRule="auto"/>
        <w:ind w:firstLine="0"/>
        <w:textAlignment w:val="baseline"/>
        <w:rPr>
          <w:rFonts w:eastAsia="Times New Roman"/>
          <w:b/>
          <w:bCs/>
        </w:rPr>
      </w:pPr>
      <w:r w:rsidRPr="00553EE6">
        <w:rPr>
          <w:rFonts w:eastAsia="Times New Roman"/>
        </w:rPr>
        <w:t>Two important factors in the PD design are the optical absorption enhanced by the nanostructure and the electric pulse response defined by the electron-hole transport. The optoelectronic simulations consist of two parts</w:t>
      </w:r>
      <w:r w:rsidR="00B070D2">
        <w:rPr>
          <w:rFonts w:eastAsia="Times New Roman"/>
        </w:rPr>
        <w:t xml:space="preserve">: optical simulations that model photon absorption in the material, and electrical simulations that model </w:t>
      </w:r>
      <w:r w:rsidRPr="007603AA">
        <w:rPr>
          <w:rFonts w:eastAsia="Times New Roman"/>
        </w:rPr>
        <w:t xml:space="preserve">electron-hole transport.  </w:t>
      </w:r>
      <w:r w:rsidR="007603AA" w:rsidRPr="00D457B8">
        <w:rPr>
          <w:rFonts w:eastAsia="Times New Roman"/>
        </w:rPr>
        <w:t xml:space="preserve">We employ </w:t>
      </w:r>
      <w:r w:rsidR="007603AA" w:rsidRPr="00B070D2">
        <w:rPr>
          <w:rFonts w:eastAsia="Times New Roman"/>
        </w:rPr>
        <w:t>Monte Carlo molecular dynamics simulations</w:t>
      </w:r>
      <w:r w:rsidR="007603AA" w:rsidRPr="007603AA">
        <w:rPr>
          <w:rFonts w:eastAsia="Times New Roman"/>
        </w:rPr>
        <w:t xml:space="preserve"> to account for </w:t>
      </w:r>
      <w:r w:rsidR="007603AA" w:rsidRPr="00B070D2">
        <w:rPr>
          <w:rFonts w:eastAsia="Times New Roman"/>
        </w:rPr>
        <w:t>electron-hole interactions</w:t>
      </w:r>
      <w:r w:rsidR="007603AA" w:rsidRPr="007603AA">
        <w:rPr>
          <w:rFonts w:eastAsia="Times New Roman"/>
        </w:rPr>
        <w:t xml:space="preserve"> within </w:t>
      </w:r>
      <w:r w:rsidR="007603AA" w:rsidRPr="00B070D2">
        <w:rPr>
          <w:rFonts w:eastAsia="Times New Roman"/>
        </w:rPr>
        <w:t>complex nanostructured geometries</w:t>
      </w:r>
      <w:proofErr w:type="gramStart"/>
      <w:r w:rsidR="007603AA">
        <w:rPr>
          <w:rFonts w:eastAsia="Times New Roman"/>
        </w:rPr>
        <w:t>, in particular, to</w:t>
      </w:r>
      <w:proofErr w:type="gramEnd"/>
      <w:r w:rsidR="007603AA">
        <w:rPr>
          <w:rFonts w:eastAsia="Times New Roman"/>
        </w:rPr>
        <w:t xml:space="preserve"> r</w:t>
      </w:r>
      <w:r w:rsidR="007603AA" w:rsidRPr="007603AA">
        <w:rPr>
          <w:rFonts w:eastAsia="Times New Roman"/>
        </w:rPr>
        <w:t xml:space="preserve">eflect the </w:t>
      </w:r>
      <w:r w:rsidR="007603AA" w:rsidRPr="00B070D2">
        <w:rPr>
          <w:rFonts w:eastAsia="Times New Roman"/>
        </w:rPr>
        <w:t>influence of irregular geometry and dielectric boundaries</w:t>
      </w:r>
      <w:r w:rsidR="007603AA" w:rsidRPr="007603AA">
        <w:rPr>
          <w:rFonts w:eastAsia="Times New Roman"/>
        </w:rPr>
        <w:t xml:space="preserve"> on charge screening</w:t>
      </w:r>
      <w:r w:rsidR="007603AA">
        <w:rPr>
          <w:rFonts w:eastAsia="Times New Roman"/>
        </w:rPr>
        <w:t>.</w:t>
      </w:r>
    </w:p>
    <w:p w14:paraId="01A8A4B4" w14:textId="77777777" w:rsidR="006B02BC" w:rsidRDefault="006B02BC" w:rsidP="00A40BB2">
      <w:pPr>
        <w:spacing w:line="276" w:lineRule="auto"/>
        <w:ind w:firstLine="0"/>
      </w:pPr>
    </w:p>
    <w:p w14:paraId="3DC32D63" w14:textId="77777777" w:rsidR="006B02BC" w:rsidRPr="001779A0" w:rsidRDefault="006B02BC" w:rsidP="006B02BC"/>
    <w:p w14:paraId="03B0F7F3" w14:textId="3A041C00" w:rsidR="006B02BC" w:rsidRPr="00A40BB2" w:rsidRDefault="00FF0BD8" w:rsidP="00AD6E8C">
      <w:pPr>
        <w:pStyle w:val="heading2"/>
        <w:numPr>
          <w:ilvl w:val="0"/>
          <w:numId w:val="0"/>
        </w:numPr>
        <w:spacing w:before="0" w:after="120"/>
        <w:rPr>
          <w:rFonts w:asciiTheme="minorHAnsi" w:hAnsiTheme="minorHAnsi" w:cstheme="minorHAnsi"/>
          <w:color w:val="4472C4" w:themeColor="accent1"/>
          <w:sz w:val="28"/>
          <w:szCs w:val="28"/>
        </w:rPr>
      </w:pPr>
      <w:r w:rsidRPr="00A40BB2">
        <w:rPr>
          <w:rFonts w:asciiTheme="minorHAnsi" w:hAnsiTheme="minorHAnsi" w:cstheme="minorHAnsi"/>
          <w:color w:val="4472C4" w:themeColor="accent1"/>
          <w:sz w:val="28"/>
          <w:szCs w:val="28"/>
        </w:rPr>
        <w:t xml:space="preserve">1. </w:t>
      </w:r>
      <w:r w:rsidR="006B02BC" w:rsidRPr="00A40BB2">
        <w:rPr>
          <w:rFonts w:asciiTheme="minorHAnsi" w:hAnsiTheme="minorHAnsi" w:cstheme="minorHAnsi"/>
          <w:color w:val="4472C4" w:themeColor="accent1"/>
          <w:sz w:val="28"/>
          <w:szCs w:val="28"/>
        </w:rPr>
        <w:t>Optical simulations</w:t>
      </w:r>
    </w:p>
    <w:p w14:paraId="3724E112" w14:textId="31DBA6B0" w:rsidR="006B02BC" w:rsidRPr="00A40BB2" w:rsidRDefault="006B02BC" w:rsidP="00A40BB2">
      <w:pPr>
        <w:autoSpaceDE w:val="0"/>
        <w:autoSpaceDN w:val="0"/>
        <w:adjustRightInd w:val="0"/>
        <w:spacing w:line="276" w:lineRule="auto"/>
        <w:rPr>
          <w:rFonts w:asciiTheme="minorHAnsi" w:eastAsia="Times New Roman" w:hAnsiTheme="minorHAnsi" w:cstheme="minorHAnsi"/>
        </w:rPr>
      </w:pPr>
      <w:r w:rsidRPr="00A40BB2">
        <w:rPr>
          <w:rFonts w:asciiTheme="minorHAnsi" w:eastAsia="Times New Roman" w:hAnsiTheme="minorHAnsi" w:cstheme="minorHAnsi"/>
        </w:rPr>
        <w:t>The absorption was calculated by a standard FDTD method [1]</w:t>
      </w:r>
      <w:r w:rsidR="00A40BB2">
        <w:rPr>
          <w:rFonts w:asciiTheme="minorHAnsi" w:eastAsia="Times New Roman" w:hAnsiTheme="minorHAnsi" w:cstheme="minorHAnsi"/>
        </w:rPr>
        <w:t>.</w:t>
      </w:r>
      <w:r w:rsidRPr="00A40BB2">
        <w:rPr>
          <w:rFonts w:asciiTheme="minorHAnsi" w:eastAsia="Times New Roman" w:hAnsiTheme="minorHAnsi" w:cstheme="minorHAnsi"/>
        </w:rPr>
        <w:t xml:space="preserve"> The method treats light as an electromagnetic wave and solves Maxwell's equations for the electric (</w:t>
      </w:r>
      <w:r w:rsidRPr="00A40BB2">
        <w:rPr>
          <w:rFonts w:asciiTheme="minorHAnsi" w:eastAsia="Times New Roman" w:hAnsiTheme="minorHAnsi" w:cstheme="minorHAnsi"/>
          <w:i/>
        </w:rPr>
        <w:t>E</w:t>
      </w:r>
      <w:r w:rsidRPr="00A40BB2">
        <w:rPr>
          <w:rFonts w:asciiTheme="minorHAnsi" w:eastAsia="Times New Roman" w:hAnsiTheme="minorHAnsi" w:cstheme="minorHAnsi"/>
        </w:rPr>
        <w:t>) and magnetic (</w:t>
      </w:r>
      <w:r w:rsidRPr="00A40BB2">
        <w:rPr>
          <w:rFonts w:asciiTheme="minorHAnsi" w:eastAsia="Times New Roman" w:hAnsiTheme="minorHAnsi" w:cstheme="minorHAnsi"/>
          <w:i/>
        </w:rPr>
        <w:t>H</w:t>
      </w:r>
      <w:r w:rsidRPr="00A40BB2">
        <w:rPr>
          <w:rFonts w:asciiTheme="minorHAnsi" w:eastAsia="Times New Roman" w:hAnsiTheme="minorHAnsi" w:cstheme="minorHAnsi"/>
        </w:rPr>
        <w:t xml:space="preserve">) components of light, which represent Ampere’s and Faraday’s laws.  </w:t>
      </w:r>
    </w:p>
    <w:p w14:paraId="1CDB476F" w14:textId="77777777" w:rsidR="006B02BC" w:rsidRPr="00A40BB2" w:rsidRDefault="006B02BC" w:rsidP="00A40BB2">
      <w:pPr>
        <w:overflowPunct w:val="0"/>
        <w:spacing w:line="276" w:lineRule="auto"/>
        <w:ind w:firstLine="227"/>
        <w:textAlignment w:val="baseline"/>
        <w:rPr>
          <w:rFonts w:asciiTheme="minorHAnsi" w:eastAsia="Times New Roman" w:hAnsiTheme="minorHAnsi" w:cstheme="minorHAnsi"/>
        </w:rPr>
      </w:pPr>
      <w:r w:rsidRPr="00A40BB2">
        <w:rPr>
          <w:rFonts w:asciiTheme="minorHAnsi" w:eastAsia="Times New Roman" w:hAnsiTheme="minorHAnsi" w:cstheme="minorHAnsi"/>
        </w:rPr>
        <w:t xml:space="preserve">  </w:t>
      </w:r>
      <w:r w:rsidRPr="00A40BB2">
        <w:rPr>
          <w:rFonts w:asciiTheme="minorHAnsi" w:eastAsia="Times New Roman" w:hAnsiTheme="minorHAnsi" w:cstheme="minorHAnsi"/>
        </w:rPr>
        <w:br/>
      </w:r>
      <m:oMathPara>
        <m:oMath>
          <m:r>
            <m:rPr>
              <m:sty m:val="p"/>
            </m:rPr>
            <w:rPr>
              <w:rFonts w:ascii="Cambria Math" w:hAnsi="Cambria Math" w:cstheme="minorHAnsi"/>
            </w:rPr>
            <m:t>∇</m:t>
          </m:r>
          <m:r>
            <w:rPr>
              <w:rFonts w:ascii="Cambria Math" w:hAnsi="Cambria Math" w:cstheme="minorHAnsi"/>
            </w:rPr>
            <m:t>×H=ϵ</m:t>
          </m:r>
          <m:d>
            <m:dPr>
              <m:ctrlPr>
                <w:rPr>
                  <w:rFonts w:ascii="Cambria Math" w:hAnsi="Cambria Math" w:cstheme="minorHAnsi"/>
                  <w:i/>
                </w:rPr>
              </m:ctrlPr>
            </m:dPr>
            <m:e>
              <m:r>
                <w:rPr>
                  <w:rFonts w:ascii="Cambria Math" w:hAnsi="Cambria Math" w:cstheme="minorHAnsi"/>
                </w:rPr>
                <m:t>r</m:t>
              </m:r>
            </m:e>
          </m:d>
          <m:sSub>
            <m:sSubPr>
              <m:ctrlPr>
                <w:rPr>
                  <w:rFonts w:ascii="Cambria Math" w:hAnsi="Cambria Math" w:cstheme="minorHAnsi"/>
                  <w:i/>
                </w:rPr>
              </m:ctrlPr>
            </m:sSubPr>
            <m:e>
              <m:r>
                <w:rPr>
                  <w:rFonts w:ascii="Cambria Math" w:hAnsi="Cambria Math" w:cstheme="minorHAnsi"/>
                </w:rPr>
                <m:t>ϵ</m:t>
              </m:r>
            </m:e>
            <m:sub>
              <m:r>
                <w:rPr>
                  <w:rFonts w:ascii="Cambria Math" w:hAnsi="Cambria Math" w:cstheme="minorHAnsi"/>
                </w:rPr>
                <m:t>0</m:t>
              </m:r>
            </m:sub>
          </m:sSub>
          <m:f>
            <m:fPr>
              <m:ctrlPr>
                <w:rPr>
                  <w:rFonts w:ascii="Cambria Math" w:hAnsi="Cambria Math" w:cstheme="minorHAnsi"/>
                  <w:i/>
                </w:rPr>
              </m:ctrlPr>
            </m:fPr>
            <m:num>
              <m:r>
                <w:rPr>
                  <w:rFonts w:ascii="Cambria Math" w:hAnsi="Cambria Math" w:cstheme="minorHAnsi"/>
                </w:rPr>
                <m:t>∂E</m:t>
              </m:r>
            </m:num>
            <m:den>
              <m:r>
                <w:rPr>
                  <w:rFonts w:ascii="Cambria Math" w:hAnsi="Cambria Math" w:cstheme="minorHAnsi"/>
                </w:rPr>
                <m:t>∂t</m:t>
              </m:r>
            </m:den>
          </m:f>
        </m:oMath>
      </m:oMathPara>
    </w:p>
    <w:p w14:paraId="23502346" w14:textId="77777777" w:rsidR="006B02BC" w:rsidRPr="00A40BB2" w:rsidRDefault="006B02BC" w:rsidP="00A40BB2">
      <w:pPr>
        <w:overflowPunct w:val="0"/>
        <w:spacing w:line="276" w:lineRule="auto"/>
        <w:ind w:firstLine="227"/>
        <w:textAlignment w:val="baseline"/>
        <w:rPr>
          <w:rFonts w:asciiTheme="minorHAnsi" w:eastAsia="Times New Roman" w:hAnsiTheme="minorHAnsi" w:cstheme="minorHAnsi"/>
        </w:rPr>
      </w:pPr>
      <m:oMathPara>
        <m:oMath>
          <m:r>
            <m:rPr>
              <m:sty m:val="p"/>
            </m:rPr>
            <w:rPr>
              <w:rFonts w:ascii="Cambria Math" w:hAnsi="Cambria Math" w:cstheme="minorHAnsi"/>
            </w:rPr>
            <m:t>∇</m:t>
          </m:r>
          <m:r>
            <w:rPr>
              <w:rFonts w:ascii="Cambria Math" w:hAnsi="Cambria Math" w:cstheme="minorHAnsi"/>
            </w:rPr>
            <m:t>×E=-μ</m:t>
          </m:r>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0</m:t>
              </m:r>
            </m:sub>
          </m:sSub>
          <m:f>
            <m:fPr>
              <m:ctrlPr>
                <w:rPr>
                  <w:rFonts w:ascii="Cambria Math" w:hAnsi="Cambria Math" w:cstheme="minorHAnsi"/>
                  <w:i/>
                </w:rPr>
              </m:ctrlPr>
            </m:fPr>
            <m:num>
              <m:r>
                <w:rPr>
                  <w:rFonts w:ascii="Cambria Math" w:hAnsi="Cambria Math" w:cstheme="minorHAnsi"/>
                </w:rPr>
                <m:t>∂H</m:t>
              </m:r>
            </m:num>
            <m:den>
              <m:r>
                <w:rPr>
                  <w:rFonts w:ascii="Cambria Math" w:hAnsi="Cambria Math" w:cstheme="minorHAnsi"/>
                </w:rPr>
                <m:t>∂t</m:t>
              </m:r>
            </m:den>
          </m:f>
        </m:oMath>
      </m:oMathPara>
    </w:p>
    <w:p w14:paraId="546605E0" w14:textId="77777777" w:rsidR="006B02BC" w:rsidRPr="00A40BB2" w:rsidRDefault="006B02BC" w:rsidP="00A40BB2">
      <w:pPr>
        <w:overflowPunct w:val="0"/>
        <w:spacing w:line="276" w:lineRule="auto"/>
        <w:ind w:firstLine="227"/>
        <w:jc w:val="right"/>
        <w:textAlignment w:val="baseline"/>
        <w:rPr>
          <w:rFonts w:asciiTheme="minorHAnsi" w:eastAsia="Times New Roman" w:hAnsiTheme="minorHAnsi" w:cstheme="minorHAnsi"/>
        </w:rPr>
      </w:pPr>
      <w:r w:rsidRPr="00A40BB2">
        <w:rPr>
          <w:rFonts w:asciiTheme="minorHAnsi" w:eastAsia="Times New Roman" w:hAnsiTheme="minorHAnsi" w:cstheme="minorHAnsi"/>
        </w:rPr>
        <w:t xml:space="preserve">                                                                           </w:t>
      </w:r>
      <w:r w:rsidRPr="00A40BB2">
        <w:rPr>
          <w:rFonts w:asciiTheme="minorHAnsi" w:hAnsiTheme="minorHAnsi" w:cstheme="minorHAnsi"/>
        </w:rPr>
        <w:t xml:space="preserve">                                            </w:t>
      </w:r>
      <w:r w:rsidRPr="00A40BB2">
        <w:rPr>
          <w:rFonts w:asciiTheme="minorHAnsi" w:eastAsia="Times New Roman" w:hAnsiTheme="minorHAnsi" w:cstheme="minorHAnsi"/>
        </w:rPr>
        <w:t xml:space="preserve">  (1)</w:t>
      </w:r>
    </w:p>
    <w:p w14:paraId="68FC4D38" w14:textId="77777777" w:rsidR="006B02BC" w:rsidRPr="00A40BB2" w:rsidRDefault="006B02BC" w:rsidP="00A40BB2">
      <w:pPr>
        <w:overflowPunct w:val="0"/>
        <w:spacing w:line="276" w:lineRule="auto"/>
        <w:ind w:firstLine="227"/>
        <w:textAlignment w:val="baseline"/>
        <w:rPr>
          <w:rFonts w:asciiTheme="minorHAnsi" w:eastAsia="Times New Roman" w:hAnsiTheme="minorHAnsi" w:cstheme="minorHAnsi"/>
        </w:rPr>
      </w:pPr>
    </w:p>
    <w:p w14:paraId="322B5E4C" w14:textId="34B17FF1" w:rsidR="006B02BC" w:rsidRPr="00A40BB2" w:rsidRDefault="006B02BC" w:rsidP="00A40BB2">
      <w:pPr>
        <w:overflowPunct w:val="0"/>
        <w:spacing w:line="276" w:lineRule="auto"/>
        <w:ind w:firstLine="227"/>
        <w:textAlignment w:val="baseline"/>
        <w:rPr>
          <w:rFonts w:asciiTheme="minorHAnsi" w:eastAsia="Times New Roman" w:hAnsiTheme="minorHAnsi" w:cstheme="minorHAnsi"/>
        </w:rPr>
      </w:pPr>
      <w:r w:rsidRPr="00AC7C5E">
        <w:rPr>
          <w:rFonts w:ascii="Cambria Math" w:eastAsia="Times New Roman" w:hAnsi="Cambria Math" w:cs="Cambria Math"/>
        </w:rPr>
        <w:t>𝜖</w:t>
      </w:r>
      <w:r w:rsidRPr="00A40BB2">
        <w:rPr>
          <w:rFonts w:asciiTheme="minorHAnsi" w:eastAsia="Times New Roman" w:hAnsiTheme="minorHAnsi" w:cstheme="minorHAnsi"/>
        </w:rPr>
        <w:t xml:space="preserve"> is the dielectric permittivity that depends on coordinate r and consists of real and imaginary parts that represent material conductivity and are responsible for the light absorption, μ is </w:t>
      </w:r>
      <w:r w:rsidR="007251F7" w:rsidRPr="00A40BB2">
        <w:rPr>
          <w:rFonts w:asciiTheme="minorHAnsi" w:eastAsia="Times New Roman" w:hAnsiTheme="minorHAnsi" w:cstheme="minorHAnsi"/>
        </w:rPr>
        <w:t xml:space="preserve">the </w:t>
      </w:r>
      <w:r w:rsidRPr="00A40BB2">
        <w:rPr>
          <w:rFonts w:asciiTheme="minorHAnsi" w:eastAsia="Times New Roman" w:hAnsiTheme="minorHAnsi" w:cstheme="minorHAnsi"/>
        </w:rPr>
        <w:t xml:space="preserve">magnetic permeability that is constant in our case, </w:t>
      </w:r>
      <w:r w:rsidRPr="00A40BB2">
        <w:rPr>
          <w:rFonts w:asciiTheme="minorHAnsi" w:eastAsia="Times New Roman" w:hAnsiTheme="minorHAnsi" w:cstheme="minorHAnsi"/>
          <w:i/>
        </w:rPr>
        <w:t>t</w:t>
      </w:r>
      <w:r w:rsidRPr="00A40BB2">
        <w:rPr>
          <w:rFonts w:asciiTheme="minorHAnsi" w:eastAsia="Times New Roman" w:hAnsiTheme="minorHAnsi" w:cstheme="minorHAnsi"/>
        </w:rPr>
        <w:t xml:space="preserve">- time. The dielectric permittivity dependence on the wavelength of the </w:t>
      </w:r>
      <w:proofErr w:type="gramStart"/>
      <w:r w:rsidRPr="00A40BB2">
        <w:rPr>
          <w:rFonts w:asciiTheme="minorHAnsi" w:eastAsia="Times New Roman" w:hAnsiTheme="minorHAnsi" w:cstheme="minorHAnsi"/>
        </w:rPr>
        <w:t>photons</w:t>
      </w:r>
      <w:proofErr w:type="gramEnd"/>
      <w:r w:rsidRPr="00A40BB2">
        <w:rPr>
          <w:rFonts w:asciiTheme="minorHAnsi" w:eastAsia="Times New Roman" w:hAnsiTheme="minorHAnsi" w:cstheme="minorHAnsi"/>
        </w:rPr>
        <w:t xml:space="preserve"> is modeled by a set of Lorentz oscillators [1] to match the Ge characteristics for absorption and refractive index</w:t>
      </w:r>
      <w:r w:rsidRPr="00A40BB2">
        <w:rPr>
          <w:rFonts w:asciiTheme="minorHAnsi" w:eastAsia="Times New Roman" w:hAnsiTheme="minorHAnsi" w:cstheme="minorHAnsi"/>
          <w:highlight w:val="yellow"/>
        </w:rPr>
        <w:t>.</w:t>
      </w:r>
      <w:r w:rsidRPr="00A40BB2">
        <w:rPr>
          <w:rFonts w:asciiTheme="minorHAnsi" w:eastAsia="Times New Roman" w:hAnsiTheme="minorHAnsi" w:cstheme="minorHAnsi"/>
        </w:rPr>
        <w:t xml:space="preserve">   </w:t>
      </w:r>
    </w:p>
    <w:p w14:paraId="44CD543D" w14:textId="6BA7BD47" w:rsidR="006B02BC" w:rsidRPr="00A40BB2" w:rsidRDefault="006B02BC" w:rsidP="00A40BB2">
      <w:pPr>
        <w:overflowPunct w:val="0"/>
        <w:spacing w:line="276" w:lineRule="auto"/>
        <w:ind w:firstLine="227"/>
        <w:textAlignment w:val="baseline"/>
        <w:rPr>
          <w:rFonts w:asciiTheme="minorHAnsi" w:eastAsia="Times New Roman" w:hAnsiTheme="minorHAnsi" w:cstheme="minorHAnsi"/>
        </w:rPr>
      </w:pPr>
      <w:r w:rsidRPr="00A40BB2">
        <w:rPr>
          <w:rFonts w:asciiTheme="minorHAnsi" w:eastAsia="Times New Roman" w:hAnsiTheme="minorHAnsi" w:cstheme="minorHAnsi"/>
        </w:rPr>
        <w:t>The absorbed light is calculated by taking the integral Pointing vector that enters the volume and leaves the volume. The incident light was perpendicular to the surface. The Perfect Matching Layers (PML) were used at the boundaries perpendicular to the light incident direction</w:t>
      </w:r>
      <w:r w:rsidR="00424CEC" w:rsidRPr="00A40BB2">
        <w:rPr>
          <w:rFonts w:asciiTheme="minorHAnsi" w:eastAsia="Times New Roman" w:hAnsiTheme="minorHAnsi" w:cstheme="minorHAnsi"/>
        </w:rPr>
        <w:t>,</w:t>
      </w:r>
      <w:r w:rsidRPr="00A40BB2">
        <w:rPr>
          <w:rFonts w:asciiTheme="minorHAnsi" w:eastAsia="Times New Roman" w:hAnsiTheme="minorHAnsi" w:cstheme="minorHAnsi"/>
        </w:rPr>
        <w:t xml:space="preserve"> and periodical boundaries were applied to the </w:t>
      </w:r>
      <w:r w:rsidR="000E3592" w:rsidRPr="00A40BB2">
        <w:rPr>
          <w:rFonts w:asciiTheme="minorHAnsi" w:eastAsia="Times New Roman" w:hAnsiTheme="minorHAnsi" w:cstheme="minorHAnsi"/>
        </w:rPr>
        <w:t xml:space="preserve">other </w:t>
      </w:r>
      <w:r w:rsidRPr="00A40BB2">
        <w:rPr>
          <w:rFonts w:asciiTheme="minorHAnsi" w:eastAsia="Times New Roman" w:hAnsiTheme="minorHAnsi" w:cstheme="minorHAnsi"/>
        </w:rPr>
        <w:t xml:space="preserve">boundaries. A large area of 5x5 unit cells of randomized micro-holes was chosen for FDTD simulation also gives light intensity distribution in the area. </w:t>
      </w:r>
    </w:p>
    <w:p w14:paraId="14257EB5" w14:textId="77777777" w:rsidR="006B02BC" w:rsidRPr="00A40BB2" w:rsidRDefault="006B02BC" w:rsidP="00A40BB2">
      <w:pPr>
        <w:overflowPunct w:val="0"/>
        <w:spacing w:line="276" w:lineRule="auto"/>
        <w:ind w:firstLine="227"/>
        <w:textAlignment w:val="baseline"/>
        <w:rPr>
          <w:rFonts w:asciiTheme="minorHAnsi" w:eastAsia="Times New Roman" w:hAnsiTheme="minorHAnsi" w:cstheme="minorHAnsi"/>
        </w:rPr>
      </w:pPr>
    </w:p>
    <w:p w14:paraId="7D7A915C" w14:textId="77777777" w:rsidR="006B02BC" w:rsidRPr="00A40BB2" w:rsidRDefault="006B02BC" w:rsidP="00A40BB2">
      <w:pPr>
        <w:overflowPunct w:val="0"/>
        <w:spacing w:line="276" w:lineRule="auto"/>
        <w:ind w:firstLine="227"/>
        <w:textAlignment w:val="baseline"/>
        <w:rPr>
          <w:rFonts w:asciiTheme="minorHAnsi" w:eastAsia="Times New Roman" w:hAnsiTheme="minorHAnsi" w:cstheme="minorHAnsi"/>
        </w:rPr>
      </w:pPr>
      <w:r w:rsidRPr="00A40BB2">
        <w:rPr>
          <w:rFonts w:asciiTheme="minorHAnsi" w:eastAsia="Times New Roman" w:hAnsiTheme="minorHAnsi" w:cstheme="minorHAnsi"/>
        </w:rPr>
        <w:t>Total absorption (</w:t>
      </w:r>
      <w:r w:rsidRPr="00A40BB2">
        <w:rPr>
          <w:rFonts w:asciiTheme="minorHAnsi" w:eastAsia="Times New Roman" w:hAnsiTheme="minorHAnsi" w:cstheme="minorHAnsi"/>
          <w:i/>
          <w:iCs/>
        </w:rPr>
        <w:t>A</w:t>
      </w:r>
      <w:r w:rsidRPr="00A40BB2">
        <w:rPr>
          <w:rFonts w:asciiTheme="minorHAnsi" w:eastAsia="Times New Roman" w:hAnsiTheme="minorHAnsi" w:cstheme="minorHAnsi"/>
        </w:rPr>
        <w:t>) in the intrinsic region of the PD is calculated by using the intrinsic layer of PD as the difference between the real parts of the Poynting flux entering the volume (</w:t>
      </w:r>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in</m:t>
            </m:r>
          </m:sub>
        </m:sSub>
        <m:r>
          <w:rPr>
            <w:rFonts w:ascii="Cambria Math" w:hAnsi="Cambria Math" w:cstheme="minorHAnsi"/>
          </w:rPr>
          <m:t>=</m:t>
        </m:r>
        <m:func>
          <m:funcPr>
            <m:ctrlPr>
              <w:rPr>
                <w:rFonts w:ascii="Cambria Math" w:hAnsi="Cambria Math" w:cstheme="minorHAnsi"/>
                <w:i/>
              </w:rPr>
            </m:ctrlPr>
          </m:funcPr>
          <m:fName>
            <m:r>
              <w:rPr>
                <w:rFonts w:ascii="Cambria Math" w:hAnsi="Cambria Math" w:cstheme="minorHAnsi"/>
              </w:rPr>
              <m:t>Re</m:t>
            </m:r>
          </m:fName>
          <m:e>
            <m:d>
              <m:dPr>
                <m:ctrlPr>
                  <w:rPr>
                    <w:rFonts w:ascii="Cambria Math" w:hAnsi="Cambria Math" w:cstheme="minorHAnsi"/>
                    <w:i/>
                  </w:rPr>
                </m:ctrlPr>
              </m:dPr>
              <m:e>
                <m:r>
                  <w:rPr>
                    <w:rFonts w:ascii="Cambria Math" w:hAnsi="Cambria Math" w:cstheme="minorHAnsi"/>
                  </w:rPr>
                  <m:t>E×</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e>
            </m:d>
          </m:e>
        </m:func>
      </m:oMath>
      <w:r w:rsidRPr="00A40BB2">
        <w:rPr>
          <w:rFonts w:asciiTheme="minorHAnsi" w:eastAsia="Times New Roman" w:hAnsiTheme="minorHAnsi" w:cstheme="minorHAnsi"/>
        </w:rPr>
        <w:t>), and the Poynting flux leaving the volume (</w:t>
      </w:r>
      <w:r w:rsidRPr="00A40BB2">
        <w:rPr>
          <w:rFonts w:asciiTheme="minorHAnsi" w:eastAsia="Times New Roman" w:hAnsiTheme="minorHAnsi" w:cstheme="minorHAnsi"/>
          <w:i/>
          <w:iCs/>
        </w:rPr>
        <w:t>P</w:t>
      </w:r>
      <w:r w:rsidRPr="00A40BB2">
        <w:rPr>
          <w:rFonts w:asciiTheme="minorHAnsi" w:eastAsia="Times New Roman" w:hAnsiTheme="minorHAnsi" w:cstheme="minorHAnsi"/>
          <w:i/>
          <w:iCs/>
          <w:vertAlign w:val="subscript"/>
        </w:rPr>
        <w:t>out</w:t>
      </w:r>
      <w:r w:rsidRPr="00A40BB2">
        <w:rPr>
          <w:rFonts w:asciiTheme="minorHAnsi" w:eastAsia="Times New Roman" w:hAnsiTheme="minorHAnsi" w:cstheme="minorHAnsi"/>
        </w:rPr>
        <w:t xml:space="preserve">), which is simulated with the FDTD method: </w:t>
      </w:r>
    </w:p>
    <w:p w14:paraId="62276BAF" w14:textId="77777777" w:rsidR="006B02BC" w:rsidRPr="00A40BB2" w:rsidRDefault="006B02BC" w:rsidP="00A40BB2">
      <w:pPr>
        <w:overflowPunct w:val="0"/>
        <w:autoSpaceDE w:val="0"/>
        <w:autoSpaceDN w:val="0"/>
        <w:adjustRightInd w:val="0"/>
        <w:spacing w:line="276" w:lineRule="auto"/>
        <w:ind w:firstLine="227"/>
        <w:textAlignment w:val="baseline"/>
        <w:rPr>
          <w:rFonts w:asciiTheme="minorHAnsi" w:eastAsia="Times New Roman" w:hAnsiTheme="minorHAnsi" w:cstheme="minorHAnsi"/>
        </w:rPr>
      </w:pPr>
      <w:r w:rsidRPr="00A40BB2">
        <w:rPr>
          <w:rFonts w:asciiTheme="minorHAnsi" w:eastAsia="Times New Roman" w:hAnsiTheme="minorHAnsi" w:cstheme="minorHAnsi"/>
          <w:i/>
        </w:rPr>
        <w:br/>
      </w:r>
      <m:oMathPara>
        <m:oMath>
          <m:r>
            <w:rPr>
              <w:rFonts w:ascii="Cambria Math" w:hAnsi="Cambria Math" w:cstheme="minorHAnsi"/>
            </w:rPr>
            <m:t>A=</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in</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out</m:t>
                  </m:r>
                </m:sub>
              </m:sSub>
            </m:num>
            <m:den>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inc</m:t>
                  </m:r>
                </m:sub>
              </m:sSub>
            </m:den>
          </m:f>
        </m:oMath>
      </m:oMathPara>
    </w:p>
    <w:p w14:paraId="1D5AFCC1" w14:textId="77777777" w:rsidR="006B02BC" w:rsidRPr="00A40BB2" w:rsidRDefault="006B02BC" w:rsidP="00A40BB2">
      <w:pPr>
        <w:overflowPunct w:val="0"/>
        <w:spacing w:line="276" w:lineRule="auto"/>
        <w:ind w:firstLine="227"/>
        <w:jc w:val="right"/>
        <w:textAlignment w:val="baseline"/>
        <w:rPr>
          <w:rFonts w:asciiTheme="minorHAnsi" w:eastAsia="Times New Roman" w:hAnsiTheme="minorHAnsi" w:cstheme="minorHAnsi"/>
        </w:rPr>
      </w:pPr>
      <w:r w:rsidRPr="00A40BB2">
        <w:rPr>
          <w:rFonts w:asciiTheme="minorHAnsi" w:eastAsia="Times New Roman" w:hAnsiTheme="minorHAnsi" w:cstheme="minorHAnsi"/>
        </w:rPr>
        <w:t xml:space="preserve">                                                </w:t>
      </w:r>
      <w:r w:rsidRPr="00A40BB2">
        <w:rPr>
          <w:rFonts w:asciiTheme="minorHAnsi" w:hAnsiTheme="minorHAnsi" w:cstheme="minorHAnsi"/>
        </w:rPr>
        <w:t xml:space="preserve">                                                                        </w:t>
      </w:r>
      <w:r w:rsidRPr="00A40BB2">
        <w:rPr>
          <w:rFonts w:asciiTheme="minorHAnsi" w:eastAsia="Times New Roman" w:hAnsiTheme="minorHAnsi" w:cstheme="minorHAnsi"/>
        </w:rPr>
        <w:t xml:space="preserve">    (2)</w:t>
      </w:r>
    </w:p>
    <w:p w14:paraId="469F4C55" w14:textId="77777777" w:rsidR="006B02BC" w:rsidRPr="00A40BB2" w:rsidRDefault="006B02BC" w:rsidP="00A40BB2">
      <w:pPr>
        <w:overflowPunct w:val="0"/>
        <w:spacing w:line="276" w:lineRule="auto"/>
        <w:ind w:firstLine="227"/>
        <w:textAlignment w:val="baseline"/>
        <w:rPr>
          <w:rFonts w:asciiTheme="minorHAnsi" w:eastAsia="Times New Roman" w:hAnsiTheme="minorHAnsi" w:cstheme="minorHAnsi"/>
          <w:iCs/>
        </w:rPr>
      </w:pPr>
    </w:p>
    <w:p w14:paraId="68403903" w14:textId="2FAB4AAE" w:rsidR="006B02BC" w:rsidRPr="00A40BB2" w:rsidRDefault="006B02BC" w:rsidP="00A40BB2">
      <w:pPr>
        <w:spacing w:line="276" w:lineRule="auto"/>
        <w:rPr>
          <w:rFonts w:asciiTheme="minorHAnsi" w:hAnsiTheme="minorHAnsi" w:cstheme="minorHAnsi"/>
        </w:rPr>
      </w:pPr>
      <w:r w:rsidRPr="00A40BB2">
        <w:rPr>
          <w:rFonts w:asciiTheme="minorHAnsi" w:eastAsia="Times New Roman" w:hAnsiTheme="minorHAnsi" w:cstheme="minorHAnsi"/>
          <w:iCs/>
        </w:rPr>
        <w:t xml:space="preserve">where </w:t>
      </w:r>
      <w:r w:rsidRPr="00A40BB2">
        <w:rPr>
          <w:rFonts w:asciiTheme="minorHAnsi" w:eastAsia="Times New Roman" w:hAnsiTheme="minorHAnsi" w:cstheme="minorHAnsi"/>
          <w:i/>
        </w:rPr>
        <w:t>P</w:t>
      </w:r>
      <w:r w:rsidRPr="00A40BB2">
        <w:rPr>
          <w:rFonts w:asciiTheme="minorHAnsi" w:eastAsia="Times New Roman" w:hAnsiTheme="minorHAnsi" w:cstheme="minorHAnsi"/>
          <w:i/>
          <w:vertAlign w:val="subscript"/>
        </w:rPr>
        <w:t>inc</w:t>
      </w:r>
      <w:r w:rsidRPr="00A40BB2">
        <w:rPr>
          <w:rFonts w:asciiTheme="minorHAnsi" w:eastAsia="Times New Roman" w:hAnsiTheme="minorHAnsi" w:cstheme="minorHAnsi"/>
          <w:iCs/>
        </w:rPr>
        <w:t xml:space="preserve"> is the Poynting vector of the incident light</w:t>
      </w:r>
      <w:r w:rsidRPr="00A40BB2">
        <w:rPr>
          <w:rFonts w:asciiTheme="minorHAnsi" w:eastAsia="Times New Roman" w:hAnsiTheme="minorHAnsi" w:cstheme="minorHAnsi"/>
        </w:rPr>
        <w:t xml:space="preserve">.  The method also gives </w:t>
      </w:r>
      <w:proofErr w:type="gramStart"/>
      <w:r w:rsidRPr="00A40BB2">
        <w:rPr>
          <w:rFonts w:asciiTheme="minorHAnsi" w:eastAsia="Times New Roman" w:hAnsiTheme="minorHAnsi" w:cstheme="minorHAnsi"/>
        </w:rPr>
        <w:t>the light</w:t>
      </w:r>
      <w:proofErr w:type="gramEnd"/>
      <w:r w:rsidRPr="00A40BB2">
        <w:rPr>
          <w:rFonts w:asciiTheme="minorHAnsi" w:eastAsia="Times New Roman" w:hAnsiTheme="minorHAnsi" w:cstheme="minorHAnsi"/>
        </w:rPr>
        <w:t xml:space="preserve"> intensity at every point of the photodiode and is related to the number of photons</w:t>
      </w:r>
      <w:r w:rsidR="007251F7" w:rsidRPr="00A40BB2">
        <w:rPr>
          <w:rFonts w:asciiTheme="minorHAnsi" w:eastAsia="Times New Roman" w:hAnsiTheme="minorHAnsi" w:cstheme="minorHAnsi"/>
        </w:rPr>
        <w:t>,</w:t>
      </w:r>
      <w:r w:rsidRPr="00A40BB2">
        <w:rPr>
          <w:rFonts w:asciiTheme="minorHAnsi" w:eastAsia="Times New Roman" w:hAnsiTheme="minorHAnsi" w:cstheme="minorHAnsi"/>
        </w:rPr>
        <w:t xml:space="preserve"> </w:t>
      </w:r>
      <w:r w:rsidR="00424CEC" w:rsidRPr="00A40BB2">
        <w:rPr>
          <w:rFonts w:asciiTheme="minorHAnsi" w:eastAsia="Times New Roman" w:hAnsiTheme="minorHAnsi" w:cstheme="minorHAnsi"/>
        </w:rPr>
        <w:t xml:space="preserve">which </w:t>
      </w:r>
      <w:r w:rsidRPr="00A40BB2">
        <w:rPr>
          <w:rFonts w:asciiTheme="minorHAnsi" w:eastAsia="Times New Roman" w:hAnsiTheme="minorHAnsi" w:cstheme="minorHAnsi"/>
        </w:rPr>
        <w:t xml:space="preserve">is proportional to the generated electron-hole pairs.   </w:t>
      </w:r>
    </w:p>
    <w:p w14:paraId="02D803A8" w14:textId="77777777" w:rsidR="006B02BC" w:rsidRPr="00A40BB2" w:rsidRDefault="006B02BC" w:rsidP="00A40BB2">
      <w:pPr>
        <w:overflowPunct w:val="0"/>
        <w:spacing w:line="276" w:lineRule="auto"/>
        <w:ind w:firstLine="227"/>
        <w:textAlignment w:val="baseline"/>
        <w:rPr>
          <w:rFonts w:asciiTheme="minorHAnsi" w:eastAsia="Times New Roman" w:hAnsiTheme="minorHAnsi" w:cstheme="minorHAnsi"/>
        </w:rPr>
      </w:pPr>
    </w:p>
    <w:p w14:paraId="3410F629" w14:textId="62E4C05C" w:rsidR="006B02BC" w:rsidRPr="00A40BB2" w:rsidRDefault="00FF0BD8" w:rsidP="00AD6E8C">
      <w:pPr>
        <w:pStyle w:val="heading2"/>
        <w:numPr>
          <w:ilvl w:val="0"/>
          <w:numId w:val="0"/>
        </w:numPr>
        <w:spacing w:before="120" w:after="120"/>
        <w:rPr>
          <w:rFonts w:asciiTheme="minorHAnsi" w:hAnsiTheme="minorHAnsi" w:cstheme="minorHAnsi"/>
          <w:color w:val="4472C4" w:themeColor="accent1"/>
          <w:sz w:val="28"/>
          <w:szCs w:val="28"/>
        </w:rPr>
      </w:pPr>
      <w:r w:rsidRPr="00A40BB2">
        <w:rPr>
          <w:rFonts w:asciiTheme="minorHAnsi" w:hAnsiTheme="minorHAnsi" w:cstheme="minorHAnsi"/>
          <w:color w:val="4472C4" w:themeColor="accent1"/>
          <w:sz w:val="28"/>
          <w:szCs w:val="28"/>
        </w:rPr>
        <w:t xml:space="preserve">2. </w:t>
      </w:r>
      <w:r w:rsidR="006B02BC" w:rsidRPr="00A40BB2">
        <w:rPr>
          <w:rFonts w:asciiTheme="minorHAnsi" w:hAnsiTheme="minorHAnsi" w:cstheme="minorHAnsi"/>
          <w:color w:val="4472C4" w:themeColor="accent1"/>
          <w:sz w:val="28"/>
          <w:szCs w:val="28"/>
        </w:rPr>
        <w:t>Electrical simulations</w:t>
      </w:r>
    </w:p>
    <w:p w14:paraId="09C04A3B" w14:textId="1D99F3FF" w:rsidR="006B02BC" w:rsidRPr="00553EE6" w:rsidRDefault="006B02BC" w:rsidP="00A40BB2">
      <w:pPr>
        <w:overflowPunct w:val="0"/>
        <w:spacing w:line="276" w:lineRule="auto"/>
        <w:ind w:firstLine="227"/>
        <w:textAlignment w:val="baseline"/>
        <w:rPr>
          <w:rFonts w:eastAsia="Times New Roman"/>
        </w:rPr>
      </w:pPr>
      <w:r w:rsidRPr="00553EE6">
        <w:rPr>
          <w:rFonts w:eastAsia="Times New Roman"/>
        </w:rPr>
        <w:t>We used the Monte Carlo molecular</w:t>
      </w:r>
      <w:r w:rsidRPr="00553EE6">
        <w:rPr>
          <w:rFonts w:eastAsia="Times New Roman"/>
          <w:u w:val="single"/>
        </w:rPr>
        <w:t xml:space="preserve"> </w:t>
      </w:r>
      <w:r w:rsidRPr="00553EE6">
        <w:rPr>
          <w:rFonts w:eastAsia="Times New Roman"/>
        </w:rPr>
        <w:t xml:space="preserve">dynamics method to calculate the pulse response.  </w:t>
      </w:r>
      <w:r>
        <w:t>Recently, several techniques have been</w:t>
      </w:r>
      <w:r w:rsidRPr="00553EE6">
        <w:rPr>
          <w:rFonts w:eastAsia="Times New Roman"/>
        </w:rPr>
        <w:t xml:space="preserve"> used for simulations. Device simulation technology for computer-aided design (TCAD) provides a basis for device modeling by using compact behavioral models and sub-circuits relevant to circuit simulation</w:t>
      </w:r>
      <w:r w:rsidR="00824BFD">
        <w:rPr>
          <w:rFonts w:eastAsia="Times New Roman"/>
        </w:rPr>
        <w:t>,</w:t>
      </w:r>
      <w:r w:rsidRPr="00553EE6">
        <w:rPr>
          <w:rFonts w:eastAsia="Times New Roman"/>
        </w:rPr>
        <w:t xml:space="preserve"> realized in commercial packages and drift-diffusion models [1]. As far as we know, for the circuit characteristics in the presence of micro-holes, we need a method that will be based on the physics of the transport that can be described by the Boltzmann transport equation [</w:t>
      </w:r>
      <w:r w:rsidR="007251F7">
        <w:rPr>
          <w:rFonts w:eastAsia="Times New Roman"/>
        </w:rPr>
        <w:t>2</w:t>
      </w:r>
      <w:r w:rsidRPr="00553EE6">
        <w:rPr>
          <w:rFonts w:eastAsia="Times New Roman"/>
        </w:rPr>
        <w:t xml:space="preserve">] and the statistical distribution of the electrons and holes.    </w:t>
      </w:r>
    </w:p>
    <w:p w14:paraId="30EC80EB" w14:textId="77777777" w:rsidR="006B02BC" w:rsidRPr="00553EE6" w:rsidRDefault="006B02BC" w:rsidP="00A40BB2">
      <w:pPr>
        <w:overflowPunct w:val="0"/>
        <w:spacing w:line="276" w:lineRule="auto"/>
        <w:ind w:firstLine="227"/>
        <w:textAlignment w:val="baseline"/>
        <w:rPr>
          <w:rFonts w:eastAsia="Times New Roman"/>
        </w:rPr>
      </w:pPr>
    </w:p>
    <w:p w14:paraId="7C1A75C8" w14:textId="0260FD9E" w:rsidR="006B02BC" w:rsidRPr="00553EE6" w:rsidRDefault="006B02BC" w:rsidP="00A40BB2">
      <w:pPr>
        <w:overflowPunct w:val="0"/>
        <w:spacing w:line="276" w:lineRule="auto"/>
        <w:ind w:firstLine="227"/>
        <w:textAlignment w:val="baseline"/>
        <w:rPr>
          <w:rFonts w:eastAsia="Times New Roman"/>
        </w:rPr>
      </w:pPr>
      <w:r w:rsidRPr="00553EE6">
        <w:rPr>
          <w:rFonts w:eastAsia="Times New Roman"/>
        </w:rPr>
        <w:t>The commercial software Lumerical Charge [</w:t>
      </w:r>
      <w:r w:rsidR="005A17C4">
        <w:rPr>
          <w:rFonts w:eastAsia="Times New Roman"/>
        </w:rPr>
        <w:t>3</w:t>
      </w:r>
      <w:r w:rsidRPr="00553EE6">
        <w:rPr>
          <w:rFonts w:eastAsia="Times New Roman"/>
        </w:rPr>
        <w:t>] offers finite element methods to solve the partial differential equations for electron-hole concentration. A recent study [</w:t>
      </w:r>
      <w:r w:rsidR="005A17C4">
        <w:rPr>
          <w:rFonts w:eastAsia="Times New Roman"/>
        </w:rPr>
        <w:t>4</w:t>
      </w:r>
      <w:r w:rsidRPr="00553EE6">
        <w:rPr>
          <w:rFonts w:eastAsia="Times New Roman"/>
        </w:rPr>
        <w:t>] showed that electron-hole transport in 3D simulation is a difficult problem</w:t>
      </w:r>
      <w:r w:rsidR="007251F7">
        <w:rPr>
          <w:rFonts w:eastAsia="Times New Roman"/>
        </w:rPr>
        <w:t>,</w:t>
      </w:r>
      <w:r w:rsidRPr="00553EE6">
        <w:rPr>
          <w:rFonts w:eastAsia="Times New Roman"/>
        </w:rPr>
        <w:t xml:space="preserve"> and the finite-element methods could be time-consuming. Instead, the Monte Carlo method offers the microscopic simulation of the motion of individual particles in the presence of external fields and the internal fields related to the crystal lattice and other charges. The method was widely used for molecular dynamics</w:t>
      </w:r>
      <w:r w:rsidRPr="00553EE6">
        <w:rPr>
          <w:rFonts w:eastAsia="Times New Roman"/>
          <w:i/>
        </w:rPr>
        <w:t xml:space="preserve"> </w:t>
      </w:r>
      <w:r w:rsidRPr="00553EE6">
        <w:rPr>
          <w:rFonts w:eastAsia="Times New Roman"/>
        </w:rPr>
        <w:t xml:space="preserve">and the thermodynamic properties of liquids and gases. In semiconductors, transport is dominated by random scattering events due to impurities and lattice vibrations, </w:t>
      </w:r>
      <w:r w:rsidR="007251F7">
        <w:rPr>
          <w:rFonts w:eastAsia="Times New Roman"/>
        </w:rPr>
        <w:t>which</w:t>
      </w:r>
      <w:r w:rsidRPr="00553EE6">
        <w:rPr>
          <w:rFonts w:eastAsia="Times New Roman"/>
        </w:rPr>
        <w:t xml:space="preserve"> randomize the momentum and energy of charged particles in time, so the stochastic techniques to model random scattering events are applicable. </w:t>
      </w:r>
    </w:p>
    <w:p w14:paraId="1E2585A0" w14:textId="77777777" w:rsidR="006B02BC" w:rsidRPr="00553EE6" w:rsidRDefault="006B02BC" w:rsidP="00A40BB2">
      <w:pPr>
        <w:overflowPunct w:val="0"/>
        <w:spacing w:line="276" w:lineRule="auto"/>
        <w:ind w:firstLine="227"/>
        <w:textAlignment w:val="baseline"/>
        <w:rPr>
          <w:rFonts w:eastAsia="Times New Roman"/>
        </w:rPr>
      </w:pPr>
      <w:r w:rsidRPr="00553EE6">
        <w:rPr>
          <w:rFonts w:eastAsia="Times New Roman"/>
        </w:rPr>
        <w:t xml:space="preserve"> </w:t>
      </w:r>
    </w:p>
    <w:p w14:paraId="20840A4B" w14:textId="03A3F7D0" w:rsidR="006B02BC" w:rsidRPr="00553EE6" w:rsidRDefault="006B02BC" w:rsidP="00A40BB2">
      <w:pPr>
        <w:overflowPunct w:val="0"/>
        <w:spacing w:line="276" w:lineRule="auto"/>
        <w:ind w:firstLine="227"/>
        <w:textAlignment w:val="baseline"/>
        <w:rPr>
          <w:rFonts w:eastAsia="Times New Roman"/>
        </w:rPr>
      </w:pPr>
      <w:r w:rsidRPr="00553EE6">
        <w:rPr>
          <w:rFonts w:eastAsia="Times New Roman"/>
        </w:rPr>
        <w:t>The Monte Carlo technique considers random stochastic events in periodic boundary conditions. This is a challenge in programming, and Yamada and Ferry developed a method based on the Ewalt sum, where the Monte-Carlo code was validated against experimental data from the studies [5].</w:t>
      </w:r>
      <w:r w:rsidR="00824BFD">
        <w:rPr>
          <w:rFonts w:eastAsia="Times New Roman"/>
        </w:rPr>
        <w:t xml:space="preserve"> </w:t>
      </w:r>
      <w:r w:rsidRPr="00553EE6">
        <w:rPr>
          <w:rFonts w:eastAsia="Times New Roman"/>
        </w:rPr>
        <w:t xml:space="preserve">In the Monte-Carlo molecular dynamics method, we generate random electron-hole pairs with </w:t>
      </w:r>
      <w:r w:rsidR="007251F7">
        <w:rPr>
          <w:rFonts w:eastAsia="Times New Roman"/>
        </w:rPr>
        <w:t xml:space="preserve">a </w:t>
      </w:r>
      <w:r w:rsidRPr="00553EE6">
        <w:rPr>
          <w:rFonts w:eastAsia="Times New Roman"/>
        </w:rPr>
        <w:t xml:space="preserve">probability proportional to the light intensity that was simulated by FDTD and depends on coordinates. Each hole moves to distance </w:t>
      </w:r>
      <w:r w:rsidRPr="00553EE6">
        <w:rPr>
          <w:rFonts w:eastAsia="Times New Roman"/>
          <w:i/>
        </w:rPr>
        <w:t>r=r</w:t>
      </w:r>
      <w:r w:rsidRPr="00553EE6">
        <w:rPr>
          <w:rFonts w:eastAsia="Times New Roman"/>
          <w:i/>
          <w:vertAlign w:val="subscript"/>
        </w:rPr>
        <w:t xml:space="preserve">0 </w:t>
      </w:r>
      <w:r w:rsidRPr="00553EE6">
        <w:rPr>
          <w:rFonts w:eastAsia="Times New Roman"/>
          <w:i/>
        </w:rPr>
        <w:t>ln(rand)</w:t>
      </w:r>
      <w:r w:rsidRPr="00553EE6">
        <w:rPr>
          <w:rFonts w:eastAsia="Times New Roman"/>
        </w:rPr>
        <w:t xml:space="preserve"> where </w:t>
      </w:r>
      <w:r w:rsidRPr="00553EE6">
        <w:rPr>
          <w:rFonts w:eastAsia="Times New Roman"/>
          <w:i/>
        </w:rPr>
        <w:t>r</w:t>
      </w:r>
      <w:r w:rsidRPr="00553EE6">
        <w:rPr>
          <w:rFonts w:eastAsia="Times New Roman"/>
          <w:i/>
          <w:vertAlign w:val="subscript"/>
        </w:rPr>
        <w:t>0</w:t>
      </w:r>
      <w:r w:rsidRPr="00553EE6">
        <w:rPr>
          <w:rFonts w:eastAsia="Times New Roman"/>
        </w:rPr>
        <w:t xml:space="preserve"> is the average distance between scattering events</w:t>
      </w:r>
      <w:r w:rsidR="007251F7">
        <w:rPr>
          <w:rFonts w:eastAsia="Times New Roman"/>
        </w:rPr>
        <w:t>,</w:t>
      </w:r>
      <w:r w:rsidRPr="00553EE6">
        <w:rPr>
          <w:rFonts w:eastAsia="Times New Roman"/>
        </w:rPr>
        <w:t xml:space="preserve"> that is the product of thermal velocity to the average scattering time</w:t>
      </w:r>
      <w:r w:rsidR="007251F7">
        <w:rPr>
          <w:rFonts w:eastAsia="Times New Roman"/>
        </w:rPr>
        <w:t>,</w:t>
      </w:r>
      <w:r w:rsidRPr="00553EE6">
        <w:rPr>
          <w:rFonts w:eastAsia="Times New Roman"/>
        </w:rPr>
        <w:t xml:space="preserve"> and </w:t>
      </w:r>
      <w:r w:rsidRPr="00553EE6">
        <w:rPr>
          <w:rFonts w:eastAsia="Times New Roman"/>
          <w:i/>
        </w:rPr>
        <w:t>rand</w:t>
      </w:r>
      <w:r w:rsidRPr="00553EE6">
        <w:rPr>
          <w:rFonts w:eastAsia="Times New Roman"/>
        </w:rPr>
        <w:t xml:space="preserve"> is a random number in the interval [0,1]. The carrier current density </w:t>
      </w:r>
      <w:r w:rsidRPr="00553EE6">
        <w:rPr>
          <w:rFonts w:eastAsia="Times New Roman"/>
          <w:i/>
          <w:iCs/>
        </w:rPr>
        <w:t>(j)</w:t>
      </w:r>
      <w:r w:rsidRPr="00553EE6">
        <w:rPr>
          <w:rFonts w:eastAsia="Times New Roman"/>
        </w:rPr>
        <w:t xml:space="preserve"> for every coordinate </w:t>
      </w:r>
      <w:r w:rsidRPr="00553EE6">
        <w:rPr>
          <w:rFonts w:eastAsia="Times New Roman"/>
          <w:i/>
        </w:rPr>
        <w:t>r</w:t>
      </w:r>
      <w:r w:rsidRPr="00553EE6">
        <w:rPr>
          <w:rFonts w:eastAsia="Times New Roman"/>
        </w:rPr>
        <w:t xml:space="preserve"> is the sum of diffusion, drive, and displacement current.  </w:t>
      </w:r>
    </w:p>
    <w:p w14:paraId="048B9772" w14:textId="77777777" w:rsidR="006B02BC" w:rsidRPr="00553EE6" w:rsidRDefault="006B02BC" w:rsidP="00A40BB2">
      <w:pPr>
        <w:overflowPunct w:val="0"/>
        <w:spacing w:line="276" w:lineRule="auto"/>
        <w:ind w:firstLine="227"/>
        <w:textAlignment w:val="baseline"/>
        <w:rPr>
          <w:rFonts w:eastAsia="Times New Roman"/>
        </w:rPr>
      </w:pPr>
    </w:p>
    <w:p w14:paraId="7A3DACBA" w14:textId="77777777" w:rsidR="006B02BC" w:rsidRPr="00553EE6" w:rsidRDefault="006B02BC" w:rsidP="00A40BB2">
      <w:pPr>
        <w:overflowPunct w:val="0"/>
        <w:spacing w:line="276" w:lineRule="auto"/>
        <w:ind w:firstLine="227"/>
        <w:textAlignment w:val="baseline"/>
        <w:rPr>
          <w:rFonts w:eastAsia="Times New Roman"/>
        </w:rPr>
      </w:pPr>
    </w:p>
    <w:p w14:paraId="2B18643E" w14:textId="77777777" w:rsidR="006B02BC" w:rsidRPr="00553EE6" w:rsidRDefault="006B02BC" w:rsidP="00A40BB2">
      <w:pPr>
        <w:overflowPunct w:val="0"/>
        <w:autoSpaceDE w:val="0"/>
        <w:autoSpaceDN w:val="0"/>
        <w:adjustRightInd w:val="0"/>
        <w:spacing w:after="0" w:line="276" w:lineRule="auto"/>
        <w:ind w:firstLine="227"/>
        <w:textAlignment w:val="baseline"/>
        <w:rPr>
          <w:rFonts w:eastAsia="Times New Roman"/>
        </w:rPr>
      </w:pPr>
      <m:oMathPara>
        <m:oMath>
          <m:r>
            <w:rPr>
              <w:rFonts w:ascii="Cambria Math" w:hAnsi="Cambria Math"/>
            </w:rPr>
            <m:t>j=</m:t>
          </m:r>
          <m:sSub>
            <m:sSubPr>
              <m:ctrlPr>
                <w:rPr>
                  <w:rFonts w:ascii="Cambria Math" w:hAnsi="Cambria Math"/>
                  <w:i/>
                </w:rPr>
              </m:ctrlPr>
            </m:sSubPr>
            <m:e>
              <m:r>
                <w:rPr>
                  <w:rFonts w:ascii="Cambria Math" w:hAnsi="Cambria Math"/>
                </w:rPr>
                <m:t>j</m:t>
              </m:r>
            </m:e>
            <m:sub>
              <m:r>
                <w:rPr>
                  <w:rFonts w:ascii="Cambria Math" w:hAnsi="Cambria Math"/>
                </w:rPr>
                <m:t>diff</m:t>
              </m:r>
            </m:sub>
          </m:sSub>
          <m:r>
            <w:rPr>
              <w:rFonts w:ascii="Cambria Math" w:hAnsi="Cambria Math"/>
            </w:rPr>
            <m:t>+</m:t>
          </m:r>
          <m:sSub>
            <m:sSubPr>
              <m:ctrlPr>
                <w:rPr>
                  <w:rFonts w:ascii="Cambria Math" w:hAnsi="Cambria Math"/>
                  <w:i/>
                </w:rPr>
              </m:ctrlPr>
            </m:sSubPr>
            <m:e>
              <m:r>
                <w:rPr>
                  <w:rFonts w:ascii="Cambria Math" w:hAnsi="Cambria Math"/>
                </w:rPr>
                <m:t>j</m:t>
              </m:r>
            </m:e>
            <m:sub>
              <m:r>
                <w:rPr>
                  <w:rFonts w:ascii="Cambria Math" w:hAnsi="Cambria Math"/>
                </w:rPr>
                <m:t>dr</m:t>
              </m:r>
            </m:sub>
          </m:sSub>
          <m:r>
            <w:rPr>
              <w:rFonts w:ascii="Cambria Math" w:hAnsi="Cambria Math"/>
            </w:rPr>
            <m:t>+</m:t>
          </m:r>
          <m:sSub>
            <m:sSubPr>
              <m:ctrlPr>
                <w:rPr>
                  <w:rFonts w:ascii="Cambria Math" w:hAnsi="Cambria Math"/>
                  <w:i/>
                </w:rPr>
              </m:ctrlPr>
            </m:sSubPr>
            <m:e>
              <m:r>
                <w:rPr>
                  <w:rFonts w:ascii="Cambria Math" w:hAnsi="Cambria Math"/>
                </w:rPr>
                <m:t>j</m:t>
              </m:r>
            </m:e>
            <m:sub>
              <m:r>
                <w:rPr>
                  <w:rFonts w:ascii="Cambria Math" w:hAnsi="Cambria Math"/>
                </w:rPr>
                <m:t>disp</m:t>
              </m:r>
            </m:sub>
          </m:sSub>
          <m:r>
            <w:rPr>
              <w:rFonts w:ascii="Cambria Math" w:hAnsi="Cambria Math"/>
            </w:rPr>
            <m:t>=</m:t>
          </m:r>
        </m:oMath>
      </m:oMathPara>
    </w:p>
    <w:p w14:paraId="61CA5DFC" w14:textId="77777777" w:rsidR="006B02BC" w:rsidRPr="00553EE6" w:rsidRDefault="006B02BC" w:rsidP="00A40BB2">
      <w:pPr>
        <w:overflowPunct w:val="0"/>
        <w:autoSpaceDE w:val="0"/>
        <w:autoSpaceDN w:val="0"/>
        <w:adjustRightInd w:val="0"/>
        <w:spacing w:after="0" w:line="276" w:lineRule="auto"/>
        <w:ind w:firstLine="227"/>
        <w:textAlignment w:val="baseline"/>
        <w:rPr>
          <w:rFonts w:eastAsia="Times New Roman"/>
        </w:rPr>
      </w:pPr>
      <m:oMathPara>
        <m:oMath>
          <m:r>
            <w:rPr>
              <w:rFonts w:ascii="Cambria Math" w:hAnsi="Cambria Math"/>
            </w:rPr>
            <m:t>q</m:t>
          </m:r>
          <m:sSub>
            <m:sSubPr>
              <m:ctrlPr>
                <w:rPr>
                  <w:rFonts w:ascii="Cambria Math" w:hAnsi="Cambria Math"/>
                  <w:i/>
                </w:rPr>
              </m:ctrlPr>
            </m:sSubPr>
            <m:e>
              <m:r>
                <w:rPr>
                  <w:rFonts w:ascii="Cambria Math" w:hAnsi="Cambria Math"/>
                </w:rPr>
                <m:t>D</m:t>
              </m:r>
            </m:e>
            <m:sub>
              <m:r>
                <w:rPr>
                  <w:rFonts w:ascii="Cambria Math" w:hAnsi="Cambria Math"/>
                </w:rPr>
                <m:t>e</m:t>
              </m:r>
            </m:sub>
          </m:sSub>
          <m:r>
            <m:rPr>
              <m:sty m:val="p"/>
            </m:rPr>
            <w:rPr>
              <w:rFonts w:ascii="Cambria Math" w:hAnsi="Cambria Math"/>
            </w:rPr>
            <m:t>∇</m:t>
          </m:r>
          <m:r>
            <w:rPr>
              <w:rFonts w:ascii="Cambria Math" w:hAnsi="Cambria Math"/>
            </w:rPr>
            <m:t>n+q</m:t>
          </m:r>
          <m:sSub>
            <m:sSubPr>
              <m:ctrlPr>
                <w:rPr>
                  <w:rFonts w:ascii="Cambria Math" w:hAnsi="Cambria Math"/>
                  <w:i/>
                </w:rPr>
              </m:ctrlPr>
            </m:sSubPr>
            <m:e>
              <m:r>
                <w:rPr>
                  <w:rFonts w:ascii="Cambria Math" w:hAnsi="Cambria Math"/>
                </w:rPr>
                <m:t>D</m:t>
              </m:r>
            </m:e>
            <m:sub>
              <m:r>
                <w:rPr>
                  <w:rFonts w:ascii="Cambria Math" w:hAnsi="Cambria Math"/>
                </w:rPr>
                <m:t>p</m:t>
              </m:r>
            </m:sub>
          </m:sSub>
          <m:r>
            <m:rPr>
              <m:sty m:val="p"/>
            </m:rPr>
            <w:rPr>
              <w:rFonts w:ascii="Cambria Math" w:hAnsi="Cambria Math"/>
            </w:rPr>
            <m:t>∇</m:t>
          </m:r>
          <m:r>
            <w:rPr>
              <w:rFonts w:ascii="Cambria Math" w:hAnsi="Cambria Math"/>
            </w:rPr>
            <m:t>p+qn</m:t>
          </m:r>
          <m:sSub>
            <m:sSubPr>
              <m:ctrlPr>
                <w:rPr>
                  <w:rFonts w:ascii="Cambria Math" w:hAnsi="Cambria Math"/>
                  <w:i/>
                </w:rPr>
              </m:ctrlPr>
            </m:sSubPr>
            <m:e>
              <m:r>
                <w:rPr>
                  <w:rFonts w:ascii="Cambria Math" w:hAnsi="Cambria Math"/>
                </w:rPr>
                <m:t>μ</m:t>
              </m:r>
            </m:e>
            <m:sub>
              <m:r>
                <w:rPr>
                  <w:rFonts w:ascii="Cambria Math" w:hAnsi="Cambria Math"/>
                </w:rPr>
                <m:t>e</m:t>
              </m:r>
            </m:sub>
          </m:sSub>
          <m:sSub>
            <m:sSubPr>
              <m:ctrlPr>
                <w:rPr>
                  <w:rFonts w:ascii="Cambria Math" w:hAnsi="Cambria Math"/>
                  <w:i/>
                </w:rPr>
              </m:ctrlPr>
            </m:sSubPr>
            <m:e>
              <m:r>
                <w:rPr>
                  <w:rFonts w:ascii="Cambria Math" w:hAnsi="Cambria Math"/>
                </w:rPr>
                <m:t>E</m:t>
              </m:r>
            </m:e>
            <m:sub>
              <m:r>
                <w:rPr>
                  <w:rFonts w:ascii="Cambria Math" w:hAnsi="Cambria Math"/>
                </w:rPr>
                <m:t>s</m:t>
              </m:r>
            </m:sub>
          </m:sSub>
          <m:r>
            <w:rPr>
              <w:rFonts w:ascii="Cambria Math" w:hAnsi="Cambria Math"/>
            </w:rPr>
            <m:t>+qp</m:t>
          </m:r>
          <m:sSub>
            <m:sSubPr>
              <m:ctrlPr>
                <w:rPr>
                  <w:rFonts w:ascii="Cambria Math" w:hAnsi="Cambria Math"/>
                  <w:i/>
                </w:rPr>
              </m:ctrlPr>
            </m:sSubPr>
            <m:e>
              <m:r>
                <w:rPr>
                  <w:rFonts w:ascii="Cambria Math" w:hAnsi="Cambria Math"/>
                </w:rPr>
                <m:t>μ</m:t>
              </m:r>
            </m:e>
            <m:sub>
              <m:r>
                <w:rPr>
                  <w:rFonts w:ascii="Cambria Math" w:hAnsi="Cambria Math"/>
                </w:rPr>
                <m:t>p</m:t>
              </m:r>
            </m:sub>
          </m:sSub>
          <m:sSub>
            <m:sSubPr>
              <m:ctrlPr>
                <w:rPr>
                  <w:rFonts w:ascii="Cambria Math" w:hAnsi="Cambria Math"/>
                  <w:i/>
                </w:rPr>
              </m:ctrlPr>
            </m:sSubPr>
            <m:e>
              <m:r>
                <w:rPr>
                  <w:rFonts w:ascii="Cambria Math" w:hAnsi="Cambria Math"/>
                </w:rPr>
                <m:t>E</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0</m:t>
              </m:r>
            </m:sub>
          </m:sSub>
          <m:r>
            <w:rPr>
              <w:rFonts w:ascii="Cambria Math" w:hAnsi="Cambria Math"/>
            </w:rPr>
            <m:t>ϵ</m:t>
          </m:r>
          <m:f>
            <m:fPr>
              <m:type m:val="lin"/>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s</m:t>
                  </m:r>
                </m:sub>
              </m:sSub>
            </m:num>
            <m:den>
              <m:r>
                <w:rPr>
                  <w:rFonts w:ascii="Cambria Math" w:hAnsi="Cambria Math"/>
                </w:rPr>
                <m:t>∂t</m:t>
              </m:r>
            </m:den>
          </m:f>
        </m:oMath>
      </m:oMathPara>
    </w:p>
    <w:p w14:paraId="2B8486FB" w14:textId="77777777" w:rsidR="006B02BC" w:rsidRPr="00553EE6" w:rsidRDefault="006B02BC" w:rsidP="00A40BB2">
      <w:pPr>
        <w:overflowPunct w:val="0"/>
        <w:autoSpaceDE w:val="0"/>
        <w:autoSpaceDN w:val="0"/>
        <w:adjustRightInd w:val="0"/>
        <w:spacing w:after="0" w:line="276" w:lineRule="auto"/>
        <w:ind w:firstLine="227"/>
        <w:textAlignment w:val="baseline"/>
      </w:pPr>
      <w:r w:rsidRPr="00553EE6">
        <w:t xml:space="preserve">                                                                                        </w:t>
      </w:r>
      <w:r>
        <w:t xml:space="preserve">                           </w:t>
      </w:r>
      <w:r w:rsidRPr="00553EE6">
        <w:t xml:space="preserve"> </w:t>
      </w:r>
      <w:r>
        <w:t xml:space="preserve">                                                                           </w:t>
      </w:r>
      <w:r w:rsidRPr="00553EE6">
        <w:t xml:space="preserve">     (3)</w:t>
      </w:r>
    </w:p>
    <w:p w14:paraId="163B1D62" w14:textId="47FD793C" w:rsidR="006B02BC" w:rsidRPr="00553EE6" w:rsidRDefault="006B02BC" w:rsidP="00A40BB2">
      <w:pPr>
        <w:overflowPunct w:val="0"/>
        <w:spacing w:line="276" w:lineRule="auto"/>
        <w:ind w:firstLine="227"/>
        <w:textAlignment w:val="baseline"/>
        <w:rPr>
          <w:rFonts w:eastAsia="Times New Roman"/>
        </w:rPr>
      </w:pPr>
      <w:r w:rsidRPr="00553EE6">
        <w:rPr>
          <w:rFonts w:eastAsia="Times New Roman"/>
        </w:rPr>
        <w:t>Here</w:t>
      </w:r>
      <w:r w:rsidR="00824BFD">
        <w:rPr>
          <w:rFonts w:eastAsia="Times New Roman"/>
        </w:rPr>
        <w:t>,</w:t>
      </w:r>
      <w:r w:rsidRPr="00553EE6">
        <w:rPr>
          <w:rFonts w:eastAsia="Times New Roman"/>
        </w:rPr>
        <w:t xml:space="preserve"> </w:t>
      </w:r>
      <w:r w:rsidRPr="00553EE6">
        <w:rPr>
          <w:rFonts w:eastAsia="Times New Roman"/>
          <w:i/>
        </w:rPr>
        <w:t>q</w:t>
      </w:r>
      <w:r w:rsidRPr="00553EE6">
        <w:rPr>
          <w:rFonts w:eastAsia="Times New Roman"/>
        </w:rPr>
        <w:t xml:space="preserve"> is the electron charge, </w:t>
      </w:r>
      <w:r w:rsidRPr="00553EE6">
        <w:rPr>
          <w:rFonts w:eastAsia="Times New Roman"/>
          <w:i/>
        </w:rPr>
        <w:t>n</w:t>
      </w:r>
      <w:r w:rsidRPr="00553EE6">
        <w:rPr>
          <w:rFonts w:eastAsia="Times New Roman"/>
        </w:rPr>
        <w:t xml:space="preserve"> and </w:t>
      </w:r>
      <w:proofErr w:type="spellStart"/>
      <w:r w:rsidRPr="00553EE6">
        <w:rPr>
          <w:rFonts w:eastAsia="Times New Roman"/>
          <w:i/>
        </w:rPr>
        <w:t>p</w:t>
      </w:r>
      <w:r w:rsidRPr="00553EE6">
        <w:rPr>
          <w:rFonts w:eastAsia="Times New Roman"/>
        </w:rPr>
        <w:t xml:space="preserve"> are</w:t>
      </w:r>
      <w:proofErr w:type="spellEnd"/>
      <w:r w:rsidRPr="00553EE6">
        <w:rPr>
          <w:rFonts w:eastAsia="Times New Roman"/>
        </w:rPr>
        <w:t xml:space="preserve"> the </w:t>
      </w:r>
      <w:r w:rsidR="00824BFD">
        <w:rPr>
          <w:rFonts w:eastAsia="Times New Roman"/>
        </w:rPr>
        <w:t>electron</w:t>
      </w:r>
      <w:r w:rsidR="00824BFD" w:rsidRPr="00553EE6">
        <w:rPr>
          <w:rFonts w:eastAsia="Times New Roman"/>
        </w:rPr>
        <w:t xml:space="preserve"> </w:t>
      </w:r>
      <w:r w:rsidRPr="00553EE6">
        <w:rPr>
          <w:rFonts w:eastAsia="Times New Roman"/>
        </w:rPr>
        <w:t xml:space="preserve">and </w:t>
      </w:r>
      <w:r w:rsidR="00824BFD">
        <w:rPr>
          <w:rFonts w:eastAsia="Times New Roman"/>
        </w:rPr>
        <w:t>hole concentrations</w:t>
      </w:r>
      <w:r w:rsidRPr="00553EE6">
        <w:rPr>
          <w:rFonts w:eastAsia="Times New Roman"/>
        </w:rPr>
        <w:t xml:space="preserve">, </w:t>
      </w:r>
      <w:r w:rsidRPr="00553EE6">
        <w:rPr>
          <w:rFonts w:eastAsia="Times New Roman"/>
          <w:i/>
        </w:rPr>
        <w:t>E</w:t>
      </w:r>
      <w:r w:rsidRPr="00553EE6">
        <w:rPr>
          <w:rFonts w:eastAsia="Times New Roman"/>
          <w:i/>
          <w:vertAlign w:val="subscript"/>
        </w:rPr>
        <w:t>s</w:t>
      </w:r>
      <w:r w:rsidRPr="00553EE6">
        <w:rPr>
          <w:rFonts w:eastAsia="Times New Roman"/>
        </w:rPr>
        <w:t xml:space="preserve"> is the electrostatic field produced by the voltage, </w:t>
      </w:r>
      <w:r w:rsidRPr="00553EE6">
        <w:rPr>
          <w:rFonts w:eastAsia="Times New Roman"/>
          <w:i/>
        </w:rPr>
        <w:t>D</w:t>
      </w:r>
      <w:r w:rsidRPr="00553EE6">
        <w:rPr>
          <w:rFonts w:eastAsia="Times New Roman"/>
          <w:i/>
          <w:vertAlign w:val="subscript"/>
        </w:rPr>
        <w:t>e</w:t>
      </w:r>
      <w:r w:rsidRPr="00553EE6">
        <w:rPr>
          <w:rFonts w:eastAsia="Times New Roman"/>
        </w:rPr>
        <w:t xml:space="preserve"> and </w:t>
      </w:r>
      <w:proofErr w:type="spellStart"/>
      <w:r w:rsidRPr="00553EE6">
        <w:rPr>
          <w:rFonts w:eastAsia="Times New Roman"/>
          <w:i/>
        </w:rPr>
        <w:t>D</w:t>
      </w:r>
      <w:r w:rsidRPr="00553EE6">
        <w:rPr>
          <w:rFonts w:eastAsia="Times New Roman"/>
          <w:i/>
          <w:vertAlign w:val="subscript"/>
        </w:rPr>
        <w:t>p</w:t>
      </w:r>
      <w:proofErr w:type="spellEnd"/>
      <w:r w:rsidRPr="00553EE6">
        <w:rPr>
          <w:rFonts w:eastAsia="Times New Roman"/>
        </w:rPr>
        <w:t xml:space="preserve"> are the electrons and holes diffusion coefficients, </w:t>
      </w:r>
      <w:r w:rsidRPr="00553EE6">
        <w:rPr>
          <w:rFonts w:ascii="Cambria Math" w:eastAsia="Times New Roman" w:hAnsi="Cambria Math" w:cs="Cambria Math"/>
        </w:rPr>
        <w:t>𝜇</w:t>
      </w:r>
      <w:r w:rsidRPr="00553EE6">
        <w:rPr>
          <w:rFonts w:ascii="Cambria Math" w:eastAsia="Times New Roman" w:hAnsi="Cambria Math" w:cs="Cambria Math"/>
          <w:vertAlign w:val="subscript"/>
        </w:rPr>
        <w:t>𝑒</w:t>
      </w:r>
      <w:r w:rsidRPr="00553EE6">
        <w:rPr>
          <w:rFonts w:eastAsia="Times New Roman"/>
        </w:rPr>
        <w:t xml:space="preserve"> and </w:t>
      </w:r>
      <w:r w:rsidRPr="00553EE6">
        <w:rPr>
          <w:rFonts w:ascii="Cambria Math" w:eastAsia="Times New Roman" w:hAnsi="Cambria Math" w:cs="Cambria Math"/>
        </w:rPr>
        <w:t>𝜇</w:t>
      </w:r>
      <w:r w:rsidRPr="00553EE6">
        <w:rPr>
          <w:rFonts w:ascii="Cambria Math" w:eastAsia="Times New Roman" w:hAnsi="Cambria Math" w:cs="Cambria Math"/>
          <w:vertAlign w:val="subscript"/>
        </w:rPr>
        <w:t>𝑝</w:t>
      </w:r>
      <w:r w:rsidRPr="00553EE6">
        <w:rPr>
          <w:rFonts w:eastAsia="Times New Roman"/>
        </w:rPr>
        <w:t xml:space="preserve"> are the electrons and holes mobilities.  Thus, the velocity of the electrons and the holes </w:t>
      </w:r>
      <w:r w:rsidR="00824BFD">
        <w:rPr>
          <w:rFonts w:eastAsia="Times New Roman"/>
        </w:rPr>
        <w:t>has</w:t>
      </w:r>
      <w:r w:rsidR="00824BFD" w:rsidRPr="00553EE6">
        <w:rPr>
          <w:rFonts w:eastAsia="Times New Roman"/>
        </w:rPr>
        <w:t xml:space="preserve"> </w:t>
      </w:r>
      <w:r w:rsidRPr="00553EE6">
        <w:rPr>
          <w:rFonts w:eastAsia="Times New Roman"/>
        </w:rPr>
        <w:t xml:space="preserve">three components – one is the random scattering that represents diffusion current density </w:t>
      </w:r>
      <w:r w:rsidRPr="00553EE6">
        <w:rPr>
          <w:rFonts w:ascii="Cambria Math" w:eastAsia="Times New Roman" w:hAnsi="Cambria Math" w:cs="Cambria Math"/>
        </w:rPr>
        <w:t>𝑗</w:t>
      </w:r>
      <w:r w:rsidRPr="00553EE6">
        <w:rPr>
          <w:rFonts w:ascii="Cambria Math" w:eastAsia="Times New Roman" w:hAnsi="Cambria Math" w:cs="Cambria Math"/>
          <w:vertAlign w:val="subscript"/>
        </w:rPr>
        <w:t>𝑑𝑖𝑓𝑓</w:t>
      </w:r>
      <w:r w:rsidRPr="00553EE6">
        <w:rPr>
          <w:rFonts w:eastAsia="Times New Roman"/>
          <w:vertAlign w:val="subscript"/>
        </w:rPr>
        <w:t xml:space="preserve"> </w:t>
      </w:r>
      <w:r w:rsidRPr="00553EE6">
        <w:rPr>
          <w:rFonts w:eastAsia="Times New Roman"/>
        </w:rPr>
        <w:t>that corresponds to diffusion capacitance current in Simon Sze [</w:t>
      </w:r>
      <w:r w:rsidR="005A17C4">
        <w:rPr>
          <w:rFonts w:eastAsia="Times New Roman"/>
        </w:rPr>
        <w:t>6</w:t>
      </w:r>
      <w:r w:rsidRPr="00553EE6">
        <w:rPr>
          <w:rFonts w:eastAsia="Times New Roman"/>
        </w:rPr>
        <w:t>]. The second is determined by the electric field applied to the PD that represents drift current density (</w:t>
      </w:r>
      <w:r w:rsidRPr="00553EE6">
        <w:rPr>
          <w:rFonts w:ascii="Cambria Math" w:eastAsia="Times New Roman" w:hAnsi="Cambria Math" w:cs="Cambria Math"/>
        </w:rPr>
        <w:t>𝑗</w:t>
      </w:r>
      <w:r w:rsidRPr="00553EE6">
        <w:rPr>
          <w:rFonts w:ascii="Cambria Math" w:eastAsia="Times New Roman" w:hAnsi="Cambria Math" w:cs="Cambria Math"/>
          <w:vertAlign w:val="subscript"/>
        </w:rPr>
        <w:t>𝑑𝑟</w:t>
      </w:r>
      <w:r w:rsidRPr="00553EE6">
        <w:rPr>
          <w:rFonts w:eastAsia="Times New Roman"/>
        </w:rPr>
        <w:t>)</w:t>
      </w:r>
      <w:r w:rsidR="00824BFD">
        <w:rPr>
          <w:rFonts w:eastAsia="Times New Roman"/>
        </w:rPr>
        <w:t>,</w:t>
      </w:r>
      <w:r w:rsidRPr="00553EE6">
        <w:rPr>
          <w:rFonts w:eastAsia="Times New Roman"/>
        </w:rPr>
        <w:t xml:space="preserve"> and the third is the velocity in the potential charges created by the electron-hole distribution, which represents the displacement current density (</w:t>
      </w:r>
      <w:r w:rsidRPr="00553EE6">
        <w:rPr>
          <w:rFonts w:ascii="Cambria Math" w:eastAsia="Times New Roman" w:hAnsi="Cambria Math" w:cs="Cambria Math"/>
        </w:rPr>
        <w:t>𝑗</w:t>
      </w:r>
      <w:r w:rsidRPr="00553EE6">
        <w:rPr>
          <w:rFonts w:ascii="Cambria Math" w:eastAsia="Times New Roman" w:hAnsi="Cambria Math" w:cs="Cambria Math"/>
          <w:vertAlign w:val="subscript"/>
        </w:rPr>
        <w:t>𝑑𝑖𝑠𝑝</w:t>
      </w:r>
      <w:r w:rsidRPr="00553EE6">
        <w:rPr>
          <w:rFonts w:eastAsia="Times New Roman"/>
        </w:rPr>
        <w:t>). The third term is often called the diffusion capacitance current in transistor devices [</w:t>
      </w:r>
      <w:r w:rsidR="005A17C4">
        <w:rPr>
          <w:rFonts w:eastAsia="Times New Roman"/>
        </w:rPr>
        <w:t>7</w:t>
      </w:r>
      <w:r w:rsidRPr="00553EE6">
        <w:rPr>
          <w:rFonts w:eastAsia="Times New Roman"/>
        </w:rPr>
        <w:t xml:space="preserve">]. When an AC signal is applied to </w:t>
      </w:r>
      <w:proofErr w:type="gramStart"/>
      <w:r w:rsidRPr="00553EE6">
        <w:rPr>
          <w:rFonts w:eastAsia="Times New Roman"/>
        </w:rPr>
        <w:t>forward-biased</w:t>
      </w:r>
      <w:proofErr w:type="gramEnd"/>
      <w:r w:rsidRPr="00553EE6">
        <w:rPr>
          <w:rFonts w:eastAsia="Times New Roman"/>
        </w:rPr>
        <w:t xml:space="preserve"> </w:t>
      </w:r>
      <w:proofErr w:type="spellStart"/>
      <w:r w:rsidRPr="00553EE6">
        <w:rPr>
          <w:rFonts w:eastAsia="Times New Roman"/>
          <w:i/>
        </w:rPr>
        <w:t>pn</w:t>
      </w:r>
      <w:proofErr w:type="spellEnd"/>
      <w:r w:rsidRPr="00553EE6">
        <w:rPr>
          <w:rFonts w:eastAsia="Times New Roman"/>
          <w:i/>
        </w:rPr>
        <w:t xml:space="preserve"> </w:t>
      </w:r>
      <w:r w:rsidRPr="00553EE6">
        <w:rPr>
          <w:rFonts w:eastAsia="Times New Roman"/>
        </w:rPr>
        <w:t xml:space="preserve">junction </w:t>
      </w:r>
      <w:r w:rsidRPr="00553EE6">
        <w:rPr>
          <w:rFonts w:eastAsia="Times New Roman"/>
        </w:rPr>
        <w:lastRenderedPageBreak/>
        <w:t xml:space="preserve">devices, </w:t>
      </w:r>
      <w:proofErr w:type="gramStart"/>
      <w:r w:rsidRPr="00553EE6">
        <w:rPr>
          <w:rFonts w:eastAsia="Times New Roman"/>
        </w:rPr>
        <w:t>AC</w:t>
      </w:r>
      <w:proofErr w:type="gramEnd"/>
      <w:r w:rsidRPr="00553EE6">
        <w:rPr>
          <w:rFonts w:eastAsia="Times New Roman"/>
        </w:rPr>
        <w:t xml:space="preserve"> current </w:t>
      </w:r>
      <w:proofErr w:type="gramStart"/>
      <w:r w:rsidRPr="00553EE6">
        <w:rPr>
          <w:rFonts w:eastAsia="Times New Roman"/>
        </w:rPr>
        <w:t>flow</w:t>
      </w:r>
      <w:proofErr w:type="gramEnd"/>
      <w:r w:rsidRPr="00553EE6">
        <w:rPr>
          <w:rFonts w:eastAsia="Times New Roman"/>
        </w:rPr>
        <w:t xml:space="preserve"> through the </w:t>
      </w:r>
      <w:proofErr w:type="spellStart"/>
      <w:r w:rsidRPr="00553EE6">
        <w:rPr>
          <w:rFonts w:eastAsia="Times New Roman"/>
          <w:i/>
        </w:rPr>
        <w:t>pn</w:t>
      </w:r>
      <w:proofErr w:type="spellEnd"/>
      <w:r w:rsidRPr="00553EE6">
        <w:rPr>
          <w:rFonts w:eastAsia="Times New Roman"/>
        </w:rPr>
        <w:t xml:space="preserve"> junction capacitor. This is called diffusion capacitance current in semiconductor devices. Obviously, this is the same as the displacement current in Eq. (3). The total current (</w:t>
      </w:r>
      <w:r w:rsidRPr="00553EE6">
        <w:rPr>
          <w:rFonts w:eastAsia="Times New Roman"/>
          <w:i/>
        </w:rPr>
        <w:t>J</w:t>
      </w:r>
      <w:r w:rsidRPr="00553EE6">
        <w:rPr>
          <w:rFonts w:eastAsia="Times New Roman"/>
        </w:rPr>
        <w:t>) is the integral of the current density (</w:t>
      </w:r>
      <w:r w:rsidRPr="00553EE6">
        <w:rPr>
          <w:rFonts w:eastAsia="Times New Roman"/>
          <w:i/>
        </w:rPr>
        <w:t>j</w:t>
      </w:r>
      <w:r w:rsidRPr="00553EE6">
        <w:rPr>
          <w:rFonts w:eastAsia="Times New Roman"/>
        </w:rPr>
        <w:t xml:space="preserve">) over the electrode surface. The velocity overall is limited by the thermal velocity. </w:t>
      </w:r>
    </w:p>
    <w:p w14:paraId="74E2F60A" w14:textId="6220CBA9" w:rsidR="006B02BC" w:rsidRPr="00553EE6" w:rsidRDefault="006B02BC" w:rsidP="00A40BB2">
      <w:pPr>
        <w:overflowPunct w:val="0"/>
        <w:spacing w:line="276" w:lineRule="auto"/>
        <w:ind w:firstLine="227"/>
        <w:textAlignment w:val="baseline"/>
        <w:rPr>
          <w:rFonts w:eastAsia="Times New Roman"/>
        </w:rPr>
      </w:pPr>
      <w:r w:rsidRPr="00553EE6">
        <w:rPr>
          <w:rFonts w:eastAsia="Times New Roman"/>
        </w:rPr>
        <w:t xml:space="preserve">Instead of solving the finite-element equation for the concentration of electrons and holes in time that </w:t>
      </w:r>
      <w:proofErr w:type="gramStart"/>
      <w:r w:rsidRPr="00553EE6">
        <w:rPr>
          <w:rFonts w:eastAsia="Times New Roman"/>
        </w:rPr>
        <w:t>has</w:t>
      </w:r>
      <w:proofErr w:type="gramEnd"/>
      <w:r w:rsidRPr="00553EE6">
        <w:rPr>
          <w:rFonts w:eastAsia="Times New Roman"/>
        </w:rPr>
        <w:t xml:space="preserve"> instabilities and is time-consuming, we update the concentration of the carriers </w:t>
      </w:r>
      <w:r w:rsidR="00824BFD">
        <w:rPr>
          <w:rFonts w:eastAsia="Times New Roman"/>
        </w:rPr>
        <w:t xml:space="preserve">by </w:t>
      </w:r>
      <w:r w:rsidRPr="00553EE6">
        <w:rPr>
          <w:rFonts w:eastAsia="Times New Roman"/>
        </w:rPr>
        <w:t xml:space="preserve">tracking the Monte-Carlo molecular dynamics technique of super-particles that </w:t>
      </w:r>
      <w:r w:rsidR="00824BFD">
        <w:rPr>
          <w:rFonts w:eastAsia="Times New Roman"/>
        </w:rPr>
        <w:t>represent</w:t>
      </w:r>
      <w:r w:rsidR="00824BFD" w:rsidRPr="00553EE6">
        <w:rPr>
          <w:rFonts w:eastAsia="Times New Roman"/>
        </w:rPr>
        <w:t xml:space="preserve"> </w:t>
      </w:r>
      <w:proofErr w:type="gramStart"/>
      <w:r w:rsidRPr="00553EE6">
        <w:rPr>
          <w:rFonts w:eastAsia="Times New Roman"/>
        </w:rPr>
        <w:t>a number of</w:t>
      </w:r>
      <w:proofErr w:type="gramEnd"/>
      <w:r w:rsidRPr="00553EE6">
        <w:rPr>
          <w:rFonts w:eastAsia="Times New Roman"/>
        </w:rPr>
        <w:t xml:space="preserve"> individual carriers in this article. The method has </w:t>
      </w:r>
      <w:proofErr w:type="gramStart"/>
      <w:r w:rsidRPr="00553EE6">
        <w:rPr>
          <w:rFonts w:eastAsia="Times New Roman"/>
        </w:rPr>
        <w:t>a significant</w:t>
      </w:r>
      <w:proofErr w:type="gramEnd"/>
      <w:r w:rsidRPr="00553EE6">
        <w:rPr>
          <w:rFonts w:eastAsia="Times New Roman"/>
        </w:rPr>
        <w:t xml:space="preserve"> numerical stability [</w:t>
      </w:r>
      <w:r w:rsidR="00A664FF">
        <w:rPr>
          <w:rFonts w:eastAsia="Times New Roman"/>
        </w:rPr>
        <w:t>5</w:t>
      </w:r>
      <w:r w:rsidRPr="00553EE6">
        <w:rPr>
          <w:rFonts w:eastAsia="Times New Roman"/>
        </w:rPr>
        <w:t xml:space="preserve">].   </w:t>
      </w:r>
    </w:p>
    <w:p w14:paraId="4205DBBD" w14:textId="6B43369F" w:rsidR="006B02BC" w:rsidRPr="00553EE6" w:rsidRDefault="006B02BC" w:rsidP="00A40BB2">
      <w:pPr>
        <w:overflowPunct w:val="0"/>
        <w:spacing w:line="276" w:lineRule="auto"/>
        <w:ind w:firstLine="227"/>
        <w:textAlignment w:val="baseline"/>
        <w:rPr>
          <w:rFonts w:eastAsia="Times New Roman"/>
        </w:rPr>
      </w:pPr>
      <w:r w:rsidRPr="00553EE6">
        <w:rPr>
          <w:rFonts w:eastAsia="Times New Roman"/>
        </w:rPr>
        <w:t xml:space="preserve">The idea is to use large units of charges, </w:t>
      </w:r>
      <w:proofErr w:type="spellStart"/>
      <w:r w:rsidRPr="00553EE6">
        <w:rPr>
          <w:rFonts w:eastAsia="Times New Roman"/>
        </w:rPr>
        <w:t>superparticles</w:t>
      </w:r>
      <w:proofErr w:type="spellEnd"/>
      <w:r w:rsidRPr="00553EE6">
        <w:rPr>
          <w:rFonts w:eastAsia="Times New Roman"/>
        </w:rPr>
        <w:t xml:space="preserve">, and update the </w:t>
      </w:r>
      <w:proofErr w:type="spellStart"/>
      <w:r w:rsidRPr="00553EE6">
        <w:rPr>
          <w:rFonts w:eastAsia="Times New Roman"/>
        </w:rPr>
        <w:t>superparticle</w:t>
      </w:r>
      <w:proofErr w:type="spellEnd"/>
      <w:r w:rsidRPr="00553EE6">
        <w:rPr>
          <w:rFonts w:eastAsia="Times New Roman"/>
        </w:rPr>
        <w:t xml:space="preserve"> locations after successive evaluations of Coulomb forces for all possible binary pairs [</w:t>
      </w:r>
      <w:r w:rsidR="00A664FF">
        <w:rPr>
          <w:rFonts w:eastAsia="Times New Roman"/>
        </w:rPr>
        <w:t>5</w:t>
      </w:r>
      <w:r w:rsidRPr="00553EE6">
        <w:rPr>
          <w:rFonts w:eastAsia="Times New Roman"/>
        </w:rPr>
        <w:t xml:space="preserve">]. </w:t>
      </w:r>
      <w:r w:rsidR="00A664FF">
        <w:rPr>
          <w:rFonts w:eastAsia="Times New Roman"/>
        </w:rPr>
        <w:t xml:space="preserve"> </w:t>
      </w:r>
      <w:proofErr w:type="gramStart"/>
      <w:r w:rsidRPr="00553EE6">
        <w:rPr>
          <w:rFonts w:eastAsia="Times New Roman"/>
        </w:rPr>
        <w:t>The Monte</w:t>
      </w:r>
      <w:proofErr w:type="gramEnd"/>
      <w:r w:rsidRPr="00553EE6">
        <w:rPr>
          <w:rFonts w:eastAsia="Times New Roman"/>
        </w:rPr>
        <w:t>-Carlo molecular dynamics is discussed in detail from the viewpoint of thermodynamics, and it would be of great interest to materials scientists and chemical engineers [</w:t>
      </w:r>
      <w:r w:rsidR="00A664FF">
        <w:rPr>
          <w:rFonts w:eastAsia="Times New Roman"/>
        </w:rPr>
        <w:t>5</w:t>
      </w:r>
      <w:r w:rsidRPr="00553EE6">
        <w:rPr>
          <w:rFonts w:eastAsia="Times New Roman"/>
        </w:rPr>
        <w:t xml:space="preserve">]. </w:t>
      </w:r>
    </w:p>
    <w:p w14:paraId="75CBB01B" w14:textId="3C0CFE5C" w:rsidR="006B02BC" w:rsidRPr="00553EE6" w:rsidRDefault="006B02BC" w:rsidP="00A40BB2">
      <w:pPr>
        <w:overflowPunct w:val="0"/>
        <w:autoSpaceDE w:val="0"/>
        <w:autoSpaceDN w:val="0"/>
        <w:adjustRightInd w:val="0"/>
        <w:spacing w:line="276" w:lineRule="auto"/>
        <w:ind w:firstLine="227"/>
        <w:textAlignment w:val="baseline"/>
        <w:rPr>
          <w:rFonts w:eastAsia="Times New Roman"/>
        </w:rPr>
      </w:pPr>
      <w:r w:rsidRPr="00553EE6">
        <w:rPr>
          <w:rFonts w:eastAsia="Times New Roman"/>
        </w:rPr>
        <w:t xml:space="preserve">The potential (ϕ) distribution of charges and electrical field with the presence of the micro holes is simulated by solving the Poisson equation.  The first equation represents net charges, and the second equation </w:t>
      </w:r>
      <w:r w:rsidR="00364D11">
        <w:rPr>
          <w:rFonts w:eastAsia="Times New Roman"/>
        </w:rPr>
        <w:t xml:space="preserve">represents </w:t>
      </w:r>
      <w:r w:rsidRPr="00553EE6">
        <w:rPr>
          <w:rFonts w:eastAsia="Times New Roman"/>
        </w:rPr>
        <w:t>the electric field.</w:t>
      </w:r>
      <w:r w:rsidR="00FE537D">
        <w:rPr>
          <w:rFonts w:eastAsia="Times New Roman"/>
        </w:rPr>
        <w:t xml:space="preserve"> </w:t>
      </w:r>
      <w:r w:rsidRPr="00553EE6">
        <w:t xml:space="preserve"> </w:t>
      </w:r>
      <w:r w:rsidR="00FE537D" w:rsidRPr="00FE537D">
        <w:t xml:space="preserve">From Maxwell’s equation (div </w:t>
      </w:r>
      <w:r w:rsidR="00FE537D" w:rsidRPr="00FE537D">
        <w:rPr>
          <w:i/>
          <w:iCs/>
        </w:rPr>
        <w:t>D</w:t>
      </w:r>
      <w:r w:rsidR="00FE537D" w:rsidRPr="00FE537D">
        <w:t>) = r, we have</w:t>
      </w:r>
    </w:p>
    <w:p w14:paraId="223002D5" w14:textId="77777777" w:rsidR="006B02BC" w:rsidRPr="00553EE6" w:rsidRDefault="006B02BC" w:rsidP="00A40BB2">
      <w:pPr>
        <w:overflowPunct w:val="0"/>
        <w:autoSpaceDE w:val="0"/>
        <w:autoSpaceDN w:val="0"/>
        <w:adjustRightInd w:val="0"/>
        <w:spacing w:line="276" w:lineRule="auto"/>
        <w:ind w:firstLine="0"/>
        <w:textAlignment w:val="baseline"/>
      </w:pPr>
      <m:oMathPara>
        <m:oMathParaPr>
          <m:jc m:val="center"/>
        </m:oMathParaPr>
        <m:oMath>
          <m:r>
            <m:rPr>
              <m:sty m:val="p"/>
            </m:rPr>
            <w:rPr>
              <w:rFonts w:ascii="Cambria Math" w:hAnsi="Cambria Math"/>
            </w:rPr>
            <m:t>∇</m:t>
          </m:r>
          <m:r>
            <w:rPr>
              <w:rFonts w:ascii="Cambria Math" w:hAnsi="Cambria Math"/>
            </w:rPr>
            <m:t>φ=</m:t>
          </m:r>
          <m:sSub>
            <m:sSubPr>
              <m:ctrlPr>
                <w:rPr>
                  <w:rFonts w:ascii="Cambria Math" w:hAnsi="Cambria Math"/>
                  <w:i/>
                </w:rPr>
              </m:ctrlPr>
            </m:sSubPr>
            <m:e>
              <m:r>
                <w:rPr>
                  <w:rFonts w:ascii="Cambria Math" w:hAnsi="Cambria Math"/>
                </w:rPr>
                <m:t>E</m:t>
              </m:r>
            </m:e>
            <m:sub>
              <m:r>
                <w:rPr>
                  <w:rFonts w:ascii="Cambria Math" w:hAnsi="Cambria Math"/>
                </w:rPr>
                <m:t>s</m:t>
              </m:r>
            </m:sub>
          </m:sSub>
        </m:oMath>
      </m:oMathPara>
    </w:p>
    <w:p w14:paraId="26E96525" w14:textId="77777777" w:rsidR="006B02BC" w:rsidRPr="00553EE6" w:rsidRDefault="006B02BC" w:rsidP="00A40BB2">
      <w:pPr>
        <w:overflowPunct w:val="0"/>
        <w:autoSpaceDE w:val="0"/>
        <w:autoSpaceDN w:val="0"/>
        <w:adjustRightInd w:val="0"/>
        <w:spacing w:line="276" w:lineRule="auto"/>
        <w:ind w:firstLine="227"/>
        <w:textAlignment w:val="baseline"/>
      </w:pPr>
    </w:p>
    <w:p w14:paraId="62DA0605" w14:textId="77777777" w:rsidR="006B02BC" w:rsidRDefault="006B02BC" w:rsidP="00A40BB2">
      <w:pPr>
        <w:overflowPunct w:val="0"/>
        <w:autoSpaceDE w:val="0"/>
        <w:autoSpaceDN w:val="0"/>
        <w:adjustRightInd w:val="0"/>
        <w:spacing w:line="276" w:lineRule="auto"/>
        <w:ind w:firstLine="227"/>
        <w:jc w:val="center"/>
        <w:textAlignment w:val="baseline"/>
      </w:pPr>
      <m:oMathPara>
        <m:oMath>
          <m:r>
            <w:rPr>
              <w:rFonts w:ascii="Cambria Math" w:hAnsi="Cambria Math"/>
            </w:rPr>
            <m:t>∆φ=ϵ</m:t>
          </m:r>
          <m:sSub>
            <m:sSubPr>
              <m:ctrlPr>
                <w:rPr>
                  <w:rFonts w:ascii="Cambria Math" w:hAnsi="Cambria Math"/>
                  <w:i/>
                </w:rPr>
              </m:ctrlPr>
            </m:sSubPr>
            <m:e>
              <m:r>
                <w:rPr>
                  <w:rFonts w:ascii="Cambria Math" w:hAnsi="Cambria Math"/>
                </w:rPr>
                <m:t>ϵ</m:t>
              </m:r>
            </m:e>
            <m:sub>
              <m:r>
                <w:rPr>
                  <w:rFonts w:ascii="Cambria Math" w:hAnsi="Cambria Math"/>
                </w:rPr>
                <m:t>0</m:t>
              </m:r>
            </m:sub>
          </m:sSub>
          <m:r>
            <w:rPr>
              <w:rFonts w:ascii="Cambria Math" w:hAnsi="Cambria Math"/>
            </w:rPr>
            <m:t>q</m:t>
          </m:r>
          <m:d>
            <m:dPr>
              <m:ctrlPr>
                <w:rPr>
                  <w:rFonts w:ascii="Cambria Math" w:hAnsi="Cambria Math"/>
                  <w:i/>
                </w:rPr>
              </m:ctrlPr>
            </m:dPr>
            <m:e>
              <m:r>
                <w:rPr>
                  <w:rFonts w:ascii="Cambria Math" w:hAnsi="Cambria Math"/>
                </w:rPr>
                <m:t>n+N-p-P</m:t>
              </m:r>
            </m:e>
          </m:d>
        </m:oMath>
      </m:oMathPara>
    </w:p>
    <w:p w14:paraId="6125D5E4" w14:textId="77777777" w:rsidR="006B02BC" w:rsidRPr="00553EE6" w:rsidRDefault="006B02BC" w:rsidP="00A40BB2">
      <w:pPr>
        <w:overflowPunct w:val="0"/>
        <w:autoSpaceDE w:val="0"/>
        <w:autoSpaceDN w:val="0"/>
        <w:adjustRightInd w:val="0"/>
        <w:spacing w:line="276" w:lineRule="auto"/>
        <w:ind w:firstLine="227"/>
        <w:jc w:val="right"/>
        <w:textAlignment w:val="baseline"/>
      </w:pPr>
      <w:r w:rsidRPr="00553EE6">
        <w:t xml:space="preserve">                                                                     </w:t>
      </w:r>
      <w:r>
        <w:t xml:space="preserve">                                                 </w:t>
      </w:r>
      <w:r w:rsidRPr="00553EE6">
        <w:t xml:space="preserve">  </w:t>
      </w:r>
      <w:r>
        <w:t xml:space="preserve">                                                                       </w:t>
      </w:r>
      <w:r w:rsidRPr="00553EE6">
        <w:t xml:space="preserve">  </w:t>
      </w:r>
      <w:r>
        <w:t xml:space="preserve">          </w:t>
      </w:r>
      <w:r w:rsidRPr="00553EE6">
        <w:t>(4)</w:t>
      </w:r>
    </w:p>
    <w:p w14:paraId="038B7123" w14:textId="77777777" w:rsidR="006B02BC" w:rsidRPr="00553EE6" w:rsidRDefault="006B02BC" w:rsidP="00A40BB2">
      <w:pPr>
        <w:overflowPunct w:val="0"/>
        <w:spacing w:line="276" w:lineRule="auto"/>
        <w:ind w:firstLine="227"/>
        <w:textAlignment w:val="baseline"/>
        <w:rPr>
          <w:rFonts w:eastAsia="Times New Roman"/>
        </w:rPr>
      </w:pPr>
    </w:p>
    <w:p w14:paraId="177FEF02" w14:textId="77777777" w:rsidR="006B02BC" w:rsidRDefault="006B02BC" w:rsidP="00A40BB2">
      <w:pPr>
        <w:spacing w:line="276" w:lineRule="auto"/>
        <w:rPr>
          <w:b/>
        </w:rPr>
      </w:pPr>
      <w:r w:rsidRPr="00553EE6">
        <w:rPr>
          <w:rFonts w:eastAsia="Times New Roman"/>
        </w:rPr>
        <w:t xml:space="preserve">The boundary conditions are such that the potential is </w:t>
      </w:r>
      <w:r w:rsidRPr="00553EE6">
        <w:rPr>
          <w:rFonts w:ascii="Cambria Math" w:eastAsia="Times New Roman" w:hAnsi="Cambria Math" w:cs="Cambria Math"/>
        </w:rPr>
        <w:t>∇𝜑</w:t>
      </w:r>
      <w:r w:rsidRPr="00553EE6">
        <w:rPr>
          <w:rFonts w:eastAsia="Times New Roman"/>
        </w:rPr>
        <w:t xml:space="preserve"> = </w:t>
      </w:r>
      <w:proofErr w:type="gramStart"/>
      <w:r w:rsidRPr="00553EE6">
        <w:rPr>
          <w:rFonts w:eastAsia="Times New Roman"/>
          <w:i/>
        </w:rPr>
        <w:t>E</w:t>
      </w:r>
      <w:r w:rsidRPr="00553EE6">
        <w:rPr>
          <w:rFonts w:eastAsia="Times New Roman"/>
          <w:i/>
          <w:vertAlign w:val="subscript"/>
        </w:rPr>
        <w:t>s</w:t>
      </w:r>
      <w:r w:rsidRPr="00553EE6">
        <w:rPr>
          <w:rFonts w:eastAsia="Times New Roman"/>
        </w:rPr>
        <w:t xml:space="preserve">  across</w:t>
      </w:r>
      <w:proofErr w:type="gramEnd"/>
      <w:r w:rsidRPr="00553EE6">
        <w:rPr>
          <w:rFonts w:eastAsia="Times New Roman"/>
        </w:rPr>
        <w:t xml:space="preserve"> the electrodes and </w:t>
      </w:r>
      <w:r w:rsidRPr="00553EE6">
        <w:rPr>
          <w:rFonts w:ascii="Cambria Math" w:eastAsia="Times New Roman" w:hAnsi="Cambria Math" w:cs="Cambria Math"/>
        </w:rPr>
        <w:t>∇𝜑</w:t>
      </w:r>
      <w:r w:rsidRPr="00553EE6">
        <w:rPr>
          <w:rFonts w:eastAsia="Times New Roman"/>
        </w:rPr>
        <w:t xml:space="preserve"> = 0 otherwise. </w:t>
      </w:r>
      <w:r w:rsidRPr="00553EE6">
        <w:rPr>
          <w:rFonts w:eastAsia="Times New Roman"/>
          <w:i/>
        </w:rPr>
        <w:softHyphen/>
      </w:r>
      <w:r w:rsidRPr="00553EE6">
        <w:rPr>
          <w:rFonts w:eastAsia="Times New Roman"/>
        </w:rPr>
        <w:t xml:space="preserve"> We are </w:t>
      </w:r>
      <w:proofErr w:type="gramStart"/>
      <w:r w:rsidRPr="00553EE6">
        <w:rPr>
          <w:rFonts w:eastAsia="Times New Roman"/>
        </w:rPr>
        <w:t>taking into account</w:t>
      </w:r>
      <w:proofErr w:type="gramEnd"/>
      <w:r w:rsidRPr="00553EE6">
        <w:rPr>
          <w:rFonts w:eastAsia="Times New Roman"/>
        </w:rPr>
        <w:t xml:space="preserve"> </w:t>
      </w:r>
      <w:proofErr w:type="gramStart"/>
      <w:r w:rsidRPr="00553EE6">
        <w:rPr>
          <w:rFonts w:eastAsia="Times New Roman"/>
        </w:rPr>
        <w:t xml:space="preserve">the doping </w:t>
      </w:r>
      <w:r w:rsidRPr="00553EE6">
        <w:rPr>
          <w:rFonts w:eastAsia="Times New Roman"/>
        </w:rPr>
        <w:softHyphen/>
      </w:r>
      <w:proofErr w:type="gramEnd"/>
      <w:r w:rsidRPr="00553EE6">
        <w:rPr>
          <w:rFonts w:eastAsia="Times New Roman"/>
          <w:i/>
        </w:rPr>
        <w:t>N</w:t>
      </w:r>
      <w:r w:rsidRPr="00553EE6">
        <w:rPr>
          <w:rFonts w:eastAsia="Times New Roman"/>
        </w:rPr>
        <w:t xml:space="preserve"> and </w:t>
      </w:r>
      <w:proofErr w:type="gramStart"/>
      <w:r w:rsidRPr="00553EE6">
        <w:rPr>
          <w:rFonts w:eastAsia="Times New Roman"/>
          <w:i/>
        </w:rPr>
        <w:t>P</w:t>
      </w:r>
      <w:r w:rsidRPr="00553EE6">
        <w:rPr>
          <w:rFonts w:eastAsia="Times New Roman"/>
        </w:rPr>
        <w:softHyphen/>
        <w:t>,</w:t>
      </w:r>
      <w:proofErr w:type="gramEnd"/>
      <w:r w:rsidRPr="00553EE6">
        <w:rPr>
          <w:rFonts w:eastAsia="Times New Roman"/>
        </w:rPr>
        <w:t xml:space="preserve"> and the electrons and holes </w:t>
      </w:r>
      <w:r w:rsidRPr="00553EE6">
        <w:rPr>
          <w:rFonts w:eastAsia="Times New Roman"/>
        </w:rPr>
        <w:softHyphen/>
      </w:r>
      <w:r w:rsidRPr="00553EE6">
        <w:rPr>
          <w:rFonts w:eastAsia="Times New Roman"/>
          <w:i/>
        </w:rPr>
        <w:t>n</w:t>
      </w:r>
      <w:r w:rsidRPr="00553EE6">
        <w:rPr>
          <w:rFonts w:eastAsia="Times New Roman"/>
        </w:rPr>
        <w:t xml:space="preserve"> and </w:t>
      </w:r>
      <w:r w:rsidRPr="00553EE6">
        <w:rPr>
          <w:rFonts w:eastAsia="Times New Roman"/>
          <w:i/>
        </w:rPr>
        <w:t>p</w:t>
      </w:r>
      <w:r w:rsidRPr="00553EE6">
        <w:rPr>
          <w:rFonts w:eastAsia="Times New Roman"/>
        </w:rPr>
        <w:softHyphen/>
      </w:r>
      <w:r w:rsidRPr="00255D8E">
        <w:rPr>
          <w:b/>
        </w:rPr>
        <w:t xml:space="preserve"> </w:t>
      </w:r>
    </w:p>
    <w:p w14:paraId="2200E869" w14:textId="77777777" w:rsidR="006B02BC" w:rsidRDefault="006B02BC" w:rsidP="00A40BB2">
      <w:pPr>
        <w:spacing w:line="276" w:lineRule="auto"/>
        <w:rPr>
          <w:b/>
        </w:rPr>
      </w:pPr>
    </w:p>
    <w:p w14:paraId="17E0BEF7" w14:textId="38113E6A" w:rsidR="006B02BC" w:rsidRPr="00553EE6" w:rsidRDefault="006B02BC" w:rsidP="006B02BC">
      <w:pPr>
        <w:overflowPunct w:val="0"/>
        <w:spacing w:line="240" w:lineRule="atLeast"/>
        <w:ind w:firstLine="227"/>
        <w:textAlignment w:val="baseline"/>
        <w:rPr>
          <w:rFonts w:eastAsia="Times New Roman"/>
        </w:rPr>
      </w:pPr>
      <w:r w:rsidRPr="00553EE6">
        <w:rPr>
          <w:b/>
        </w:rPr>
        <w:t xml:space="preserve">Table </w:t>
      </w:r>
      <w:r w:rsidR="00A664FF">
        <w:rPr>
          <w:b/>
        </w:rPr>
        <w:t>S</w:t>
      </w:r>
      <w:r w:rsidRPr="00553EE6">
        <w:rPr>
          <w:b/>
        </w:rPr>
        <w:fldChar w:fldCharType="begin"/>
      </w:r>
      <w:r w:rsidRPr="00553EE6">
        <w:rPr>
          <w:b/>
        </w:rPr>
        <w:instrText xml:space="preserve"> SEQ "Table" \* MERGEFORMAT </w:instrText>
      </w:r>
      <w:r w:rsidRPr="00553EE6">
        <w:rPr>
          <w:b/>
        </w:rPr>
        <w:fldChar w:fldCharType="separate"/>
      </w:r>
      <w:r w:rsidR="00536707">
        <w:rPr>
          <w:b/>
          <w:noProof/>
        </w:rPr>
        <w:t>1</w:t>
      </w:r>
      <w:r w:rsidRPr="00553EE6">
        <w:fldChar w:fldCharType="end"/>
      </w:r>
      <w:r w:rsidRPr="00553EE6">
        <w:rPr>
          <w:b/>
        </w:rPr>
        <w:t>.</w:t>
      </w:r>
      <w:r w:rsidRPr="00553EE6">
        <w:t xml:space="preserve"> </w:t>
      </w:r>
      <w:r>
        <w:t>Parameters for simulations</w:t>
      </w:r>
      <w:r w:rsidRPr="00553EE6">
        <w:t>.</w:t>
      </w:r>
    </w:p>
    <w:p w14:paraId="08A7FF79" w14:textId="77777777" w:rsidR="006B02BC" w:rsidRPr="00553EE6" w:rsidRDefault="006B02BC" w:rsidP="006B02BC">
      <w:pPr>
        <w:overflowPunct w:val="0"/>
        <w:spacing w:line="240" w:lineRule="atLeast"/>
        <w:ind w:firstLine="227"/>
        <w:textAlignment w:val="baseline"/>
        <w:rPr>
          <w:rFonts w:eastAsia="Times New Roman"/>
        </w:rPr>
      </w:pPr>
    </w:p>
    <w:tbl>
      <w:tblPr>
        <w:tblpPr w:leftFromText="180" w:rightFromText="180" w:vertAnchor="text" w:horzAnchor="margin" w:tblpY="9"/>
        <w:tblW w:w="9180" w:type="dxa"/>
        <w:tblLayout w:type="fixed"/>
        <w:tblCellMar>
          <w:left w:w="70" w:type="dxa"/>
          <w:right w:w="70" w:type="dxa"/>
        </w:tblCellMar>
        <w:tblLook w:val="0000" w:firstRow="0" w:lastRow="0" w:firstColumn="0" w:lastColumn="0" w:noHBand="0" w:noVBand="0"/>
      </w:tblPr>
      <w:tblGrid>
        <w:gridCol w:w="4050"/>
        <w:gridCol w:w="2340"/>
        <w:gridCol w:w="1530"/>
        <w:gridCol w:w="1260"/>
      </w:tblGrid>
      <w:tr w:rsidR="00AD6E8C" w:rsidRPr="00553EE6" w14:paraId="61113DAD" w14:textId="77777777" w:rsidTr="00764C94">
        <w:tc>
          <w:tcPr>
            <w:tcW w:w="4050" w:type="dxa"/>
            <w:tcBorders>
              <w:top w:val="single" w:sz="12" w:space="0" w:color="000000"/>
              <w:bottom w:val="single" w:sz="6" w:space="0" w:color="000000"/>
            </w:tcBorders>
          </w:tcPr>
          <w:p w14:paraId="6A23905B" w14:textId="77777777" w:rsidR="00AD6E8C" w:rsidRPr="00553EE6" w:rsidRDefault="00AD6E8C" w:rsidP="00AD6E8C">
            <w:pPr>
              <w:ind w:firstLine="227"/>
            </w:pPr>
            <w:r>
              <w:rPr>
                <w:rFonts w:eastAsia="Calibri"/>
              </w:rPr>
              <w:t>parameter</w:t>
            </w:r>
          </w:p>
        </w:tc>
        <w:tc>
          <w:tcPr>
            <w:tcW w:w="2340" w:type="dxa"/>
            <w:tcBorders>
              <w:top w:val="single" w:sz="12" w:space="0" w:color="000000"/>
              <w:bottom w:val="single" w:sz="6" w:space="0" w:color="000000"/>
            </w:tcBorders>
          </w:tcPr>
          <w:p w14:paraId="7165D37D" w14:textId="77777777" w:rsidR="00AD6E8C" w:rsidRPr="00553EE6" w:rsidRDefault="00AD6E8C" w:rsidP="00AD6E8C">
            <w:r>
              <w:rPr>
                <w:rFonts w:eastAsia="Calibri"/>
              </w:rPr>
              <w:t>units</w:t>
            </w:r>
          </w:p>
        </w:tc>
        <w:tc>
          <w:tcPr>
            <w:tcW w:w="1530" w:type="dxa"/>
            <w:tcBorders>
              <w:top w:val="single" w:sz="12" w:space="0" w:color="000000"/>
              <w:bottom w:val="single" w:sz="6" w:space="0" w:color="000000"/>
            </w:tcBorders>
          </w:tcPr>
          <w:p w14:paraId="6A6F59D8" w14:textId="77777777" w:rsidR="00AD6E8C" w:rsidRPr="00553EE6" w:rsidRDefault="00AD6E8C" w:rsidP="00AD6E8C">
            <w:pPr>
              <w:ind w:firstLine="227"/>
            </w:pPr>
            <w:r>
              <w:rPr>
                <w:rFonts w:eastAsia="Calibri"/>
              </w:rPr>
              <w:t>symbol</w:t>
            </w:r>
          </w:p>
        </w:tc>
        <w:tc>
          <w:tcPr>
            <w:tcW w:w="1260" w:type="dxa"/>
            <w:tcBorders>
              <w:top w:val="single" w:sz="12" w:space="0" w:color="000000"/>
              <w:bottom w:val="single" w:sz="6" w:space="0" w:color="000000"/>
            </w:tcBorders>
          </w:tcPr>
          <w:p w14:paraId="4CD6A1FD" w14:textId="77777777" w:rsidR="00AD6E8C" w:rsidRPr="00553EE6" w:rsidRDefault="00AD6E8C" w:rsidP="00AD6E8C">
            <w:pPr>
              <w:ind w:firstLine="227"/>
            </w:pPr>
            <w:r>
              <w:rPr>
                <w:rFonts w:eastAsia="Calibri"/>
              </w:rPr>
              <w:t>value</w:t>
            </w:r>
          </w:p>
        </w:tc>
      </w:tr>
      <w:tr w:rsidR="00AD6E8C" w:rsidRPr="00553EE6" w14:paraId="10012F98" w14:textId="77777777" w:rsidTr="00764C94">
        <w:trPr>
          <w:trHeight w:val="284"/>
        </w:trPr>
        <w:tc>
          <w:tcPr>
            <w:tcW w:w="4050" w:type="dxa"/>
          </w:tcPr>
          <w:p w14:paraId="6D77FCB9" w14:textId="77777777" w:rsidR="00AD6E8C" w:rsidRPr="00AD6E8C" w:rsidRDefault="00AD6E8C" w:rsidP="00AD6E8C">
            <w:pPr>
              <w:ind w:firstLine="227"/>
              <w:rPr>
                <w:sz w:val="18"/>
                <w:szCs w:val="18"/>
              </w:rPr>
            </w:pPr>
            <w:r w:rsidRPr="00AD6E8C">
              <w:rPr>
                <w:rFonts w:eastAsia="Calibri"/>
                <w:sz w:val="18"/>
                <w:szCs w:val="18"/>
              </w:rPr>
              <w:t>Mobility electrons</w:t>
            </w:r>
          </w:p>
        </w:tc>
        <w:tc>
          <w:tcPr>
            <w:tcW w:w="2340" w:type="dxa"/>
          </w:tcPr>
          <w:p w14:paraId="2F272E1C" w14:textId="77777777" w:rsidR="00AD6E8C" w:rsidRPr="00AD6E8C" w:rsidRDefault="00AD6E8C" w:rsidP="00AD6E8C">
            <w:pPr>
              <w:rPr>
                <w:b/>
                <w:bCs/>
                <w:sz w:val="18"/>
                <w:szCs w:val="18"/>
              </w:rPr>
            </w:pPr>
            <w:r w:rsidRPr="00AD6E8C">
              <w:rPr>
                <w:rFonts w:eastAsia="Calibri"/>
                <w:sz w:val="18"/>
                <w:szCs w:val="18"/>
              </w:rPr>
              <w:t>cm</w:t>
            </w:r>
            <w:r w:rsidRPr="00AD6E8C">
              <w:rPr>
                <w:rFonts w:eastAsia="Calibri"/>
                <w:sz w:val="18"/>
                <w:szCs w:val="18"/>
                <w:vertAlign w:val="superscript"/>
              </w:rPr>
              <w:t>2</w:t>
            </w:r>
            <w:r w:rsidRPr="00AD6E8C">
              <w:rPr>
                <w:rFonts w:eastAsia="Calibri"/>
                <w:sz w:val="18"/>
                <w:szCs w:val="18"/>
              </w:rPr>
              <w:t>V</w:t>
            </w:r>
            <w:r w:rsidRPr="00AD6E8C">
              <w:rPr>
                <w:rFonts w:eastAsia="Calibri"/>
                <w:sz w:val="18"/>
                <w:szCs w:val="18"/>
                <w:vertAlign w:val="superscript"/>
              </w:rPr>
              <w:t>-1</w:t>
            </w:r>
            <w:r w:rsidRPr="00AD6E8C">
              <w:rPr>
                <w:rFonts w:eastAsia="Calibri"/>
                <w:sz w:val="18"/>
                <w:szCs w:val="18"/>
              </w:rPr>
              <w:t xml:space="preserve"> s</w:t>
            </w:r>
            <w:r w:rsidRPr="00AD6E8C">
              <w:rPr>
                <w:rFonts w:eastAsia="Calibri"/>
                <w:sz w:val="18"/>
                <w:szCs w:val="18"/>
                <w:vertAlign w:val="superscript"/>
              </w:rPr>
              <w:t>-1</w:t>
            </w:r>
          </w:p>
        </w:tc>
        <w:tc>
          <w:tcPr>
            <w:tcW w:w="1530" w:type="dxa"/>
          </w:tcPr>
          <w:p w14:paraId="0D20A70A" w14:textId="77777777" w:rsidR="00AD6E8C" w:rsidRPr="00AD6E8C" w:rsidRDefault="00AD6E8C" w:rsidP="00AD6E8C">
            <w:pPr>
              <w:ind w:firstLine="227"/>
              <w:rPr>
                <w:sz w:val="18"/>
                <w:szCs w:val="18"/>
              </w:rPr>
            </w:pPr>
            <w:r w:rsidRPr="00AD6E8C">
              <w:rPr>
                <w:rFonts w:ascii="Symbol" w:eastAsia="Calibri" w:hAnsi="Symbol"/>
                <w:sz w:val="18"/>
                <w:szCs w:val="18"/>
              </w:rPr>
              <w:t></w:t>
            </w:r>
            <w:r w:rsidRPr="00AD6E8C">
              <w:rPr>
                <w:rFonts w:eastAsia="Calibri"/>
                <w:sz w:val="18"/>
                <w:szCs w:val="18"/>
                <w:vertAlign w:val="subscript"/>
              </w:rPr>
              <w:t>n</w:t>
            </w:r>
          </w:p>
        </w:tc>
        <w:tc>
          <w:tcPr>
            <w:tcW w:w="1260" w:type="dxa"/>
          </w:tcPr>
          <w:p w14:paraId="38B4ED52" w14:textId="77777777" w:rsidR="00AD6E8C" w:rsidRPr="00AD6E8C" w:rsidRDefault="00AD6E8C" w:rsidP="00AD6E8C">
            <w:pPr>
              <w:ind w:firstLine="227"/>
              <w:rPr>
                <w:sz w:val="18"/>
                <w:szCs w:val="18"/>
              </w:rPr>
            </w:pPr>
            <w:r w:rsidRPr="00AD6E8C">
              <w:rPr>
                <w:rFonts w:eastAsia="Calibri"/>
                <w:sz w:val="18"/>
                <w:szCs w:val="18"/>
              </w:rPr>
              <w:t xml:space="preserve">3900 </w:t>
            </w:r>
          </w:p>
        </w:tc>
      </w:tr>
      <w:tr w:rsidR="00AD6E8C" w:rsidRPr="00553EE6" w14:paraId="77F3D855" w14:textId="77777777" w:rsidTr="00764C94">
        <w:trPr>
          <w:trHeight w:val="284"/>
        </w:trPr>
        <w:tc>
          <w:tcPr>
            <w:tcW w:w="4050" w:type="dxa"/>
          </w:tcPr>
          <w:p w14:paraId="188B94AA" w14:textId="77777777" w:rsidR="00AD6E8C" w:rsidRPr="00AD6E8C" w:rsidRDefault="00AD6E8C" w:rsidP="00AD6E8C">
            <w:pPr>
              <w:rPr>
                <w:sz w:val="18"/>
                <w:szCs w:val="18"/>
              </w:rPr>
            </w:pPr>
            <w:r w:rsidRPr="00AD6E8C">
              <w:rPr>
                <w:rFonts w:eastAsia="Calibri"/>
                <w:sz w:val="18"/>
                <w:szCs w:val="18"/>
              </w:rPr>
              <w:t>Mobility holes</w:t>
            </w:r>
          </w:p>
        </w:tc>
        <w:tc>
          <w:tcPr>
            <w:tcW w:w="2340" w:type="dxa"/>
          </w:tcPr>
          <w:p w14:paraId="3DD30B4F" w14:textId="77777777" w:rsidR="00AD6E8C" w:rsidRPr="00AD6E8C" w:rsidRDefault="00AD6E8C" w:rsidP="00AD6E8C">
            <w:pPr>
              <w:rPr>
                <w:b/>
                <w:bCs/>
                <w:sz w:val="18"/>
                <w:szCs w:val="18"/>
              </w:rPr>
            </w:pPr>
            <w:r w:rsidRPr="00AD6E8C">
              <w:rPr>
                <w:rFonts w:eastAsia="Calibri"/>
                <w:sz w:val="18"/>
                <w:szCs w:val="18"/>
              </w:rPr>
              <w:t>cm</w:t>
            </w:r>
            <w:r w:rsidRPr="00AD6E8C">
              <w:rPr>
                <w:rFonts w:eastAsia="Calibri"/>
                <w:sz w:val="18"/>
                <w:szCs w:val="18"/>
                <w:vertAlign w:val="superscript"/>
              </w:rPr>
              <w:t>2</w:t>
            </w:r>
            <w:r w:rsidRPr="00AD6E8C">
              <w:rPr>
                <w:rFonts w:eastAsia="Calibri"/>
                <w:sz w:val="18"/>
                <w:szCs w:val="18"/>
              </w:rPr>
              <w:t>V</w:t>
            </w:r>
            <w:r w:rsidRPr="00AD6E8C">
              <w:rPr>
                <w:rFonts w:eastAsia="Calibri"/>
                <w:sz w:val="18"/>
                <w:szCs w:val="18"/>
                <w:vertAlign w:val="superscript"/>
              </w:rPr>
              <w:t>-1</w:t>
            </w:r>
            <w:r w:rsidRPr="00AD6E8C">
              <w:rPr>
                <w:rFonts w:eastAsia="Calibri"/>
                <w:sz w:val="18"/>
                <w:szCs w:val="18"/>
              </w:rPr>
              <w:t xml:space="preserve"> s</w:t>
            </w:r>
            <w:r w:rsidRPr="00AD6E8C">
              <w:rPr>
                <w:rFonts w:eastAsia="Calibri"/>
                <w:sz w:val="18"/>
                <w:szCs w:val="18"/>
                <w:vertAlign w:val="superscript"/>
              </w:rPr>
              <w:t>-1</w:t>
            </w:r>
          </w:p>
        </w:tc>
        <w:tc>
          <w:tcPr>
            <w:tcW w:w="1530" w:type="dxa"/>
          </w:tcPr>
          <w:p w14:paraId="6465AF76" w14:textId="77777777" w:rsidR="00AD6E8C" w:rsidRPr="00AD6E8C" w:rsidRDefault="00AD6E8C" w:rsidP="00AD6E8C">
            <w:pPr>
              <w:rPr>
                <w:b/>
                <w:bCs/>
                <w:sz w:val="18"/>
                <w:szCs w:val="18"/>
              </w:rPr>
            </w:pPr>
            <w:r w:rsidRPr="00AD6E8C">
              <w:rPr>
                <w:rFonts w:ascii="Symbol" w:eastAsia="Calibri" w:hAnsi="Symbol"/>
                <w:sz w:val="18"/>
                <w:szCs w:val="18"/>
              </w:rPr>
              <w:t></w:t>
            </w:r>
            <w:r w:rsidRPr="00AD6E8C">
              <w:rPr>
                <w:rFonts w:eastAsia="Calibri"/>
                <w:sz w:val="18"/>
                <w:szCs w:val="18"/>
                <w:vertAlign w:val="subscript"/>
              </w:rPr>
              <w:t>p</w:t>
            </w:r>
          </w:p>
        </w:tc>
        <w:tc>
          <w:tcPr>
            <w:tcW w:w="1260" w:type="dxa"/>
          </w:tcPr>
          <w:p w14:paraId="2C0932EF" w14:textId="77777777" w:rsidR="00AD6E8C" w:rsidRPr="00AD6E8C" w:rsidRDefault="00AD6E8C" w:rsidP="00AD6E8C">
            <w:pPr>
              <w:rPr>
                <w:sz w:val="18"/>
                <w:szCs w:val="18"/>
              </w:rPr>
            </w:pPr>
            <w:r w:rsidRPr="00AD6E8C">
              <w:rPr>
                <w:rFonts w:eastAsia="Calibri"/>
                <w:sz w:val="18"/>
                <w:szCs w:val="18"/>
              </w:rPr>
              <w:t>1900</w:t>
            </w:r>
          </w:p>
        </w:tc>
      </w:tr>
      <w:tr w:rsidR="00AD6E8C" w:rsidRPr="00553EE6" w14:paraId="0EAFCD02" w14:textId="77777777" w:rsidTr="00764C94">
        <w:trPr>
          <w:trHeight w:val="284"/>
        </w:trPr>
        <w:tc>
          <w:tcPr>
            <w:tcW w:w="4050" w:type="dxa"/>
          </w:tcPr>
          <w:p w14:paraId="60BF2917" w14:textId="77777777" w:rsidR="00AD6E8C" w:rsidRPr="00AD6E8C" w:rsidRDefault="00AD6E8C" w:rsidP="00AD6E8C">
            <w:pPr>
              <w:rPr>
                <w:sz w:val="18"/>
                <w:szCs w:val="18"/>
              </w:rPr>
            </w:pPr>
            <w:r w:rsidRPr="00AD6E8C">
              <w:rPr>
                <w:rFonts w:eastAsia="Calibri"/>
                <w:sz w:val="18"/>
                <w:szCs w:val="18"/>
              </w:rPr>
              <w:t>Diffusion coef. electrons</w:t>
            </w:r>
          </w:p>
        </w:tc>
        <w:tc>
          <w:tcPr>
            <w:tcW w:w="2340" w:type="dxa"/>
          </w:tcPr>
          <w:p w14:paraId="20984D12" w14:textId="77777777" w:rsidR="00AD6E8C" w:rsidRPr="00AD6E8C" w:rsidRDefault="00AD6E8C" w:rsidP="00AD6E8C">
            <w:pPr>
              <w:rPr>
                <w:b/>
                <w:bCs/>
                <w:sz w:val="18"/>
                <w:szCs w:val="18"/>
              </w:rPr>
            </w:pPr>
            <w:r w:rsidRPr="00AD6E8C">
              <w:rPr>
                <w:rFonts w:eastAsia="Calibri"/>
                <w:sz w:val="18"/>
                <w:szCs w:val="18"/>
              </w:rPr>
              <w:t>cm</w:t>
            </w:r>
            <w:r w:rsidRPr="00AD6E8C">
              <w:rPr>
                <w:rFonts w:eastAsia="Calibri"/>
                <w:sz w:val="18"/>
                <w:szCs w:val="18"/>
                <w:vertAlign w:val="superscript"/>
              </w:rPr>
              <w:t>2</w:t>
            </w:r>
            <w:r w:rsidRPr="00AD6E8C">
              <w:rPr>
                <w:rFonts w:eastAsia="Calibri"/>
                <w:sz w:val="18"/>
                <w:szCs w:val="18"/>
              </w:rPr>
              <w:t xml:space="preserve"> s</w:t>
            </w:r>
            <w:r w:rsidRPr="00AD6E8C">
              <w:rPr>
                <w:rFonts w:eastAsia="Calibri"/>
                <w:sz w:val="18"/>
                <w:szCs w:val="18"/>
                <w:vertAlign w:val="superscript"/>
              </w:rPr>
              <w:t>-1</w:t>
            </w:r>
          </w:p>
        </w:tc>
        <w:tc>
          <w:tcPr>
            <w:tcW w:w="1530" w:type="dxa"/>
          </w:tcPr>
          <w:p w14:paraId="0DD16CBB" w14:textId="77777777" w:rsidR="00AD6E8C" w:rsidRPr="00AD6E8C" w:rsidRDefault="00AD6E8C" w:rsidP="00AD6E8C">
            <w:pPr>
              <w:rPr>
                <w:b/>
                <w:bCs/>
                <w:sz w:val="18"/>
                <w:szCs w:val="18"/>
              </w:rPr>
            </w:pPr>
            <w:proofErr w:type="spellStart"/>
            <w:r w:rsidRPr="00AD6E8C">
              <w:rPr>
                <w:rFonts w:eastAsia="Calibri"/>
                <w:sz w:val="18"/>
                <w:szCs w:val="18"/>
              </w:rPr>
              <w:t>D</w:t>
            </w:r>
            <w:r w:rsidRPr="00AD6E8C">
              <w:rPr>
                <w:rFonts w:eastAsia="Calibri"/>
                <w:sz w:val="18"/>
                <w:szCs w:val="18"/>
                <w:vertAlign w:val="subscript"/>
              </w:rPr>
              <w:t>n</w:t>
            </w:r>
            <w:proofErr w:type="spellEnd"/>
          </w:p>
        </w:tc>
        <w:tc>
          <w:tcPr>
            <w:tcW w:w="1260" w:type="dxa"/>
          </w:tcPr>
          <w:p w14:paraId="3644F676" w14:textId="77777777" w:rsidR="00AD6E8C" w:rsidRPr="00AD6E8C" w:rsidRDefault="00AD6E8C" w:rsidP="00AD6E8C">
            <w:pPr>
              <w:rPr>
                <w:sz w:val="18"/>
                <w:szCs w:val="18"/>
              </w:rPr>
            </w:pPr>
            <w:r w:rsidRPr="00AD6E8C">
              <w:rPr>
                <w:rFonts w:eastAsia="Calibri"/>
                <w:sz w:val="18"/>
                <w:szCs w:val="18"/>
              </w:rPr>
              <w:t>100</w:t>
            </w:r>
          </w:p>
        </w:tc>
      </w:tr>
      <w:tr w:rsidR="00AD6E8C" w:rsidRPr="00553EE6" w14:paraId="66A3D1A9" w14:textId="77777777" w:rsidTr="00764C94">
        <w:trPr>
          <w:trHeight w:val="284"/>
        </w:trPr>
        <w:tc>
          <w:tcPr>
            <w:tcW w:w="4050" w:type="dxa"/>
          </w:tcPr>
          <w:p w14:paraId="09588BCA" w14:textId="77777777" w:rsidR="00AD6E8C" w:rsidRPr="00AD6E8C" w:rsidRDefault="00AD6E8C" w:rsidP="00AD6E8C">
            <w:pPr>
              <w:ind w:firstLine="227"/>
              <w:rPr>
                <w:sz w:val="18"/>
                <w:szCs w:val="18"/>
              </w:rPr>
            </w:pPr>
            <w:r w:rsidRPr="00AD6E8C">
              <w:rPr>
                <w:rFonts w:eastAsia="Calibri"/>
                <w:sz w:val="18"/>
                <w:szCs w:val="18"/>
              </w:rPr>
              <w:t>Diffusion coef. holes</w:t>
            </w:r>
          </w:p>
        </w:tc>
        <w:tc>
          <w:tcPr>
            <w:tcW w:w="2340" w:type="dxa"/>
          </w:tcPr>
          <w:p w14:paraId="24F7717E" w14:textId="77777777" w:rsidR="00AD6E8C" w:rsidRPr="00AD6E8C" w:rsidRDefault="00AD6E8C" w:rsidP="00AD6E8C">
            <w:pPr>
              <w:rPr>
                <w:b/>
                <w:bCs/>
                <w:sz w:val="18"/>
                <w:szCs w:val="18"/>
              </w:rPr>
            </w:pPr>
            <w:r w:rsidRPr="00AD6E8C">
              <w:rPr>
                <w:rFonts w:eastAsia="Calibri"/>
                <w:sz w:val="18"/>
                <w:szCs w:val="18"/>
              </w:rPr>
              <w:t>cm</w:t>
            </w:r>
            <w:r w:rsidRPr="00AD6E8C">
              <w:rPr>
                <w:rFonts w:eastAsia="Calibri"/>
                <w:sz w:val="18"/>
                <w:szCs w:val="18"/>
                <w:vertAlign w:val="superscript"/>
              </w:rPr>
              <w:t>2</w:t>
            </w:r>
            <w:r w:rsidRPr="00AD6E8C">
              <w:rPr>
                <w:rFonts w:eastAsia="Calibri"/>
                <w:sz w:val="18"/>
                <w:szCs w:val="18"/>
              </w:rPr>
              <w:t>s</w:t>
            </w:r>
            <w:r w:rsidRPr="00AD6E8C">
              <w:rPr>
                <w:rFonts w:eastAsia="Calibri"/>
                <w:sz w:val="18"/>
                <w:szCs w:val="18"/>
                <w:vertAlign w:val="superscript"/>
              </w:rPr>
              <w:t>-1</w:t>
            </w:r>
          </w:p>
        </w:tc>
        <w:tc>
          <w:tcPr>
            <w:tcW w:w="1530" w:type="dxa"/>
          </w:tcPr>
          <w:p w14:paraId="43C9AF96" w14:textId="77777777" w:rsidR="00AD6E8C" w:rsidRPr="00AD6E8C" w:rsidRDefault="00AD6E8C" w:rsidP="00AD6E8C">
            <w:pPr>
              <w:ind w:firstLine="227"/>
              <w:rPr>
                <w:sz w:val="18"/>
                <w:szCs w:val="18"/>
              </w:rPr>
            </w:pPr>
            <w:proofErr w:type="spellStart"/>
            <w:r w:rsidRPr="00AD6E8C">
              <w:rPr>
                <w:rFonts w:eastAsia="Calibri"/>
                <w:sz w:val="18"/>
                <w:szCs w:val="18"/>
              </w:rPr>
              <w:t>D</w:t>
            </w:r>
            <w:r w:rsidRPr="00AD6E8C">
              <w:rPr>
                <w:rFonts w:eastAsia="Calibri"/>
                <w:sz w:val="18"/>
                <w:szCs w:val="18"/>
                <w:vertAlign w:val="subscript"/>
              </w:rPr>
              <w:t>p</w:t>
            </w:r>
            <w:proofErr w:type="spellEnd"/>
          </w:p>
        </w:tc>
        <w:tc>
          <w:tcPr>
            <w:tcW w:w="1260" w:type="dxa"/>
          </w:tcPr>
          <w:p w14:paraId="2B61EBE7" w14:textId="77777777" w:rsidR="00AD6E8C" w:rsidRPr="00AD6E8C" w:rsidRDefault="00AD6E8C" w:rsidP="00AD6E8C">
            <w:pPr>
              <w:ind w:firstLine="227"/>
              <w:rPr>
                <w:sz w:val="18"/>
                <w:szCs w:val="18"/>
              </w:rPr>
            </w:pPr>
            <w:r w:rsidRPr="00AD6E8C">
              <w:rPr>
                <w:rFonts w:eastAsia="Calibri"/>
                <w:sz w:val="18"/>
                <w:szCs w:val="18"/>
              </w:rPr>
              <w:t>50</w:t>
            </w:r>
          </w:p>
        </w:tc>
      </w:tr>
      <w:tr w:rsidR="00AD6E8C" w:rsidRPr="00553EE6" w14:paraId="337278F8" w14:textId="77777777" w:rsidTr="00764C94">
        <w:trPr>
          <w:trHeight w:val="284"/>
        </w:trPr>
        <w:tc>
          <w:tcPr>
            <w:tcW w:w="4050" w:type="dxa"/>
          </w:tcPr>
          <w:p w14:paraId="35AF2AF2" w14:textId="77777777" w:rsidR="00AD6E8C" w:rsidRPr="00AD6E8C" w:rsidRDefault="00AD6E8C" w:rsidP="00AD6E8C">
            <w:pPr>
              <w:ind w:firstLine="227"/>
              <w:rPr>
                <w:sz w:val="18"/>
                <w:szCs w:val="18"/>
              </w:rPr>
            </w:pPr>
            <w:r w:rsidRPr="00AD6E8C">
              <w:rPr>
                <w:rFonts w:eastAsia="Calibri"/>
                <w:sz w:val="18"/>
                <w:szCs w:val="18"/>
              </w:rPr>
              <w:t>N doping</w:t>
            </w:r>
          </w:p>
        </w:tc>
        <w:tc>
          <w:tcPr>
            <w:tcW w:w="2340" w:type="dxa"/>
          </w:tcPr>
          <w:p w14:paraId="1C0F44A2" w14:textId="77777777" w:rsidR="00AD6E8C" w:rsidRPr="00AD6E8C" w:rsidRDefault="00AD6E8C" w:rsidP="00AD6E8C">
            <w:pPr>
              <w:rPr>
                <w:b/>
                <w:bCs/>
                <w:sz w:val="18"/>
                <w:szCs w:val="18"/>
              </w:rPr>
            </w:pPr>
            <w:r w:rsidRPr="00AD6E8C">
              <w:rPr>
                <w:rFonts w:eastAsia="Calibri"/>
                <w:sz w:val="18"/>
                <w:szCs w:val="18"/>
              </w:rPr>
              <w:t>cm</w:t>
            </w:r>
            <w:r w:rsidRPr="00AD6E8C">
              <w:rPr>
                <w:rFonts w:eastAsia="Calibri"/>
                <w:sz w:val="18"/>
                <w:szCs w:val="18"/>
                <w:vertAlign w:val="superscript"/>
              </w:rPr>
              <w:t>-3</w:t>
            </w:r>
          </w:p>
        </w:tc>
        <w:tc>
          <w:tcPr>
            <w:tcW w:w="1530" w:type="dxa"/>
          </w:tcPr>
          <w:p w14:paraId="10C8AF9B" w14:textId="77777777" w:rsidR="00AD6E8C" w:rsidRPr="00AD6E8C" w:rsidRDefault="00AD6E8C" w:rsidP="00AD6E8C">
            <w:pPr>
              <w:ind w:firstLine="227"/>
              <w:rPr>
                <w:sz w:val="18"/>
                <w:szCs w:val="18"/>
              </w:rPr>
            </w:pPr>
            <w:r w:rsidRPr="00AD6E8C">
              <w:rPr>
                <w:rFonts w:ascii="Symbol" w:eastAsia="Calibri" w:hAnsi="Symbol"/>
                <w:sz w:val="18"/>
                <w:szCs w:val="18"/>
              </w:rPr>
              <w:t></w:t>
            </w:r>
          </w:p>
        </w:tc>
        <w:tc>
          <w:tcPr>
            <w:tcW w:w="1260" w:type="dxa"/>
          </w:tcPr>
          <w:p w14:paraId="7E057BFC" w14:textId="77777777" w:rsidR="00AD6E8C" w:rsidRPr="00AD6E8C" w:rsidRDefault="00AD6E8C" w:rsidP="00AD6E8C">
            <w:pPr>
              <w:ind w:firstLine="227"/>
              <w:rPr>
                <w:sz w:val="18"/>
                <w:szCs w:val="18"/>
              </w:rPr>
            </w:pPr>
            <w:r w:rsidRPr="00AD6E8C">
              <w:rPr>
                <w:rFonts w:eastAsia="Calibri"/>
                <w:sz w:val="18"/>
                <w:szCs w:val="18"/>
              </w:rPr>
              <w:t>10</w:t>
            </w:r>
            <w:r w:rsidRPr="00AD6E8C">
              <w:rPr>
                <w:rFonts w:eastAsia="Calibri"/>
                <w:sz w:val="18"/>
                <w:szCs w:val="18"/>
                <w:vertAlign w:val="superscript"/>
              </w:rPr>
              <w:t>19</w:t>
            </w:r>
          </w:p>
        </w:tc>
      </w:tr>
      <w:tr w:rsidR="00AD6E8C" w:rsidRPr="00553EE6" w14:paraId="4F7E90BA" w14:textId="77777777" w:rsidTr="00764C94">
        <w:trPr>
          <w:trHeight w:val="284"/>
        </w:trPr>
        <w:tc>
          <w:tcPr>
            <w:tcW w:w="4050" w:type="dxa"/>
          </w:tcPr>
          <w:p w14:paraId="499796D6" w14:textId="77777777" w:rsidR="00AD6E8C" w:rsidRPr="00AD6E8C" w:rsidRDefault="00AD6E8C" w:rsidP="00AD6E8C">
            <w:pPr>
              <w:ind w:firstLine="227"/>
              <w:rPr>
                <w:sz w:val="18"/>
                <w:szCs w:val="18"/>
              </w:rPr>
            </w:pPr>
            <w:r w:rsidRPr="00AD6E8C">
              <w:rPr>
                <w:rFonts w:eastAsia="Calibri"/>
                <w:sz w:val="18"/>
                <w:szCs w:val="18"/>
              </w:rPr>
              <w:t>P doping</w:t>
            </w:r>
          </w:p>
        </w:tc>
        <w:tc>
          <w:tcPr>
            <w:tcW w:w="2340" w:type="dxa"/>
          </w:tcPr>
          <w:p w14:paraId="57827A4A" w14:textId="77777777" w:rsidR="00AD6E8C" w:rsidRPr="00AD6E8C" w:rsidRDefault="00AD6E8C" w:rsidP="00AD6E8C">
            <w:pPr>
              <w:rPr>
                <w:b/>
                <w:bCs/>
                <w:sz w:val="18"/>
                <w:szCs w:val="18"/>
              </w:rPr>
            </w:pPr>
            <w:r w:rsidRPr="00AD6E8C">
              <w:rPr>
                <w:rFonts w:eastAsia="Calibri"/>
                <w:sz w:val="18"/>
                <w:szCs w:val="18"/>
              </w:rPr>
              <w:t>cm</w:t>
            </w:r>
            <w:r w:rsidRPr="00AD6E8C">
              <w:rPr>
                <w:rFonts w:eastAsia="Calibri"/>
                <w:sz w:val="18"/>
                <w:szCs w:val="18"/>
                <w:vertAlign w:val="superscript"/>
              </w:rPr>
              <w:t>-3</w:t>
            </w:r>
          </w:p>
        </w:tc>
        <w:tc>
          <w:tcPr>
            <w:tcW w:w="1530" w:type="dxa"/>
          </w:tcPr>
          <w:p w14:paraId="439A4DF6" w14:textId="77777777" w:rsidR="00AD6E8C" w:rsidRPr="00AD6E8C" w:rsidRDefault="00AD6E8C" w:rsidP="00AD6E8C">
            <w:pPr>
              <w:ind w:firstLine="227"/>
              <w:rPr>
                <w:sz w:val="18"/>
                <w:szCs w:val="18"/>
              </w:rPr>
            </w:pPr>
            <w:r w:rsidRPr="00AD6E8C">
              <w:rPr>
                <w:rFonts w:eastAsia="Calibri"/>
                <w:sz w:val="18"/>
                <w:szCs w:val="18"/>
              </w:rPr>
              <w:t>P</w:t>
            </w:r>
          </w:p>
        </w:tc>
        <w:tc>
          <w:tcPr>
            <w:tcW w:w="1260" w:type="dxa"/>
          </w:tcPr>
          <w:p w14:paraId="11ADB17C" w14:textId="77777777" w:rsidR="00AD6E8C" w:rsidRPr="00AD6E8C" w:rsidRDefault="00AD6E8C" w:rsidP="00AD6E8C">
            <w:pPr>
              <w:ind w:firstLine="227"/>
              <w:rPr>
                <w:sz w:val="18"/>
                <w:szCs w:val="18"/>
              </w:rPr>
            </w:pPr>
            <w:r w:rsidRPr="00AD6E8C">
              <w:rPr>
                <w:rFonts w:eastAsia="Calibri"/>
                <w:sz w:val="18"/>
                <w:szCs w:val="18"/>
              </w:rPr>
              <w:t>10</w:t>
            </w:r>
            <w:r w:rsidRPr="00AD6E8C">
              <w:rPr>
                <w:rFonts w:eastAsia="Calibri"/>
                <w:sz w:val="18"/>
                <w:szCs w:val="18"/>
                <w:vertAlign w:val="superscript"/>
              </w:rPr>
              <w:t>19</w:t>
            </w:r>
          </w:p>
        </w:tc>
      </w:tr>
      <w:tr w:rsidR="00AD6E8C" w:rsidRPr="00553EE6" w14:paraId="78DE101E" w14:textId="77777777" w:rsidTr="00764C94">
        <w:trPr>
          <w:trHeight w:val="284"/>
        </w:trPr>
        <w:tc>
          <w:tcPr>
            <w:tcW w:w="4050" w:type="dxa"/>
          </w:tcPr>
          <w:p w14:paraId="45830FA1" w14:textId="11155024" w:rsidR="00AD6E8C" w:rsidRPr="00AD6E8C" w:rsidRDefault="00AD6E8C" w:rsidP="00AD6E8C">
            <w:pPr>
              <w:ind w:firstLine="227"/>
              <w:rPr>
                <w:sz w:val="18"/>
                <w:szCs w:val="18"/>
              </w:rPr>
            </w:pPr>
            <w:r w:rsidRPr="00AD6E8C">
              <w:rPr>
                <w:rFonts w:eastAsia="Calibri"/>
                <w:sz w:val="18"/>
                <w:szCs w:val="18"/>
              </w:rPr>
              <w:t>Intrinsic n-doping</w:t>
            </w:r>
          </w:p>
        </w:tc>
        <w:tc>
          <w:tcPr>
            <w:tcW w:w="2340" w:type="dxa"/>
          </w:tcPr>
          <w:p w14:paraId="4FFB6815" w14:textId="77777777" w:rsidR="00AD6E8C" w:rsidRPr="00AD6E8C" w:rsidRDefault="00AD6E8C" w:rsidP="00AD6E8C">
            <w:pPr>
              <w:rPr>
                <w:i/>
                <w:iCs/>
                <w:sz w:val="18"/>
                <w:szCs w:val="18"/>
              </w:rPr>
            </w:pPr>
            <w:r w:rsidRPr="00AD6E8C">
              <w:rPr>
                <w:rFonts w:eastAsia="Calibri"/>
                <w:sz w:val="18"/>
                <w:szCs w:val="18"/>
              </w:rPr>
              <w:t>cm</w:t>
            </w:r>
            <w:r w:rsidRPr="00AD6E8C">
              <w:rPr>
                <w:rFonts w:eastAsia="Calibri"/>
                <w:sz w:val="18"/>
                <w:szCs w:val="18"/>
                <w:vertAlign w:val="superscript"/>
              </w:rPr>
              <w:t>-3</w:t>
            </w:r>
          </w:p>
        </w:tc>
        <w:tc>
          <w:tcPr>
            <w:tcW w:w="1530" w:type="dxa"/>
          </w:tcPr>
          <w:p w14:paraId="7AD4CA3D" w14:textId="77777777" w:rsidR="00AD6E8C" w:rsidRPr="00AD6E8C" w:rsidRDefault="00AD6E8C" w:rsidP="00AD6E8C">
            <w:pPr>
              <w:ind w:firstLine="227"/>
              <w:rPr>
                <w:sz w:val="18"/>
                <w:szCs w:val="18"/>
              </w:rPr>
            </w:pPr>
            <w:r w:rsidRPr="00AD6E8C">
              <w:rPr>
                <w:rFonts w:eastAsia="Calibri"/>
                <w:sz w:val="18"/>
                <w:szCs w:val="18"/>
              </w:rPr>
              <w:t>N</w:t>
            </w:r>
            <w:r w:rsidRPr="00AD6E8C">
              <w:rPr>
                <w:rFonts w:eastAsia="Calibri"/>
                <w:sz w:val="18"/>
                <w:szCs w:val="18"/>
                <w:vertAlign w:val="subscript"/>
              </w:rPr>
              <w:t>i</w:t>
            </w:r>
          </w:p>
        </w:tc>
        <w:tc>
          <w:tcPr>
            <w:tcW w:w="1260" w:type="dxa"/>
          </w:tcPr>
          <w:p w14:paraId="505F737B" w14:textId="77777777" w:rsidR="00AD6E8C" w:rsidRPr="00AD6E8C" w:rsidRDefault="00AD6E8C" w:rsidP="00AD6E8C">
            <w:pPr>
              <w:ind w:firstLine="227"/>
              <w:rPr>
                <w:sz w:val="18"/>
                <w:szCs w:val="18"/>
              </w:rPr>
            </w:pPr>
            <w:r w:rsidRPr="00AD6E8C">
              <w:rPr>
                <w:rFonts w:eastAsia="Calibri"/>
                <w:sz w:val="18"/>
                <w:szCs w:val="18"/>
              </w:rPr>
              <w:t>10</w:t>
            </w:r>
            <w:r w:rsidRPr="00AD6E8C">
              <w:rPr>
                <w:rFonts w:eastAsia="Calibri"/>
                <w:sz w:val="18"/>
                <w:szCs w:val="18"/>
                <w:vertAlign w:val="superscript"/>
              </w:rPr>
              <w:t>14</w:t>
            </w:r>
          </w:p>
        </w:tc>
      </w:tr>
      <w:tr w:rsidR="00AD6E8C" w:rsidRPr="00553EE6" w14:paraId="217BDD9C" w14:textId="77777777" w:rsidTr="00764C94">
        <w:trPr>
          <w:trHeight w:val="284"/>
        </w:trPr>
        <w:tc>
          <w:tcPr>
            <w:tcW w:w="4050" w:type="dxa"/>
          </w:tcPr>
          <w:p w14:paraId="7A1D5850" w14:textId="77777777" w:rsidR="00AD6E8C" w:rsidRPr="00AD6E8C" w:rsidRDefault="00AD6E8C" w:rsidP="00AD6E8C">
            <w:pPr>
              <w:rPr>
                <w:rFonts w:eastAsia="Calibri"/>
                <w:sz w:val="18"/>
                <w:szCs w:val="18"/>
              </w:rPr>
            </w:pPr>
            <w:r w:rsidRPr="00AD6E8C">
              <w:rPr>
                <w:rFonts w:eastAsia="Calibri"/>
                <w:sz w:val="18"/>
                <w:szCs w:val="18"/>
              </w:rPr>
              <w:t>Recombination:</w:t>
            </w:r>
          </w:p>
        </w:tc>
        <w:tc>
          <w:tcPr>
            <w:tcW w:w="2340" w:type="dxa"/>
          </w:tcPr>
          <w:p w14:paraId="52D1FA5C" w14:textId="77777777" w:rsidR="00AD6E8C" w:rsidRPr="00AD6E8C" w:rsidRDefault="00AD6E8C" w:rsidP="00AD6E8C">
            <w:pPr>
              <w:rPr>
                <w:rFonts w:eastAsia="Calibri"/>
                <w:sz w:val="18"/>
                <w:szCs w:val="18"/>
              </w:rPr>
            </w:pPr>
          </w:p>
        </w:tc>
        <w:tc>
          <w:tcPr>
            <w:tcW w:w="1530" w:type="dxa"/>
          </w:tcPr>
          <w:p w14:paraId="5C7E7AA8" w14:textId="77777777" w:rsidR="00AD6E8C" w:rsidRPr="00AD6E8C" w:rsidRDefault="00AD6E8C" w:rsidP="00AD6E8C">
            <w:pPr>
              <w:rPr>
                <w:rFonts w:eastAsia="Calibri"/>
                <w:sz w:val="18"/>
                <w:szCs w:val="18"/>
              </w:rPr>
            </w:pPr>
          </w:p>
        </w:tc>
        <w:tc>
          <w:tcPr>
            <w:tcW w:w="1260" w:type="dxa"/>
          </w:tcPr>
          <w:p w14:paraId="7B3453B2" w14:textId="77777777" w:rsidR="00AD6E8C" w:rsidRPr="00AD6E8C" w:rsidRDefault="00AD6E8C" w:rsidP="00AD6E8C">
            <w:pPr>
              <w:rPr>
                <w:rFonts w:eastAsia="Calibri"/>
                <w:sz w:val="18"/>
                <w:szCs w:val="18"/>
              </w:rPr>
            </w:pPr>
          </w:p>
        </w:tc>
      </w:tr>
      <w:tr w:rsidR="00AD6E8C" w:rsidRPr="00553EE6" w14:paraId="760BD29A" w14:textId="77777777" w:rsidTr="00764C94">
        <w:trPr>
          <w:trHeight w:val="284"/>
        </w:trPr>
        <w:tc>
          <w:tcPr>
            <w:tcW w:w="4050" w:type="dxa"/>
          </w:tcPr>
          <w:p w14:paraId="27F16C96" w14:textId="77777777" w:rsidR="00AD6E8C" w:rsidRPr="00AD6E8C" w:rsidRDefault="00AD6E8C" w:rsidP="00AD6E8C">
            <w:pPr>
              <w:rPr>
                <w:rFonts w:eastAsia="Calibri"/>
                <w:sz w:val="18"/>
                <w:szCs w:val="18"/>
              </w:rPr>
            </w:pPr>
            <w:r w:rsidRPr="00AD6E8C">
              <w:rPr>
                <w:rFonts w:eastAsia="Calibri"/>
                <w:sz w:val="18"/>
                <w:szCs w:val="18"/>
              </w:rPr>
              <w:t>Low concern., p lifetime</w:t>
            </w:r>
          </w:p>
        </w:tc>
        <w:tc>
          <w:tcPr>
            <w:tcW w:w="2340" w:type="dxa"/>
          </w:tcPr>
          <w:p w14:paraId="73DF71D5" w14:textId="77777777" w:rsidR="00AD6E8C" w:rsidRPr="00AD6E8C" w:rsidRDefault="00AD6E8C" w:rsidP="00AD6E8C">
            <w:pPr>
              <w:rPr>
                <w:rFonts w:eastAsia="Calibri"/>
                <w:sz w:val="18"/>
                <w:szCs w:val="18"/>
              </w:rPr>
            </w:pPr>
            <w:r w:rsidRPr="00AD6E8C">
              <w:rPr>
                <w:rFonts w:eastAsia="Calibri"/>
                <w:sz w:val="18"/>
                <w:szCs w:val="18"/>
              </w:rPr>
              <w:t>s</w:t>
            </w:r>
          </w:p>
        </w:tc>
        <w:tc>
          <w:tcPr>
            <w:tcW w:w="1530" w:type="dxa"/>
          </w:tcPr>
          <w:p w14:paraId="5E1EF32F" w14:textId="77777777" w:rsidR="00AD6E8C" w:rsidRPr="00AD6E8C" w:rsidRDefault="00AD6E8C" w:rsidP="00AD6E8C">
            <w:pPr>
              <w:rPr>
                <w:rFonts w:eastAsia="Calibri"/>
                <w:sz w:val="18"/>
                <w:szCs w:val="18"/>
              </w:rPr>
            </w:pPr>
            <w:r w:rsidRPr="00AD6E8C">
              <w:rPr>
                <w:rFonts w:ascii="Symbol" w:eastAsia="Calibri" w:hAnsi="Symbol"/>
                <w:sz w:val="18"/>
                <w:szCs w:val="18"/>
              </w:rPr>
              <w:t></w:t>
            </w:r>
            <w:r w:rsidRPr="00AD6E8C">
              <w:rPr>
                <w:rFonts w:eastAsia="Calibri"/>
                <w:sz w:val="18"/>
                <w:szCs w:val="18"/>
                <w:vertAlign w:val="subscript"/>
              </w:rPr>
              <w:t>p</w:t>
            </w:r>
          </w:p>
        </w:tc>
        <w:tc>
          <w:tcPr>
            <w:tcW w:w="1260" w:type="dxa"/>
          </w:tcPr>
          <w:p w14:paraId="6464472F" w14:textId="77777777" w:rsidR="00AD6E8C" w:rsidRPr="00AD6E8C" w:rsidRDefault="00AD6E8C" w:rsidP="00AD6E8C">
            <w:pPr>
              <w:rPr>
                <w:rFonts w:eastAsia="Calibri"/>
                <w:sz w:val="18"/>
                <w:szCs w:val="18"/>
              </w:rPr>
            </w:pPr>
            <w:r w:rsidRPr="00AD6E8C">
              <w:rPr>
                <w:rFonts w:eastAsia="Calibri"/>
                <w:sz w:val="18"/>
                <w:szCs w:val="18"/>
              </w:rPr>
              <w:t>10</w:t>
            </w:r>
            <w:r w:rsidRPr="00AD6E8C">
              <w:rPr>
                <w:rFonts w:eastAsia="Calibri"/>
                <w:sz w:val="18"/>
                <w:szCs w:val="18"/>
                <w:vertAlign w:val="superscript"/>
              </w:rPr>
              <w:t>-4</w:t>
            </w:r>
          </w:p>
        </w:tc>
      </w:tr>
      <w:tr w:rsidR="00AD6E8C" w:rsidRPr="00553EE6" w14:paraId="2AA8FA86" w14:textId="77777777" w:rsidTr="00764C94">
        <w:trPr>
          <w:trHeight w:val="284"/>
        </w:trPr>
        <w:tc>
          <w:tcPr>
            <w:tcW w:w="4050" w:type="dxa"/>
          </w:tcPr>
          <w:p w14:paraId="3E9B59CD" w14:textId="77777777" w:rsidR="00AD6E8C" w:rsidRPr="00AD6E8C" w:rsidRDefault="00AD6E8C" w:rsidP="00AD6E8C">
            <w:pPr>
              <w:rPr>
                <w:rFonts w:eastAsia="Calibri"/>
                <w:sz w:val="18"/>
                <w:szCs w:val="18"/>
              </w:rPr>
            </w:pPr>
            <w:r w:rsidRPr="00AD6E8C">
              <w:rPr>
                <w:rFonts w:eastAsia="Calibri"/>
                <w:sz w:val="18"/>
                <w:szCs w:val="18"/>
              </w:rPr>
              <w:t>Low concern., n lifetime</w:t>
            </w:r>
          </w:p>
        </w:tc>
        <w:tc>
          <w:tcPr>
            <w:tcW w:w="2340" w:type="dxa"/>
          </w:tcPr>
          <w:p w14:paraId="68D0F10D" w14:textId="77777777" w:rsidR="00AD6E8C" w:rsidRPr="00AD6E8C" w:rsidRDefault="00AD6E8C" w:rsidP="00AD6E8C">
            <w:pPr>
              <w:rPr>
                <w:rFonts w:eastAsia="Calibri"/>
                <w:sz w:val="18"/>
                <w:szCs w:val="18"/>
              </w:rPr>
            </w:pPr>
            <w:r w:rsidRPr="00AD6E8C">
              <w:rPr>
                <w:rFonts w:eastAsia="Calibri"/>
                <w:sz w:val="18"/>
                <w:szCs w:val="18"/>
              </w:rPr>
              <w:t>s</w:t>
            </w:r>
          </w:p>
        </w:tc>
        <w:tc>
          <w:tcPr>
            <w:tcW w:w="1530" w:type="dxa"/>
          </w:tcPr>
          <w:p w14:paraId="32BC68EC" w14:textId="77777777" w:rsidR="00AD6E8C" w:rsidRPr="00AD6E8C" w:rsidRDefault="00AD6E8C" w:rsidP="00AD6E8C">
            <w:pPr>
              <w:rPr>
                <w:rFonts w:eastAsia="Calibri"/>
                <w:sz w:val="18"/>
                <w:szCs w:val="18"/>
              </w:rPr>
            </w:pPr>
            <w:r w:rsidRPr="00AD6E8C">
              <w:rPr>
                <w:rFonts w:ascii="Symbol" w:eastAsia="Calibri" w:hAnsi="Symbol"/>
                <w:sz w:val="18"/>
                <w:szCs w:val="18"/>
              </w:rPr>
              <w:t></w:t>
            </w:r>
            <w:r w:rsidRPr="00AD6E8C">
              <w:rPr>
                <w:rFonts w:eastAsia="Calibri"/>
                <w:sz w:val="18"/>
                <w:szCs w:val="18"/>
                <w:vertAlign w:val="subscript"/>
              </w:rPr>
              <w:t>n</w:t>
            </w:r>
          </w:p>
        </w:tc>
        <w:tc>
          <w:tcPr>
            <w:tcW w:w="1260" w:type="dxa"/>
          </w:tcPr>
          <w:p w14:paraId="0112007A" w14:textId="77777777" w:rsidR="00AD6E8C" w:rsidRPr="00AD6E8C" w:rsidRDefault="00AD6E8C" w:rsidP="00AD6E8C">
            <w:pPr>
              <w:rPr>
                <w:rFonts w:eastAsia="Calibri"/>
                <w:sz w:val="18"/>
                <w:szCs w:val="18"/>
              </w:rPr>
            </w:pPr>
            <w:r w:rsidRPr="00AD6E8C">
              <w:rPr>
                <w:rFonts w:eastAsia="Calibri"/>
                <w:sz w:val="18"/>
                <w:szCs w:val="18"/>
              </w:rPr>
              <w:t>10</w:t>
            </w:r>
            <w:r w:rsidRPr="00AD6E8C">
              <w:rPr>
                <w:rFonts w:eastAsia="Calibri"/>
                <w:sz w:val="18"/>
                <w:szCs w:val="18"/>
                <w:vertAlign w:val="superscript"/>
              </w:rPr>
              <w:t>-3</w:t>
            </w:r>
          </w:p>
        </w:tc>
      </w:tr>
      <w:tr w:rsidR="00AD6E8C" w:rsidRPr="00553EE6" w14:paraId="50D68694" w14:textId="77777777" w:rsidTr="00764C94">
        <w:trPr>
          <w:trHeight w:val="284"/>
        </w:trPr>
        <w:tc>
          <w:tcPr>
            <w:tcW w:w="4050" w:type="dxa"/>
          </w:tcPr>
          <w:p w14:paraId="2F9FB4FB" w14:textId="77777777" w:rsidR="00AD6E8C" w:rsidRPr="00AD6E8C" w:rsidRDefault="00AD6E8C" w:rsidP="00AD6E8C">
            <w:pPr>
              <w:rPr>
                <w:rFonts w:eastAsia="Calibri"/>
                <w:sz w:val="18"/>
                <w:szCs w:val="18"/>
              </w:rPr>
            </w:pPr>
            <w:r w:rsidRPr="00AD6E8C">
              <w:rPr>
                <w:rFonts w:eastAsia="Calibri"/>
                <w:sz w:val="18"/>
                <w:szCs w:val="18"/>
              </w:rPr>
              <w:t xml:space="preserve">n capture </w:t>
            </w:r>
            <w:proofErr w:type="gramStart"/>
            <w:r w:rsidRPr="00AD6E8C">
              <w:rPr>
                <w:rFonts w:eastAsia="Calibri"/>
                <w:sz w:val="18"/>
                <w:szCs w:val="18"/>
              </w:rPr>
              <w:t>rate (@</w:t>
            </w:r>
            <w:proofErr w:type="gramEnd"/>
            <w:r w:rsidRPr="00AD6E8C">
              <w:rPr>
                <w:rFonts w:eastAsia="Calibri"/>
                <w:sz w:val="18"/>
                <w:szCs w:val="18"/>
              </w:rPr>
              <w:t>300K)</w:t>
            </w:r>
          </w:p>
        </w:tc>
        <w:tc>
          <w:tcPr>
            <w:tcW w:w="2340" w:type="dxa"/>
          </w:tcPr>
          <w:p w14:paraId="1CEEDF69" w14:textId="77777777" w:rsidR="00AD6E8C" w:rsidRPr="00AD6E8C" w:rsidRDefault="00AD6E8C" w:rsidP="00AD6E8C">
            <w:pPr>
              <w:rPr>
                <w:rFonts w:eastAsia="Calibri"/>
                <w:sz w:val="18"/>
                <w:szCs w:val="18"/>
              </w:rPr>
            </w:pPr>
            <w:r w:rsidRPr="00AD6E8C">
              <w:rPr>
                <w:rFonts w:eastAsia="Calibri"/>
                <w:sz w:val="18"/>
                <w:szCs w:val="18"/>
              </w:rPr>
              <w:t>cm</w:t>
            </w:r>
            <w:r w:rsidRPr="00AD6E8C">
              <w:rPr>
                <w:rFonts w:eastAsia="Calibri"/>
                <w:sz w:val="18"/>
                <w:szCs w:val="18"/>
                <w:vertAlign w:val="superscript"/>
              </w:rPr>
              <w:t>6</w:t>
            </w:r>
            <w:r w:rsidRPr="00AD6E8C">
              <w:rPr>
                <w:rFonts w:eastAsia="Calibri"/>
                <w:sz w:val="18"/>
                <w:szCs w:val="18"/>
              </w:rPr>
              <w:t xml:space="preserve"> s</w:t>
            </w:r>
            <w:r w:rsidRPr="00AD6E8C">
              <w:rPr>
                <w:rFonts w:eastAsia="Calibri"/>
                <w:sz w:val="18"/>
                <w:szCs w:val="18"/>
                <w:vertAlign w:val="superscript"/>
              </w:rPr>
              <w:t>-1</w:t>
            </w:r>
          </w:p>
        </w:tc>
        <w:tc>
          <w:tcPr>
            <w:tcW w:w="1530" w:type="dxa"/>
          </w:tcPr>
          <w:p w14:paraId="12FD6F4A" w14:textId="77777777" w:rsidR="00AD6E8C" w:rsidRPr="00AD6E8C" w:rsidRDefault="00AD6E8C" w:rsidP="00AD6E8C">
            <w:pPr>
              <w:rPr>
                <w:rFonts w:eastAsia="Calibri"/>
                <w:sz w:val="18"/>
                <w:szCs w:val="18"/>
              </w:rPr>
            </w:pPr>
            <w:r w:rsidRPr="00AD6E8C">
              <w:rPr>
                <w:rFonts w:eastAsia="Calibri"/>
                <w:sz w:val="18"/>
                <w:szCs w:val="18"/>
              </w:rPr>
              <w:t>C</w:t>
            </w:r>
            <w:r w:rsidRPr="00AD6E8C">
              <w:rPr>
                <w:rFonts w:eastAsia="Calibri"/>
                <w:sz w:val="18"/>
                <w:szCs w:val="18"/>
                <w:vertAlign w:val="subscript"/>
              </w:rPr>
              <w:t>n</w:t>
            </w:r>
          </w:p>
        </w:tc>
        <w:tc>
          <w:tcPr>
            <w:tcW w:w="1260" w:type="dxa"/>
          </w:tcPr>
          <w:p w14:paraId="1FA32531" w14:textId="77777777" w:rsidR="00AD6E8C" w:rsidRPr="00AD6E8C" w:rsidRDefault="00AD6E8C" w:rsidP="00AD6E8C">
            <w:pPr>
              <w:rPr>
                <w:rFonts w:eastAsia="Calibri"/>
                <w:sz w:val="18"/>
                <w:szCs w:val="18"/>
              </w:rPr>
            </w:pPr>
            <w:r w:rsidRPr="00AD6E8C">
              <w:rPr>
                <w:rFonts w:eastAsia="Calibri"/>
                <w:sz w:val="18"/>
                <w:szCs w:val="18"/>
              </w:rPr>
              <w:t>3x10</w:t>
            </w:r>
            <w:r w:rsidRPr="00AD6E8C">
              <w:rPr>
                <w:rFonts w:eastAsia="Calibri"/>
                <w:sz w:val="18"/>
                <w:szCs w:val="18"/>
                <w:vertAlign w:val="superscript"/>
              </w:rPr>
              <w:t>-31</w:t>
            </w:r>
          </w:p>
        </w:tc>
      </w:tr>
      <w:tr w:rsidR="00AD6E8C" w:rsidRPr="00553EE6" w14:paraId="57BCCE24" w14:textId="77777777" w:rsidTr="00764C94">
        <w:trPr>
          <w:trHeight w:val="284"/>
        </w:trPr>
        <w:tc>
          <w:tcPr>
            <w:tcW w:w="4050" w:type="dxa"/>
          </w:tcPr>
          <w:p w14:paraId="50F5BFAF" w14:textId="77777777" w:rsidR="00AD6E8C" w:rsidRPr="00AD6E8C" w:rsidRDefault="00AD6E8C" w:rsidP="00AD6E8C">
            <w:pPr>
              <w:rPr>
                <w:rFonts w:eastAsia="Calibri"/>
                <w:sz w:val="18"/>
                <w:szCs w:val="18"/>
              </w:rPr>
            </w:pPr>
            <w:r w:rsidRPr="00AD6E8C">
              <w:rPr>
                <w:rFonts w:eastAsia="Calibri"/>
                <w:sz w:val="18"/>
                <w:szCs w:val="18"/>
              </w:rPr>
              <w:t xml:space="preserve">p capture </w:t>
            </w:r>
            <w:proofErr w:type="gramStart"/>
            <w:r w:rsidRPr="00AD6E8C">
              <w:rPr>
                <w:rFonts w:eastAsia="Calibri"/>
                <w:sz w:val="18"/>
                <w:szCs w:val="18"/>
              </w:rPr>
              <w:t>rate (@</w:t>
            </w:r>
            <w:proofErr w:type="gramEnd"/>
            <w:r w:rsidRPr="00AD6E8C">
              <w:rPr>
                <w:rFonts w:eastAsia="Calibri"/>
                <w:sz w:val="18"/>
                <w:szCs w:val="18"/>
              </w:rPr>
              <w:t>300K)</w:t>
            </w:r>
          </w:p>
        </w:tc>
        <w:tc>
          <w:tcPr>
            <w:tcW w:w="2340" w:type="dxa"/>
          </w:tcPr>
          <w:p w14:paraId="7EC76B8C" w14:textId="77777777" w:rsidR="00AD6E8C" w:rsidRPr="00AD6E8C" w:rsidRDefault="00AD6E8C" w:rsidP="00AD6E8C">
            <w:pPr>
              <w:rPr>
                <w:rFonts w:eastAsia="Calibri"/>
                <w:sz w:val="18"/>
                <w:szCs w:val="18"/>
              </w:rPr>
            </w:pPr>
            <w:r w:rsidRPr="00AD6E8C">
              <w:rPr>
                <w:rFonts w:eastAsia="Calibri"/>
                <w:sz w:val="18"/>
                <w:szCs w:val="18"/>
              </w:rPr>
              <w:t>cm</w:t>
            </w:r>
            <w:r w:rsidRPr="00AD6E8C">
              <w:rPr>
                <w:rFonts w:eastAsia="Calibri"/>
                <w:sz w:val="18"/>
                <w:szCs w:val="18"/>
                <w:vertAlign w:val="superscript"/>
              </w:rPr>
              <w:t>6</w:t>
            </w:r>
            <w:r w:rsidRPr="00AD6E8C">
              <w:rPr>
                <w:rFonts w:eastAsia="Calibri"/>
                <w:sz w:val="18"/>
                <w:szCs w:val="18"/>
              </w:rPr>
              <w:t xml:space="preserve"> s</w:t>
            </w:r>
            <w:r w:rsidRPr="00AD6E8C">
              <w:rPr>
                <w:rFonts w:eastAsia="Calibri"/>
                <w:sz w:val="18"/>
                <w:szCs w:val="18"/>
                <w:vertAlign w:val="superscript"/>
              </w:rPr>
              <w:t>-1</w:t>
            </w:r>
          </w:p>
        </w:tc>
        <w:tc>
          <w:tcPr>
            <w:tcW w:w="1530" w:type="dxa"/>
          </w:tcPr>
          <w:p w14:paraId="4375C4EF" w14:textId="77777777" w:rsidR="00AD6E8C" w:rsidRPr="00AD6E8C" w:rsidRDefault="00AD6E8C" w:rsidP="00AD6E8C">
            <w:pPr>
              <w:rPr>
                <w:rFonts w:eastAsia="Calibri"/>
                <w:sz w:val="18"/>
                <w:szCs w:val="18"/>
              </w:rPr>
            </w:pPr>
            <w:r w:rsidRPr="00AD6E8C">
              <w:rPr>
                <w:rFonts w:eastAsia="Calibri"/>
                <w:sz w:val="18"/>
                <w:szCs w:val="18"/>
              </w:rPr>
              <w:t>C</w:t>
            </w:r>
            <w:r w:rsidRPr="00AD6E8C">
              <w:rPr>
                <w:rFonts w:eastAsia="Calibri"/>
                <w:sz w:val="18"/>
                <w:szCs w:val="18"/>
                <w:vertAlign w:val="subscript"/>
              </w:rPr>
              <w:t>p</w:t>
            </w:r>
          </w:p>
        </w:tc>
        <w:tc>
          <w:tcPr>
            <w:tcW w:w="1260" w:type="dxa"/>
          </w:tcPr>
          <w:p w14:paraId="1810CE08" w14:textId="77777777" w:rsidR="00AD6E8C" w:rsidRPr="00AD6E8C" w:rsidRDefault="00AD6E8C" w:rsidP="00AD6E8C">
            <w:pPr>
              <w:rPr>
                <w:rFonts w:eastAsia="Calibri"/>
                <w:sz w:val="18"/>
                <w:szCs w:val="18"/>
              </w:rPr>
            </w:pPr>
            <w:r w:rsidRPr="00AD6E8C">
              <w:rPr>
                <w:rFonts w:eastAsia="Calibri"/>
                <w:sz w:val="18"/>
                <w:szCs w:val="18"/>
              </w:rPr>
              <w:t>10</w:t>
            </w:r>
            <w:r w:rsidRPr="00AD6E8C">
              <w:rPr>
                <w:rFonts w:eastAsia="Calibri"/>
                <w:sz w:val="18"/>
                <w:szCs w:val="18"/>
                <w:vertAlign w:val="superscript"/>
              </w:rPr>
              <w:t>-31</w:t>
            </w:r>
          </w:p>
        </w:tc>
      </w:tr>
      <w:tr w:rsidR="00AD6E8C" w:rsidRPr="00553EE6" w14:paraId="266F80AC" w14:textId="77777777" w:rsidTr="00764C94">
        <w:trPr>
          <w:trHeight w:val="284"/>
        </w:trPr>
        <w:tc>
          <w:tcPr>
            <w:tcW w:w="4050" w:type="dxa"/>
          </w:tcPr>
          <w:p w14:paraId="013D0EA1" w14:textId="77777777" w:rsidR="00AD6E8C" w:rsidRPr="00AD6E8C" w:rsidRDefault="00AD6E8C" w:rsidP="00AD6E8C">
            <w:pPr>
              <w:rPr>
                <w:rFonts w:eastAsia="Calibri"/>
                <w:sz w:val="18"/>
                <w:szCs w:val="18"/>
              </w:rPr>
            </w:pPr>
            <w:r w:rsidRPr="00AD6E8C">
              <w:rPr>
                <w:rFonts w:eastAsia="Calibri"/>
                <w:sz w:val="18"/>
                <w:szCs w:val="18"/>
              </w:rPr>
              <w:t xml:space="preserve">Auge recombination </w:t>
            </w:r>
            <w:proofErr w:type="spellStart"/>
            <w:proofErr w:type="gramStart"/>
            <w:r w:rsidRPr="00AD6E8C">
              <w:rPr>
                <w:rFonts w:eastAsia="Calibri"/>
                <w:sz w:val="18"/>
                <w:szCs w:val="18"/>
              </w:rPr>
              <w:t>coeff</w:t>
            </w:r>
            <w:proofErr w:type="spellEnd"/>
            <w:r w:rsidRPr="00AD6E8C">
              <w:rPr>
                <w:rFonts w:eastAsia="Calibri"/>
                <w:sz w:val="18"/>
                <w:szCs w:val="18"/>
              </w:rPr>
              <w:t xml:space="preserve"> (@</w:t>
            </w:r>
            <w:proofErr w:type="gramEnd"/>
            <w:r w:rsidRPr="00AD6E8C">
              <w:rPr>
                <w:rFonts w:eastAsia="Calibri"/>
                <w:sz w:val="18"/>
                <w:szCs w:val="18"/>
              </w:rPr>
              <w:t>300K)</w:t>
            </w:r>
          </w:p>
        </w:tc>
        <w:tc>
          <w:tcPr>
            <w:tcW w:w="2340" w:type="dxa"/>
          </w:tcPr>
          <w:p w14:paraId="1E66D7E9" w14:textId="77777777" w:rsidR="00AD6E8C" w:rsidRPr="00AD6E8C" w:rsidRDefault="00AD6E8C" w:rsidP="00AD6E8C">
            <w:pPr>
              <w:rPr>
                <w:rFonts w:eastAsia="Calibri"/>
                <w:sz w:val="18"/>
                <w:szCs w:val="18"/>
              </w:rPr>
            </w:pPr>
            <w:r w:rsidRPr="00AD6E8C">
              <w:rPr>
                <w:rFonts w:eastAsia="Calibri"/>
                <w:sz w:val="18"/>
                <w:szCs w:val="18"/>
              </w:rPr>
              <w:t>cm</w:t>
            </w:r>
            <w:r w:rsidRPr="00AD6E8C">
              <w:rPr>
                <w:rFonts w:eastAsia="Calibri"/>
                <w:sz w:val="18"/>
                <w:szCs w:val="18"/>
                <w:vertAlign w:val="superscript"/>
              </w:rPr>
              <w:t>6</w:t>
            </w:r>
            <w:r w:rsidRPr="00AD6E8C">
              <w:rPr>
                <w:rFonts w:eastAsia="Calibri"/>
                <w:sz w:val="18"/>
                <w:szCs w:val="18"/>
              </w:rPr>
              <w:t xml:space="preserve"> s</w:t>
            </w:r>
            <w:r w:rsidRPr="00AD6E8C">
              <w:rPr>
                <w:rFonts w:eastAsia="Calibri"/>
                <w:sz w:val="18"/>
                <w:szCs w:val="18"/>
                <w:vertAlign w:val="superscript"/>
              </w:rPr>
              <w:t>-1</w:t>
            </w:r>
          </w:p>
        </w:tc>
        <w:tc>
          <w:tcPr>
            <w:tcW w:w="1530" w:type="dxa"/>
          </w:tcPr>
          <w:p w14:paraId="6A75B992" w14:textId="77777777" w:rsidR="00AD6E8C" w:rsidRPr="00AD6E8C" w:rsidRDefault="00AD6E8C" w:rsidP="00AD6E8C">
            <w:pPr>
              <w:rPr>
                <w:rFonts w:eastAsia="Calibri"/>
                <w:sz w:val="18"/>
                <w:szCs w:val="18"/>
              </w:rPr>
            </w:pPr>
            <w:r w:rsidRPr="00AD6E8C">
              <w:rPr>
                <w:rFonts w:eastAsia="Calibri"/>
                <w:sz w:val="18"/>
                <w:szCs w:val="18"/>
              </w:rPr>
              <w:t>C</w:t>
            </w:r>
            <w:r w:rsidRPr="00AD6E8C">
              <w:rPr>
                <w:rFonts w:eastAsia="Calibri"/>
                <w:sz w:val="18"/>
                <w:szCs w:val="18"/>
                <w:vertAlign w:val="subscript"/>
              </w:rPr>
              <w:t>A</w:t>
            </w:r>
          </w:p>
        </w:tc>
        <w:tc>
          <w:tcPr>
            <w:tcW w:w="1260" w:type="dxa"/>
          </w:tcPr>
          <w:p w14:paraId="415CF6A9" w14:textId="77777777" w:rsidR="00AD6E8C" w:rsidRPr="00AD6E8C" w:rsidRDefault="00AD6E8C" w:rsidP="00AD6E8C">
            <w:pPr>
              <w:rPr>
                <w:rFonts w:eastAsia="Calibri"/>
                <w:sz w:val="18"/>
                <w:szCs w:val="18"/>
              </w:rPr>
            </w:pPr>
            <w:r w:rsidRPr="00AD6E8C">
              <w:rPr>
                <w:rFonts w:eastAsia="Calibri"/>
                <w:sz w:val="18"/>
                <w:szCs w:val="18"/>
              </w:rPr>
              <w:t>10</w:t>
            </w:r>
            <w:r w:rsidRPr="00AD6E8C">
              <w:rPr>
                <w:rFonts w:eastAsia="Calibri"/>
                <w:sz w:val="18"/>
                <w:szCs w:val="18"/>
                <w:vertAlign w:val="superscript"/>
              </w:rPr>
              <w:t>-30</w:t>
            </w:r>
          </w:p>
        </w:tc>
      </w:tr>
      <w:tr w:rsidR="00AD6E8C" w:rsidRPr="00553EE6" w14:paraId="5B5511E4" w14:textId="77777777" w:rsidTr="00764C94">
        <w:trPr>
          <w:trHeight w:val="284"/>
        </w:trPr>
        <w:tc>
          <w:tcPr>
            <w:tcW w:w="4050" w:type="dxa"/>
            <w:tcBorders>
              <w:bottom w:val="single" w:sz="12" w:space="0" w:color="000000"/>
            </w:tcBorders>
          </w:tcPr>
          <w:p w14:paraId="1EA800B5" w14:textId="77777777" w:rsidR="00AD6E8C" w:rsidRPr="00AD6E8C" w:rsidRDefault="00AD6E8C" w:rsidP="00AD6E8C">
            <w:pPr>
              <w:rPr>
                <w:rFonts w:eastAsia="Calibri"/>
                <w:sz w:val="18"/>
                <w:szCs w:val="18"/>
              </w:rPr>
            </w:pPr>
            <w:r w:rsidRPr="00AD6E8C">
              <w:rPr>
                <w:rFonts w:eastAsia="Calibri"/>
                <w:sz w:val="18"/>
                <w:szCs w:val="18"/>
              </w:rPr>
              <w:t>surface recombination</w:t>
            </w:r>
          </w:p>
        </w:tc>
        <w:tc>
          <w:tcPr>
            <w:tcW w:w="2340" w:type="dxa"/>
            <w:tcBorders>
              <w:bottom w:val="single" w:sz="12" w:space="0" w:color="000000"/>
            </w:tcBorders>
          </w:tcPr>
          <w:p w14:paraId="2E2FD867" w14:textId="77777777" w:rsidR="00AD6E8C" w:rsidRPr="00AD6E8C" w:rsidRDefault="00AD6E8C" w:rsidP="00AD6E8C">
            <w:pPr>
              <w:rPr>
                <w:rFonts w:eastAsia="Calibri"/>
                <w:sz w:val="18"/>
                <w:szCs w:val="18"/>
              </w:rPr>
            </w:pPr>
            <w:r w:rsidRPr="00AD6E8C">
              <w:rPr>
                <w:rFonts w:eastAsia="Calibri"/>
                <w:sz w:val="18"/>
                <w:szCs w:val="18"/>
              </w:rPr>
              <w:t>cm</w:t>
            </w:r>
            <w:r w:rsidRPr="00AD6E8C">
              <w:rPr>
                <w:rFonts w:eastAsia="Calibri"/>
                <w:sz w:val="18"/>
                <w:szCs w:val="18"/>
                <w:vertAlign w:val="superscript"/>
              </w:rPr>
              <w:t>3</w:t>
            </w:r>
            <w:r w:rsidRPr="00AD6E8C">
              <w:rPr>
                <w:rFonts w:eastAsia="Calibri"/>
                <w:sz w:val="18"/>
                <w:szCs w:val="18"/>
              </w:rPr>
              <w:t>/s</w:t>
            </w:r>
          </w:p>
        </w:tc>
        <w:tc>
          <w:tcPr>
            <w:tcW w:w="1530" w:type="dxa"/>
            <w:tcBorders>
              <w:bottom w:val="single" w:sz="12" w:space="0" w:color="000000"/>
            </w:tcBorders>
          </w:tcPr>
          <w:p w14:paraId="7C8DA72E" w14:textId="77777777" w:rsidR="00AD6E8C" w:rsidRPr="00AD6E8C" w:rsidRDefault="00AD6E8C" w:rsidP="00AD6E8C">
            <w:pPr>
              <w:rPr>
                <w:rFonts w:eastAsia="Calibri"/>
                <w:sz w:val="18"/>
                <w:szCs w:val="18"/>
              </w:rPr>
            </w:pPr>
            <w:r w:rsidRPr="00AD6E8C">
              <w:rPr>
                <w:rFonts w:eastAsia="Calibri"/>
                <w:sz w:val="18"/>
                <w:szCs w:val="18"/>
              </w:rPr>
              <w:t>R</w:t>
            </w:r>
            <w:r w:rsidRPr="00AD6E8C">
              <w:rPr>
                <w:rFonts w:eastAsia="Calibri"/>
                <w:sz w:val="18"/>
                <w:szCs w:val="18"/>
                <w:vertAlign w:val="subscript"/>
              </w:rPr>
              <w:t>s</w:t>
            </w:r>
          </w:p>
        </w:tc>
        <w:tc>
          <w:tcPr>
            <w:tcW w:w="1260" w:type="dxa"/>
            <w:tcBorders>
              <w:bottom w:val="single" w:sz="12" w:space="0" w:color="000000"/>
            </w:tcBorders>
          </w:tcPr>
          <w:p w14:paraId="61537FA7" w14:textId="77777777" w:rsidR="00AD6E8C" w:rsidRPr="00AD6E8C" w:rsidRDefault="00AD6E8C" w:rsidP="00AD6E8C">
            <w:pPr>
              <w:rPr>
                <w:rFonts w:eastAsia="Calibri"/>
                <w:sz w:val="18"/>
                <w:szCs w:val="18"/>
              </w:rPr>
            </w:pPr>
            <w:r w:rsidRPr="00AD6E8C">
              <w:rPr>
                <w:rFonts w:eastAsia="Calibri"/>
                <w:sz w:val="18"/>
                <w:szCs w:val="18"/>
              </w:rPr>
              <w:t>10-10</w:t>
            </w:r>
            <w:r w:rsidRPr="00AD6E8C">
              <w:rPr>
                <w:rFonts w:eastAsia="Calibri"/>
                <w:sz w:val="18"/>
                <w:szCs w:val="18"/>
                <w:vertAlign w:val="superscript"/>
              </w:rPr>
              <w:t>6</w:t>
            </w:r>
          </w:p>
        </w:tc>
      </w:tr>
    </w:tbl>
    <w:p w14:paraId="30007EF4" w14:textId="77777777" w:rsidR="006B02BC" w:rsidRDefault="006B02BC" w:rsidP="006B02BC">
      <w:pPr>
        <w:rPr>
          <w:rFonts w:eastAsia="Times New Roman"/>
        </w:rPr>
      </w:pPr>
    </w:p>
    <w:p w14:paraId="1E1320BF" w14:textId="77777777" w:rsidR="006B02BC" w:rsidRDefault="006B02BC" w:rsidP="006B02BC">
      <w:pPr>
        <w:rPr>
          <w:rFonts w:eastAsia="Times New Roman"/>
        </w:rPr>
      </w:pPr>
    </w:p>
    <w:p w14:paraId="07719083" w14:textId="77777777" w:rsidR="006B02BC" w:rsidRDefault="006B02BC" w:rsidP="006B02BC">
      <w:pPr>
        <w:rPr>
          <w:rFonts w:eastAsia="Times New Roman"/>
        </w:rPr>
      </w:pPr>
    </w:p>
    <w:p w14:paraId="2AC19927" w14:textId="41E7AA21" w:rsidR="006B02BC" w:rsidRDefault="006B02BC" w:rsidP="00A40BB2">
      <w:pPr>
        <w:spacing w:line="276" w:lineRule="auto"/>
        <w:rPr>
          <w:rFonts w:eastAsia="Times New Roman"/>
        </w:rPr>
      </w:pPr>
      <w:r w:rsidRPr="00553EE6">
        <w:rPr>
          <w:rFonts w:eastAsia="Times New Roman"/>
        </w:rPr>
        <w:lastRenderedPageBreak/>
        <w:t xml:space="preserve">In optical devices, </w:t>
      </w:r>
      <w:proofErr w:type="gramStart"/>
      <w:r w:rsidRPr="00553EE6">
        <w:rPr>
          <w:rFonts w:eastAsia="Times New Roman"/>
        </w:rPr>
        <w:t>and also</w:t>
      </w:r>
      <w:proofErr w:type="gramEnd"/>
      <w:r w:rsidRPr="00553EE6">
        <w:rPr>
          <w:rFonts w:eastAsia="Times New Roman"/>
        </w:rPr>
        <w:t xml:space="preserve"> in electrolytic devices, </w:t>
      </w:r>
      <w:r w:rsidRPr="00553EE6">
        <w:rPr>
          <w:rFonts w:eastAsia="Times New Roman"/>
          <w:i/>
        </w:rPr>
        <w:t>N</w:t>
      </w:r>
      <w:r w:rsidRPr="00553EE6">
        <w:rPr>
          <w:rFonts w:eastAsia="Times New Roman"/>
        </w:rPr>
        <w:t xml:space="preserve"> and </w:t>
      </w:r>
      <w:r w:rsidRPr="00553EE6">
        <w:rPr>
          <w:rFonts w:eastAsia="Times New Roman"/>
          <w:i/>
        </w:rPr>
        <w:t>P</w:t>
      </w:r>
      <w:r w:rsidRPr="00553EE6">
        <w:rPr>
          <w:rFonts w:eastAsia="Times New Roman"/>
        </w:rPr>
        <w:t xml:space="preserve"> are treated as independent variables and </w:t>
      </w:r>
      <w:r w:rsidR="00CA35C9">
        <w:rPr>
          <w:rFonts w:eastAsia="Times New Roman"/>
        </w:rPr>
        <w:t xml:space="preserve">a </w:t>
      </w:r>
      <w:r w:rsidRPr="00553EE6">
        <w:rPr>
          <w:rFonts w:eastAsia="Times New Roman"/>
        </w:rPr>
        <w:t>similar treatment can be seen in Galvanic devices [</w:t>
      </w:r>
      <w:r w:rsidR="00A664FF">
        <w:rPr>
          <w:rFonts w:eastAsia="Times New Roman"/>
        </w:rPr>
        <w:t>8</w:t>
      </w:r>
      <w:r w:rsidRPr="00553EE6">
        <w:rPr>
          <w:rFonts w:eastAsia="Times New Roman"/>
        </w:rPr>
        <w:t xml:space="preserve">]. In these devices, </w:t>
      </w:r>
      <w:r w:rsidRPr="00553EE6">
        <w:rPr>
          <w:rFonts w:eastAsia="Times New Roman"/>
          <w:i/>
        </w:rPr>
        <w:t>N</w:t>
      </w:r>
      <w:r w:rsidRPr="00553EE6">
        <w:rPr>
          <w:rFonts w:eastAsia="Times New Roman"/>
        </w:rPr>
        <w:t xml:space="preserve"> and </w:t>
      </w:r>
      <w:proofErr w:type="spellStart"/>
      <w:r w:rsidRPr="00553EE6">
        <w:rPr>
          <w:rFonts w:eastAsia="Times New Roman"/>
          <w:i/>
        </w:rPr>
        <w:t>P</w:t>
      </w:r>
      <w:r w:rsidRPr="00553EE6">
        <w:rPr>
          <w:rFonts w:eastAsia="Times New Roman"/>
        </w:rPr>
        <w:t xml:space="preserve"> are</w:t>
      </w:r>
      <w:proofErr w:type="spellEnd"/>
      <w:r w:rsidRPr="00553EE6">
        <w:rPr>
          <w:rFonts w:eastAsia="Times New Roman"/>
        </w:rPr>
        <w:t xml:space="preserve"> the cause (input), and </w:t>
      </w:r>
      <w:r w:rsidRPr="00553EE6">
        <w:rPr>
          <w:rFonts w:eastAsia="Times New Roman"/>
          <w:i/>
        </w:rPr>
        <w:t>n</w:t>
      </w:r>
      <w:r w:rsidRPr="00553EE6">
        <w:rPr>
          <w:rFonts w:eastAsia="Times New Roman"/>
        </w:rPr>
        <w:t xml:space="preserve"> and </w:t>
      </w:r>
      <w:r w:rsidRPr="00553EE6">
        <w:rPr>
          <w:rFonts w:eastAsia="Times New Roman"/>
          <w:i/>
        </w:rPr>
        <w:t>p</w:t>
      </w:r>
      <w:r w:rsidRPr="00553EE6">
        <w:rPr>
          <w:rFonts w:eastAsia="Times New Roman"/>
        </w:rPr>
        <w:t xml:space="preserve"> are the results (output). However, in transistor devices or </w:t>
      </w:r>
      <w:proofErr w:type="spellStart"/>
      <w:r w:rsidRPr="00553EE6">
        <w:rPr>
          <w:rFonts w:eastAsia="Times New Roman"/>
          <w:i/>
        </w:rPr>
        <w:t>pn</w:t>
      </w:r>
      <w:proofErr w:type="spellEnd"/>
      <w:r w:rsidRPr="00553EE6">
        <w:rPr>
          <w:rFonts w:eastAsia="Times New Roman"/>
        </w:rPr>
        <w:t xml:space="preserve"> junction devices, the initial cause </w:t>
      </w:r>
      <w:r w:rsidRPr="00553EE6">
        <w:rPr>
          <w:rFonts w:eastAsia="Times New Roman"/>
          <w:i/>
        </w:rPr>
        <w:t>N</w:t>
      </w:r>
      <w:r w:rsidRPr="00553EE6">
        <w:rPr>
          <w:rFonts w:eastAsia="Times New Roman"/>
        </w:rPr>
        <w:t xml:space="preserve"> and </w:t>
      </w:r>
      <w:r w:rsidRPr="00553EE6">
        <w:rPr>
          <w:rFonts w:eastAsia="Times New Roman"/>
          <w:i/>
        </w:rPr>
        <w:t>P</w:t>
      </w:r>
      <w:r w:rsidRPr="00553EE6">
        <w:rPr>
          <w:rFonts w:eastAsia="Times New Roman"/>
        </w:rPr>
        <w:t xml:space="preserve"> bringing about the effect </w:t>
      </w:r>
      <w:r w:rsidRPr="00553EE6">
        <w:rPr>
          <w:rFonts w:eastAsia="Times New Roman"/>
          <w:i/>
        </w:rPr>
        <w:t>n</w:t>
      </w:r>
      <w:r w:rsidRPr="00553EE6">
        <w:rPr>
          <w:rFonts w:eastAsia="Times New Roman"/>
        </w:rPr>
        <w:t xml:space="preserve"> and </w:t>
      </w:r>
      <w:r w:rsidRPr="00553EE6">
        <w:rPr>
          <w:rFonts w:eastAsia="Times New Roman"/>
          <w:i/>
        </w:rPr>
        <w:t>p</w:t>
      </w:r>
      <w:r w:rsidRPr="00553EE6">
        <w:rPr>
          <w:rFonts w:eastAsia="Times New Roman"/>
        </w:rPr>
        <w:t xml:space="preserve"> are incorporated into the background electric field, and therefore, </w:t>
      </w:r>
      <w:r w:rsidRPr="00553EE6">
        <w:rPr>
          <w:rFonts w:eastAsia="Times New Roman"/>
          <w:i/>
        </w:rPr>
        <w:t>N</w:t>
      </w:r>
      <w:r w:rsidRPr="00553EE6">
        <w:rPr>
          <w:rFonts w:eastAsia="Times New Roman"/>
        </w:rPr>
        <w:t xml:space="preserve"> and </w:t>
      </w:r>
      <w:r w:rsidRPr="00553EE6">
        <w:rPr>
          <w:rFonts w:eastAsia="Times New Roman"/>
          <w:i/>
        </w:rPr>
        <w:t>P</w:t>
      </w:r>
      <w:r w:rsidRPr="00553EE6">
        <w:rPr>
          <w:rFonts w:eastAsia="Times New Roman"/>
        </w:rPr>
        <w:t xml:space="preserve"> do not appear explicitly [</w:t>
      </w:r>
      <w:r w:rsidR="00A664FF">
        <w:rPr>
          <w:rFonts w:eastAsia="Times New Roman"/>
        </w:rPr>
        <w:t>9</w:t>
      </w:r>
      <w:r w:rsidRPr="00553EE6">
        <w:rPr>
          <w:rFonts w:eastAsia="Times New Roman"/>
        </w:rPr>
        <w:t>].</w:t>
      </w:r>
    </w:p>
    <w:p w14:paraId="0F623D08" w14:textId="04E8D0DC" w:rsidR="008A007F" w:rsidRDefault="008A007F" w:rsidP="00A40BB2">
      <w:pPr>
        <w:pStyle w:val="PARAIndent"/>
        <w:spacing w:line="276" w:lineRule="auto"/>
        <w:rPr>
          <w:lang w:val="x-none"/>
        </w:rPr>
      </w:pPr>
      <w:r w:rsidRPr="00BE6CED">
        <w:t xml:space="preserve">Besides the scattering event, the generated electron-hole pair can experience Shockley-Read-Hall </w:t>
      </w:r>
      <w:r>
        <w:t xml:space="preserve">(SRH) </w:t>
      </w:r>
      <w:r w:rsidRPr="00BE6CED">
        <w:t>recombination [</w:t>
      </w:r>
      <w:r>
        <w:t>8</w:t>
      </w:r>
      <w:r w:rsidRPr="00BE6CED">
        <w:t>,</w:t>
      </w:r>
      <w:r w:rsidR="00440AFC">
        <w:t xml:space="preserve"> </w:t>
      </w:r>
      <w:r>
        <w:t>1</w:t>
      </w:r>
      <w:r w:rsidR="00440AFC">
        <w:t>0</w:t>
      </w:r>
      <w:r w:rsidRPr="00BE6CED">
        <w:t>] and/or Auger recombination [</w:t>
      </w:r>
      <w:r w:rsidR="00440AFC">
        <w:t>8,11</w:t>
      </w:r>
      <w:r w:rsidRPr="00BE6CED">
        <w:t>], as well as surface recombination [</w:t>
      </w:r>
      <w:r w:rsidR="00440AFC">
        <w:t>12</w:t>
      </w:r>
      <w:r w:rsidRPr="00BE6CED">
        <w:t>] if the electron-hole pair reaches the surface. In these cases, the electron-hole pair will disappear</w:t>
      </w:r>
      <w:r>
        <w:t>,</w:t>
      </w:r>
      <w:r w:rsidRPr="00BE6CED">
        <w:t xml:space="preserve"> resulting in </w:t>
      </w:r>
      <w:r>
        <w:t>a</w:t>
      </w:r>
      <w:r w:rsidRPr="00BE6CED">
        <w:t xml:space="preserve"> smaller absorption. </w:t>
      </w:r>
      <w:r w:rsidRPr="00BE6CED">
        <w:rPr>
          <w:lang w:val="x-none"/>
        </w:rPr>
        <w:t>When the electron or hole reaches the electrode</w:t>
      </w:r>
      <w:r>
        <w:rPr>
          <w:lang w:val="x-none"/>
        </w:rPr>
        <w:t>,</w:t>
      </w:r>
      <w:r w:rsidRPr="00BE6CED">
        <w:rPr>
          <w:lang w:val="x-none"/>
        </w:rPr>
        <w:t xml:space="preserve"> it is calculated as current at the electrode. Initial light could be modeled as a pulse</w:t>
      </w:r>
      <w:r>
        <w:rPr>
          <w:lang w:val="x-none"/>
        </w:rPr>
        <w:t>;</w:t>
      </w:r>
      <w:r w:rsidRPr="00BE6CED">
        <w:rPr>
          <w:lang w:val="x-none"/>
        </w:rPr>
        <w:t xml:space="preserve"> in this case, we can register a </w:t>
      </w:r>
      <w:r w:rsidRPr="00B84F56">
        <w:rPr>
          <w:lang w:val="x-none"/>
        </w:rPr>
        <w:t xml:space="preserve">current </w:t>
      </w:r>
      <w:r w:rsidRPr="00B84F56">
        <w:t>corresponding</w:t>
      </w:r>
      <w:r w:rsidRPr="00BE6CED">
        <w:rPr>
          <w:lang w:val="x-none"/>
        </w:rPr>
        <w:t xml:space="preserve"> to the pulse. The speed of the response can be characterized by the width of the response pulse or by the width at -3 dB of the Fourier transform of the pulse that will represent the bandwidth. Bandwidth also takes into account the response tail, and, thus, is a better parameter.  </w:t>
      </w:r>
    </w:p>
    <w:p w14:paraId="46CC0BDC" w14:textId="3D015E61" w:rsidR="008A007F" w:rsidRPr="00BE6CED" w:rsidRDefault="008A007F" w:rsidP="00A40BB2">
      <w:pPr>
        <w:pStyle w:val="PARAIndent"/>
        <w:spacing w:line="276" w:lineRule="auto"/>
        <w:rPr>
          <w:lang w:val="x-none"/>
        </w:rPr>
      </w:pPr>
      <w:r w:rsidRPr="00B84F56">
        <w:t xml:space="preserve">We assume an intrinsic level for the SRH, with a weighting factor of conduction-valence effective masses. The SRH calibration is done based on the doping of the </w:t>
      </w:r>
      <w:proofErr w:type="spellStart"/>
      <w:r w:rsidRPr="00B84F56">
        <w:t>i</w:t>
      </w:r>
      <w:proofErr w:type="spellEnd"/>
      <w:r w:rsidRPr="00B84F56">
        <w:t>-layer. Once the doping is determined (e.g., 10</w:t>
      </w:r>
      <w:r w:rsidRPr="00B84F56">
        <w:rPr>
          <w:vertAlign w:val="superscript"/>
        </w:rPr>
        <w:t>14</w:t>
      </w:r>
      <w:r w:rsidRPr="00B84F56">
        <w:t> cm</w:t>
      </w:r>
      <w:r w:rsidRPr="00B84F56">
        <w:rPr>
          <w:vertAlign w:val="superscript"/>
        </w:rPr>
        <w:t>-3</w:t>
      </w:r>
      <w:r w:rsidRPr="00B84F56">
        <w:t xml:space="preserve">), then the DC conductance is determined through the electron transport properties. This is equivalent to identifying effective resistance. The </w:t>
      </w:r>
      <w:proofErr w:type="spellStart"/>
      <w:r w:rsidRPr="00B84F56">
        <w:t>i</w:t>
      </w:r>
      <w:proofErr w:type="spellEnd"/>
      <w:r w:rsidRPr="00B84F56">
        <w:t xml:space="preserve">-layer thickness gives effective capacitance. Then, we know the impedance as a function of frequency. The information is changed to dielectric permittivity, where experimental data </w:t>
      </w:r>
      <w:proofErr w:type="gramStart"/>
      <w:r w:rsidRPr="00B84F56">
        <w:t>are</w:t>
      </w:r>
      <w:proofErr w:type="gramEnd"/>
      <w:r w:rsidRPr="00B84F56">
        <w:t xml:space="preserve"> available. </w:t>
      </w:r>
    </w:p>
    <w:p w14:paraId="1CEFDA5B" w14:textId="42EBC5FF" w:rsidR="008A007F" w:rsidRPr="00C3178B" w:rsidRDefault="008A007F" w:rsidP="00A40BB2">
      <w:pPr>
        <w:pStyle w:val="PARAIndent"/>
        <w:spacing w:line="276" w:lineRule="auto"/>
      </w:pPr>
      <w:bookmarkStart w:id="0" w:name="_Hlk172316929"/>
    </w:p>
    <w:bookmarkEnd w:id="0"/>
    <w:p w14:paraId="4DB0B6D1" w14:textId="77777777" w:rsidR="008A007F" w:rsidRDefault="008A007F" w:rsidP="00A40BB2">
      <w:pPr>
        <w:spacing w:line="276" w:lineRule="auto"/>
        <w:rPr>
          <w:rFonts w:eastAsia="Times New Roman"/>
        </w:rPr>
      </w:pPr>
    </w:p>
    <w:p w14:paraId="3395D282" w14:textId="26A21825" w:rsidR="00A664FF" w:rsidRDefault="00A664FF" w:rsidP="00A40BB2">
      <w:pPr>
        <w:spacing w:line="276" w:lineRule="auto"/>
        <w:rPr>
          <w:rFonts w:eastAsia="Times New Roman"/>
        </w:rPr>
      </w:pPr>
    </w:p>
    <w:p w14:paraId="29ACAF7E" w14:textId="2E6B8507" w:rsidR="001825F8" w:rsidRPr="00A40BB2" w:rsidRDefault="00FF0BD8" w:rsidP="00A40BB2">
      <w:pPr>
        <w:pStyle w:val="heading2"/>
        <w:numPr>
          <w:ilvl w:val="0"/>
          <w:numId w:val="0"/>
        </w:numPr>
        <w:spacing w:before="120" w:after="0" w:line="276" w:lineRule="auto"/>
        <w:ind w:left="562" w:hanging="562"/>
        <w:rPr>
          <w:rFonts w:asciiTheme="minorHAnsi" w:hAnsiTheme="minorHAnsi" w:cstheme="minorHAnsi"/>
          <w:color w:val="4472C4" w:themeColor="accent1"/>
          <w:sz w:val="28"/>
          <w:szCs w:val="28"/>
        </w:rPr>
      </w:pPr>
      <w:r w:rsidRPr="00A40BB2">
        <w:rPr>
          <w:rFonts w:asciiTheme="minorHAnsi" w:hAnsiTheme="minorHAnsi" w:cstheme="minorHAnsi"/>
          <w:color w:val="4472C4" w:themeColor="accent1"/>
          <w:sz w:val="28"/>
          <w:szCs w:val="28"/>
        </w:rPr>
        <w:t xml:space="preserve">3. </w:t>
      </w:r>
      <w:r w:rsidR="001825F8" w:rsidRPr="00A40BB2">
        <w:rPr>
          <w:rFonts w:asciiTheme="minorHAnsi" w:hAnsiTheme="minorHAnsi" w:cstheme="minorHAnsi"/>
          <w:color w:val="4472C4" w:themeColor="accent1"/>
          <w:sz w:val="28"/>
          <w:szCs w:val="28"/>
        </w:rPr>
        <w:t>Forward and reverse bias</w:t>
      </w:r>
    </w:p>
    <w:p w14:paraId="282A83E7" w14:textId="1F6E5488" w:rsidR="005B0755" w:rsidRDefault="005B0755" w:rsidP="00A40BB2">
      <w:pPr>
        <w:pStyle w:val="p1a"/>
        <w:spacing w:line="276" w:lineRule="auto"/>
      </w:pPr>
    </w:p>
    <w:p w14:paraId="3F99DC05" w14:textId="259C0B0E" w:rsidR="005B0755" w:rsidRPr="005B0755" w:rsidRDefault="00F33F02" w:rsidP="00A40BB2">
      <w:pPr>
        <w:pStyle w:val="p1a"/>
        <w:spacing w:line="276" w:lineRule="auto"/>
      </w:pPr>
      <w:r w:rsidRPr="005B0755">
        <w:rPr>
          <w:rFonts w:eastAsia="MS Mincho"/>
          <w:noProof/>
        </w:rPr>
        <mc:AlternateContent>
          <mc:Choice Requires="wps">
            <w:drawing>
              <wp:anchor distT="45720" distB="45720" distL="114300" distR="114300" simplePos="0" relativeHeight="251671552" behindDoc="0" locked="0" layoutInCell="1" allowOverlap="1" wp14:anchorId="7973BAB4" wp14:editId="15F79C40">
                <wp:simplePos x="0" y="0"/>
                <wp:positionH relativeFrom="margin">
                  <wp:posOffset>-25400</wp:posOffset>
                </wp:positionH>
                <wp:positionV relativeFrom="paragraph">
                  <wp:posOffset>1168400</wp:posOffset>
                </wp:positionV>
                <wp:extent cx="6121400" cy="2159000"/>
                <wp:effectExtent l="0" t="0" r="0" b="0"/>
                <wp:wrapTopAndBottom/>
                <wp:docPr id="57444330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2159000"/>
                        </a:xfrm>
                        <a:prstGeom prst="rect">
                          <a:avLst/>
                        </a:prstGeom>
                        <a:solidFill>
                          <a:srgbClr val="FFFFFF"/>
                        </a:solidFill>
                        <a:ln w="9525">
                          <a:noFill/>
                          <a:miter lim="800000"/>
                          <a:headEnd/>
                          <a:tailEnd/>
                        </a:ln>
                      </wps:spPr>
                      <wps:txbx>
                        <w:txbxContent>
                          <w:p w14:paraId="78C883A8" w14:textId="03E7CAC8" w:rsidR="005B0755" w:rsidRDefault="00D46639" w:rsidP="005B0755">
                            <w:r>
                              <w:rPr>
                                <w:noProof/>
                              </w:rPr>
                              <w:drawing>
                                <wp:inline distT="0" distB="0" distL="0" distR="0" wp14:anchorId="4B54546F" wp14:editId="47159774">
                                  <wp:extent cx="5599116" cy="1562100"/>
                                  <wp:effectExtent l="0" t="0" r="1905" b="0"/>
                                  <wp:docPr id="2104126530" name="Picture 3" descr="A diagram of a graph showing a rainbow colored she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126530" name="Picture 3" descr="A diagram of a graph showing a rainbow colored sheet&#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5608910" cy="1564832"/>
                                          </a:xfrm>
                                          <a:prstGeom prst="rect">
                                            <a:avLst/>
                                          </a:prstGeom>
                                        </pic:spPr>
                                      </pic:pic>
                                    </a:graphicData>
                                  </a:graphic>
                                </wp:inline>
                              </w:drawing>
                            </w:r>
                          </w:p>
                          <w:p w14:paraId="3F6FBB2B" w14:textId="4FCDECA6" w:rsidR="005B0755" w:rsidRPr="00660347" w:rsidRDefault="005B0755" w:rsidP="005B0755">
                            <w:pPr>
                              <w:rPr>
                                <w:sz w:val="16"/>
                                <w:szCs w:val="16"/>
                              </w:rPr>
                            </w:pPr>
                            <w:r w:rsidRPr="00660347">
                              <w:rPr>
                                <w:b/>
                                <w:bCs/>
                                <w:sz w:val="16"/>
                                <w:szCs w:val="16"/>
                              </w:rPr>
                              <w:t xml:space="preserve">Fig. </w:t>
                            </w:r>
                            <w:r w:rsidR="00B40FD2">
                              <w:rPr>
                                <w:b/>
                                <w:bCs/>
                                <w:sz w:val="16"/>
                                <w:szCs w:val="16"/>
                              </w:rPr>
                              <w:t>S1</w:t>
                            </w:r>
                            <w:r w:rsidRPr="00660347">
                              <w:rPr>
                                <w:sz w:val="16"/>
                                <w:szCs w:val="16"/>
                              </w:rPr>
                              <w:t xml:space="preserve">  </w:t>
                            </w:r>
                            <w:r>
                              <w:rPr>
                                <w:sz w:val="16"/>
                                <w:szCs w:val="16"/>
                              </w:rPr>
                              <w:t xml:space="preserve">(a-b) </w:t>
                            </w:r>
                            <w:r w:rsidRPr="00660347">
                              <w:rPr>
                                <w:sz w:val="16"/>
                                <w:szCs w:val="16"/>
                              </w:rPr>
                              <w:t>Potential distribution across the micro-holes</w:t>
                            </w:r>
                            <w:r w:rsidR="007F26D6">
                              <w:rPr>
                                <w:sz w:val="16"/>
                                <w:szCs w:val="16"/>
                              </w:rPr>
                              <w:t xml:space="preserve"> (only depletion region)</w:t>
                            </w:r>
                            <w:r>
                              <w:rPr>
                                <w:sz w:val="16"/>
                                <w:szCs w:val="16"/>
                              </w:rPr>
                              <w:t xml:space="preserve">. (a) A device with a square lattice that has </w:t>
                            </w:r>
                            <w:r w:rsidR="00F634ED">
                              <w:rPr>
                                <w:sz w:val="16"/>
                                <w:szCs w:val="16"/>
                              </w:rPr>
                              <w:t xml:space="preserve">a </w:t>
                            </w:r>
                            <w:r>
                              <w:rPr>
                                <w:sz w:val="16"/>
                                <w:szCs w:val="16"/>
                              </w:rPr>
                              <w:t xml:space="preserve">single </w:t>
                            </w:r>
                            <w:r w:rsidRPr="00660347">
                              <w:rPr>
                                <w:sz w:val="16"/>
                                <w:szCs w:val="16"/>
                              </w:rPr>
                              <w:t>micro</w:t>
                            </w:r>
                            <w:r>
                              <w:rPr>
                                <w:sz w:val="16"/>
                                <w:szCs w:val="16"/>
                              </w:rPr>
                              <w:t>-</w:t>
                            </w:r>
                            <w:r w:rsidRPr="00660347">
                              <w:rPr>
                                <w:sz w:val="16"/>
                                <w:szCs w:val="16"/>
                              </w:rPr>
                              <w:t xml:space="preserve">hole </w:t>
                            </w:r>
                            <w:r>
                              <w:rPr>
                                <w:sz w:val="16"/>
                                <w:szCs w:val="16"/>
                              </w:rPr>
                              <w:t xml:space="preserve">with diameter </w:t>
                            </w:r>
                            <w:r w:rsidRPr="00FC7C1E">
                              <w:rPr>
                                <w:i/>
                                <w:iCs/>
                                <w:sz w:val="16"/>
                                <w:szCs w:val="16"/>
                              </w:rPr>
                              <w:t>d</w:t>
                            </w:r>
                            <w:r>
                              <w:rPr>
                                <w:sz w:val="16"/>
                                <w:szCs w:val="16"/>
                              </w:rPr>
                              <w:t xml:space="preserve">=1200nm, and a period, </w:t>
                            </w:r>
                            <w:r w:rsidRPr="00FC7C1E">
                              <w:rPr>
                                <w:i/>
                                <w:iCs/>
                                <w:sz w:val="16"/>
                                <w:szCs w:val="16"/>
                              </w:rPr>
                              <w:t>a</w:t>
                            </w:r>
                            <w:r>
                              <w:rPr>
                                <w:sz w:val="16"/>
                                <w:szCs w:val="16"/>
                              </w:rPr>
                              <w:t xml:space="preserve">=1500nm. </w:t>
                            </w:r>
                            <w:r w:rsidRPr="00660347">
                              <w:rPr>
                                <w:sz w:val="16"/>
                                <w:szCs w:val="16"/>
                              </w:rPr>
                              <w:t>(</w:t>
                            </w:r>
                            <w:r>
                              <w:rPr>
                                <w:sz w:val="16"/>
                                <w:szCs w:val="16"/>
                              </w:rPr>
                              <w:t>b</w:t>
                            </w:r>
                            <w:r w:rsidRPr="00660347">
                              <w:rPr>
                                <w:sz w:val="16"/>
                                <w:szCs w:val="16"/>
                              </w:rPr>
                              <w:t>)</w:t>
                            </w:r>
                            <w:r>
                              <w:rPr>
                                <w:sz w:val="16"/>
                                <w:szCs w:val="16"/>
                              </w:rPr>
                              <w:t xml:space="preserve"> A device with a </w:t>
                            </w:r>
                            <w:r w:rsidRPr="00660347">
                              <w:rPr>
                                <w:sz w:val="16"/>
                                <w:szCs w:val="16"/>
                              </w:rPr>
                              <w:t>composite</w:t>
                            </w:r>
                            <w:r>
                              <w:rPr>
                                <w:sz w:val="16"/>
                                <w:szCs w:val="16"/>
                              </w:rPr>
                              <w:t xml:space="preserve"> </w:t>
                            </w:r>
                            <w:r w:rsidRPr="00660347">
                              <w:rPr>
                                <w:sz w:val="16"/>
                                <w:szCs w:val="16"/>
                              </w:rPr>
                              <w:t>hole that consists of 7 nanoholes of 400 nm</w:t>
                            </w:r>
                            <w:r>
                              <w:rPr>
                                <w:sz w:val="16"/>
                                <w:szCs w:val="16"/>
                              </w:rPr>
                              <w:t>. (c) T</w:t>
                            </w:r>
                            <w:r w:rsidRPr="00660347">
                              <w:rPr>
                                <w:sz w:val="16"/>
                                <w:szCs w:val="16"/>
                              </w:rPr>
                              <w:t xml:space="preserve">he pulse response for </w:t>
                            </w:r>
                            <w:r>
                              <w:rPr>
                                <w:sz w:val="16"/>
                                <w:szCs w:val="16"/>
                              </w:rPr>
                              <w:t xml:space="preserve">devices with a large single </w:t>
                            </w:r>
                            <w:r w:rsidRPr="00660347">
                              <w:rPr>
                                <w:sz w:val="16"/>
                                <w:szCs w:val="16"/>
                              </w:rPr>
                              <w:t>(red line) micro-hole and smaller</w:t>
                            </w:r>
                            <w:r>
                              <w:rPr>
                                <w:sz w:val="16"/>
                                <w:szCs w:val="16"/>
                              </w:rPr>
                              <w:t xml:space="preserve"> composite </w:t>
                            </w:r>
                            <w:r w:rsidRPr="00660347">
                              <w:rPr>
                                <w:sz w:val="16"/>
                                <w:szCs w:val="16"/>
                              </w:rPr>
                              <w:t>(black line) micro-hole</w:t>
                            </w:r>
                            <w:r>
                              <w:rPr>
                                <w:sz w:val="16"/>
                                <w:szCs w:val="16"/>
                              </w:rPr>
                              <w:t xml:space="preserve">s. </w:t>
                            </w:r>
                            <w:r w:rsidR="001212B3">
                              <w:rPr>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73BAB4" id="_x0000_t202" coordsize="21600,21600" o:spt="202" path="m,l,21600r21600,l21600,xe">
                <v:stroke joinstyle="miter"/>
                <v:path gradientshapeok="t" o:connecttype="rect"/>
              </v:shapetype>
              <v:shape id="Text Box 7" o:spid="_x0000_s1026" type="#_x0000_t202" style="position:absolute;left:0;text-align:left;margin-left:-2pt;margin-top:92pt;width:482pt;height:170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" stroked="f">
                <v:textbox>
                  <w:txbxContent>
                    <w:p w14:paraId="78C883A8" w14:textId="03E7CAC8" w:rsidR="005B0755" w:rsidRDefault="00D46639" w:rsidP="005B0755">
                      <w:r>
                        <w:rPr>
                          <w:noProof/>
                        </w:rPr>
                        <w:drawing>
                          <wp:inline distT="0" distB="0" distL="0" distR="0" wp14:anchorId="4B54546F" wp14:editId="47159774">
                            <wp:extent cx="5599116" cy="1562100"/>
                            <wp:effectExtent l="0" t="0" r="1905" b="0"/>
                            <wp:docPr id="2104126530" name="Picture 3" descr="A diagram of a graph showing a rainbow colored she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126530" name="Picture 3" descr="A diagram of a graph showing a rainbow colored sheet&#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5608910" cy="1564832"/>
                                    </a:xfrm>
                                    <a:prstGeom prst="rect">
                                      <a:avLst/>
                                    </a:prstGeom>
                                  </pic:spPr>
                                </pic:pic>
                              </a:graphicData>
                            </a:graphic>
                          </wp:inline>
                        </w:drawing>
                      </w:r>
                    </w:p>
                    <w:p w14:paraId="3F6FBB2B" w14:textId="4FCDECA6" w:rsidR="005B0755" w:rsidRPr="00660347" w:rsidRDefault="005B0755" w:rsidP="005B0755">
                      <w:pPr>
                        <w:rPr>
                          <w:sz w:val="16"/>
                          <w:szCs w:val="16"/>
                        </w:rPr>
                      </w:pPr>
                      <w:r w:rsidRPr="00660347">
                        <w:rPr>
                          <w:b/>
                          <w:bCs/>
                          <w:sz w:val="16"/>
                          <w:szCs w:val="16"/>
                        </w:rPr>
                        <w:t xml:space="preserve">Fig. </w:t>
                      </w:r>
                      <w:r w:rsidR="00B40FD2">
                        <w:rPr>
                          <w:b/>
                          <w:bCs/>
                          <w:sz w:val="16"/>
                          <w:szCs w:val="16"/>
                        </w:rPr>
                        <w:t>S1</w:t>
                      </w:r>
                      <w:r w:rsidRPr="00660347">
                        <w:rPr>
                          <w:sz w:val="16"/>
                          <w:szCs w:val="16"/>
                        </w:rPr>
                        <w:t xml:space="preserve">  </w:t>
                      </w:r>
                      <w:r>
                        <w:rPr>
                          <w:sz w:val="16"/>
                          <w:szCs w:val="16"/>
                        </w:rPr>
                        <w:t xml:space="preserve">(a-b) </w:t>
                      </w:r>
                      <w:r w:rsidRPr="00660347">
                        <w:rPr>
                          <w:sz w:val="16"/>
                          <w:szCs w:val="16"/>
                        </w:rPr>
                        <w:t>Potential distribution across the micro-holes</w:t>
                      </w:r>
                      <w:r w:rsidR="007F26D6">
                        <w:rPr>
                          <w:sz w:val="16"/>
                          <w:szCs w:val="16"/>
                        </w:rPr>
                        <w:t xml:space="preserve"> (only depletion region)</w:t>
                      </w:r>
                      <w:r>
                        <w:rPr>
                          <w:sz w:val="16"/>
                          <w:szCs w:val="16"/>
                        </w:rPr>
                        <w:t xml:space="preserve">. (a) A device with a square lattice that has </w:t>
                      </w:r>
                      <w:r w:rsidR="00F634ED">
                        <w:rPr>
                          <w:sz w:val="16"/>
                          <w:szCs w:val="16"/>
                        </w:rPr>
                        <w:t xml:space="preserve">a </w:t>
                      </w:r>
                      <w:r>
                        <w:rPr>
                          <w:sz w:val="16"/>
                          <w:szCs w:val="16"/>
                        </w:rPr>
                        <w:t xml:space="preserve">single </w:t>
                      </w:r>
                      <w:r w:rsidRPr="00660347">
                        <w:rPr>
                          <w:sz w:val="16"/>
                          <w:szCs w:val="16"/>
                        </w:rPr>
                        <w:t>micro</w:t>
                      </w:r>
                      <w:r>
                        <w:rPr>
                          <w:sz w:val="16"/>
                          <w:szCs w:val="16"/>
                        </w:rPr>
                        <w:t>-</w:t>
                      </w:r>
                      <w:r w:rsidRPr="00660347">
                        <w:rPr>
                          <w:sz w:val="16"/>
                          <w:szCs w:val="16"/>
                        </w:rPr>
                        <w:t xml:space="preserve">hole </w:t>
                      </w:r>
                      <w:r>
                        <w:rPr>
                          <w:sz w:val="16"/>
                          <w:szCs w:val="16"/>
                        </w:rPr>
                        <w:t xml:space="preserve">with diameter </w:t>
                      </w:r>
                      <w:r w:rsidRPr="00FC7C1E">
                        <w:rPr>
                          <w:i/>
                          <w:iCs/>
                          <w:sz w:val="16"/>
                          <w:szCs w:val="16"/>
                        </w:rPr>
                        <w:t>d</w:t>
                      </w:r>
                      <w:r>
                        <w:rPr>
                          <w:sz w:val="16"/>
                          <w:szCs w:val="16"/>
                        </w:rPr>
                        <w:t xml:space="preserve">=1200nm, and a period, </w:t>
                      </w:r>
                      <w:r w:rsidRPr="00FC7C1E">
                        <w:rPr>
                          <w:i/>
                          <w:iCs/>
                          <w:sz w:val="16"/>
                          <w:szCs w:val="16"/>
                        </w:rPr>
                        <w:t>a</w:t>
                      </w:r>
                      <w:r>
                        <w:rPr>
                          <w:sz w:val="16"/>
                          <w:szCs w:val="16"/>
                        </w:rPr>
                        <w:t xml:space="preserve">=1500nm. </w:t>
                      </w:r>
                      <w:r w:rsidRPr="00660347">
                        <w:rPr>
                          <w:sz w:val="16"/>
                          <w:szCs w:val="16"/>
                        </w:rPr>
                        <w:t>(</w:t>
                      </w:r>
                      <w:r>
                        <w:rPr>
                          <w:sz w:val="16"/>
                          <w:szCs w:val="16"/>
                        </w:rPr>
                        <w:t>b</w:t>
                      </w:r>
                      <w:r w:rsidRPr="00660347">
                        <w:rPr>
                          <w:sz w:val="16"/>
                          <w:szCs w:val="16"/>
                        </w:rPr>
                        <w:t>)</w:t>
                      </w:r>
                      <w:r>
                        <w:rPr>
                          <w:sz w:val="16"/>
                          <w:szCs w:val="16"/>
                        </w:rPr>
                        <w:t xml:space="preserve"> A device with a </w:t>
                      </w:r>
                      <w:r w:rsidRPr="00660347">
                        <w:rPr>
                          <w:sz w:val="16"/>
                          <w:szCs w:val="16"/>
                        </w:rPr>
                        <w:t>composite</w:t>
                      </w:r>
                      <w:r>
                        <w:rPr>
                          <w:sz w:val="16"/>
                          <w:szCs w:val="16"/>
                        </w:rPr>
                        <w:t xml:space="preserve"> </w:t>
                      </w:r>
                      <w:r w:rsidRPr="00660347">
                        <w:rPr>
                          <w:sz w:val="16"/>
                          <w:szCs w:val="16"/>
                        </w:rPr>
                        <w:t>hole that consists of 7 nanoholes of 400 nm</w:t>
                      </w:r>
                      <w:r>
                        <w:rPr>
                          <w:sz w:val="16"/>
                          <w:szCs w:val="16"/>
                        </w:rPr>
                        <w:t>. (c) T</w:t>
                      </w:r>
                      <w:r w:rsidRPr="00660347">
                        <w:rPr>
                          <w:sz w:val="16"/>
                          <w:szCs w:val="16"/>
                        </w:rPr>
                        <w:t xml:space="preserve">he pulse response for </w:t>
                      </w:r>
                      <w:r>
                        <w:rPr>
                          <w:sz w:val="16"/>
                          <w:szCs w:val="16"/>
                        </w:rPr>
                        <w:t xml:space="preserve">devices with a large single </w:t>
                      </w:r>
                      <w:r w:rsidRPr="00660347">
                        <w:rPr>
                          <w:sz w:val="16"/>
                          <w:szCs w:val="16"/>
                        </w:rPr>
                        <w:t>(red line) micro-hole and smaller</w:t>
                      </w:r>
                      <w:r>
                        <w:rPr>
                          <w:sz w:val="16"/>
                          <w:szCs w:val="16"/>
                        </w:rPr>
                        <w:t xml:space="preserve"> composite </w:t>
                      </w:r>
                      <w:r w:rsidRPr="00660347">
                        <w:rPr>
                          <w:sz w:val="16"/>
                          <w:szCs w:val="16"/>
                        </w:rPr>
                        <w:t>(black line) micro-hole</w:t>
                      </w:r>
                      <w:r>
                        <w:rPr>
                          <w:sz w:val="16"/>
                          <w:szCs w:val="16"/>
                        </w:rPr>
                        <w:t xml:space="preserve">s. </w:t>
                      </w:r>
                      <w:r w:rsidR="001212B3">
                        <w:rPr>
                          <w:sz w:val="16"/>
                          <w:szCs w:val="16"/>
                        </w:rPr>
                        <w:t xml:space="preserve"> </w:t>
                      </w:r>
                    </w:p>
                  </w:txbxContent>
                </v:textbox>
                <w10:wrap type="topAndBottom" anchorx="margin"/>
              </v:shape>
            </w:pict>
          </mc:Fallback>
        </mc:AlternateContent>
      </w:r>
      <w:r w:rsidR="008925EE" w:rsidRPr="008925EE">
        <w:rPr>
          <w:bCs/>
        </w:rPr>
        <w:t>The Monte Carlo simulations showed that the shape of the micro-holes affects how electrons and holes move, which in turn impacts the device’s speed</w:t>
      </w:r>
      <w:r w:rsidR="005B0755" w:rsidRPr="005B0755">
        <w:rPr>
          <w:bCs/>
        </w:rPr>
        <w:t xml:space="preserve">. </w:t>
      </w:r>
      <w:r w:rsidR="00A664FF">
        <w:rPr>
          <w:bCs/>
        </w:rPr>
        <w:t xml:space="preserve">Parameters of simulations are represented in Table S1. </w:t>
      </w:r>
      <w:r w:rsidR="005B0755" w:rsidRPr="005B0755">
        <w:t xml:space="preserve">Fig. </w:t>
      </w:r>
      <w:r w:rsidR="00A664FF">
        <w:t>S1</w:t>
      </w:r>
      <w:r w:rsidR="005B0755" w:rsidRPr="005B0755">
        <w:t xml:space="preserve"> represents the solution of the Poisson </w:t>
      </w:r>
      <w:r w:rsidR="00114423">
        <w:t xml:space="preserve">equation </w:t>
      </w:r>
      <w:r w:rsidR="005B0755" w:rsidRPr="005B0755">
        <w:t xml:space="preserve">in the presence of micro-holes. A potential, </w:t>
      </w:r>
      <w:r w:rsidR="005B0755" w:rsidRPr="005B0755">
        <w:rPr>
          <w:rFonts w:ascii="Cambria Math" w:hAnsi="Cambria Math" w:cs="Cambria Math"/>
        </w:rPr>
        <w:t>𝜑</w:t>
      </w:r>
      <w:r w:rsidR="005B0755" w:rsidRPr="005B0755">
        <w:t>, that is formed by the applied bias of</w:t>
      </w:r>
      <w:r w:rsidR="00F634ED">
        <w:t xml:space="preserve">  </w:t>
      </w:r>
      <w:r w:rsidR="005B0755" w:rsidRPr="005B0755">
        <w:t xml:space="preserve"> -5 V in devices with both large (a) and small (b) holes. The electric field responsible for </w:t>
      </w:r>
      <w:r w:rsidR="00D1481D">
        <w:t xml:space="preserve">the </w:t>
      </w:r>
      <w:r w:rsidR="005B0755" w:rsidRPr="005B0755">
        <w:t xml:space="preserve">drift velocity is the </w:t>
      </w:r>
      <w:r w:rsidR="00D1481D">
        <w:t>spatial</w:t>
      </w:r>
      <w:r w:rsidR="005B0755" w:rsidRPr="005B0755">
        <w:t xml:space="preserve"> derivative of the potential. The potential has a slope in the </w:t>
      </w:r>
      <w:proofErr w:type="spellStart"/>
      <w:r w:rsidR="005B0755" w:rsidRPr="005B0755">
        <w:t>i</w:t>
      </w:r>
      <w:proofErr w:type="spellEnd"/>
      <w:r w:rsidR="005B0755" w:rsidRPr="005B0755">
        <w:t>-region, but in the presence of micro-holes, it is distorted, creating a lower gradient area behind the holes.</w:t>
      </w:r>
    </w:p>
    <w:p w14:paraId="02DDE579" w14:textId="5FDFEB25" w:rsidR="001825F8" w:rsidRDefault="005B0755" w:rsidP="00A40BB2">
      <w:pPr>
        <w:pStyle w:val="p1a"/>
        <w:spacing w:line="276" w:lineRule="auto"/>
      </w:pPr>
      <w:r w:rsidRPr="005B0755">
        <w:t xml:space="preserve">The Monte-Carlo simulation calculates the pulse response (current J normalized to its maximum), which is shown in Fig. 2c for the larger holes (red curve) and composite holes formed from smaller nano-holes (black curve) in the logarithmic scale. The tail lingers considerably in the devices with larger </w:t>
      </w:r>
      <w:r w:rsidR="00D1481D">
        <w:t>holes</w:t>
      </w:r>
      <w:r w:rsidRPr="005B0755">
        <w:t xml:space="preserve"> after an initial sharp rise. </w:t>
      </w:r>
    </w:p>
    <w:p w14:paraId="5DC7C18A" w14:textId="2C4CD631" w:rsidR="00B40FD2" w:rsidRDefault="00AC7C5E" w:rsidP="00A40BB2">
      <w:pPr>
        <w:spacing w:line="276" w:lineRule="auto"/>
      </w:pPr>
      <w:r w:rsidRPr="005B0755">
        <w:rPr>
          <w:noProof/>
        </w:rPr>
        <w:lastRenderedPageBreak/>
        <mc:AlternateContent>
          <mc:Choice Requires="wps">
            <w:drawing>
              <wp:anchor distT="45720" distB="45720" distL="114300" distR="114300" simplePos="0" relativeHeight="251673600" behindDoc="0" locked="0" layoutInCell="1" allowOverlap="1" wp14:anchorId="62C8ECC9" wp14:editId="3978254C">
                <wp:simplePos x="0" y="0"/>
                <wp:positionH relativeFrom="margin">
                  <wp:posOffset>-196850</wp:posOffset>
                </wp:positionH>
                <wp:positionV relativeFrom="paragraph">
                  <wp:posOffset>321310</wp:posOffset>
                </wp:positionV>
                <wp:extent cx="6470650" cy="1943100"/>
                <wp:effectExtent l="0" t="0" r="6350" b="0"/>
                <wp:wrapTopAndBottom/>
                <wp:docPr id="89767127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0" cy="1943100"/>
                        </a:xfrm>
                        <a:prstGeom prst="rect">
                          <a:avLst/>
                        </a:prstGeom>
                        <a:solidFill>
                          <a:srgbClr val="FFFFFF"/>
                        </a:solidFill>
                        <a:ln w="9525">
                          <a:noFill/>
                          <a:miter lim="800000"/>
                          <a:headEnd/>
                          <a:tailEnd/>
                        </a:ln>
                      </wps:spPr>
                      <wps:txbx>
                        <w:txbxContent>
                          <w:p w14:paraId="3C90FF2F" w14:textId="7F8F5F01" w:rsidR="005841CF" w:rsidRDefault="00D46639" w:rsidP="005841CF">
                            <w:r>
                              <w:rPr>
                                <w:noProof/>
                              </w:rPr>
                              <w:drawing>
                                <wp:inline distT="0" distB="0" distL="0" distR="0" wp14:anchorId="3A3C9A22" wp14:editId="04BBD4B5">
                                  <wp:extent cx="5887535" cy="1498600"/>
                                  <wp:effectExtent l="0" t="0" r="0" b="6350"/>
                                  <wp:docPr id="779084162" name="Picture 4" descr="A rainbow colored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084162" name="Picture 4" descr="A rainbow colored graph&#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5890792" cy="1499429"/>
                                          </a:xfrm>
                                          <a:prstGeom prst="rect">
                                            <a:avLst/>
                                          </a:prstGeom>
                                        </pic:spPr>
                                      </pic:pic>
                                    </a:graphicData>
                                  </a:graphic>
                                </wp:inline>
                              </w:drawing>
                            </w:r>
                          </w:p>
                          <w:p w14:paraId="219A7961" w14:textId="67623A48" w:rsidR="005841CF" w:rsidRPr="00660347" w:rsidRDefault="005841CF" w:rsidP="005841CF">
                            <w:pPr>
                              <w:rPr>
                                <w:sz w:val="16"/>
                                <w:szCs w:val="16"/>
                              </w:rPr>
                            </w:pPr>
                            <w:r w:rsidRPr="00660347">
                              <w:rPr>
                                <w:b/>
                                <w:bCs/>
                                <w:sz w:val="16"/>
                                <w:szCs w:val="16"/>
                              </w:rPr>
                              <w:t xml:space="preserve">Fig. </w:t>
                            </w:r>
                            <w:r>
                              <w:rPr>
                                <w:b/>
                                <w:bCs/>
                                <w:sz w:val="16"/>
                                <w:szCs w:val="16"/>
                              </w:rPr>
                              <w:t>S2</w:t>
                            </w:r>
                            <w:r w:rsidRPr="00660347">
                              <w:rPr>
                                <w:sz w:val="16"/>
                                <w:szCs w:val="16"/>
                              </w:rPr>
                              <w:t xml:space="preserve"> Potential distribution across </w:t>
                            </w:r>
                            <w:r>
                              <w:rPr>
                                <w:sz w:val="16"/>
                                <w:szCs w:val="16"/>
                              </w:rPr>
                              <w:t xml:space="preserve">in </w:t>
                            </w:r>
                            <w:r w:rsidR="00EC6C36">
                              <w:rPr>
                                <w:sz w:val="16"/>
                                <w:szCs w:val="16"/>
                              </w:rPr>
                              <w:t>PIN</w:t>
                            </w:r>
                            <w:r>
                              <w:rPr>
                                <w:sz w:val="16"/>
                                <w:szCs w:val="16"/>
                              </w:rPr>
                              <w:t xml:space="preserve"> with a micro</w:t>
                            </w:r>
                            <w:r w:rsidR="0058263C">
                              <w:rPr>
                                <w:sz w:val="16"/>
                                <w:szCs w:val="16"/>
                              </w:rPr>
                              <w:t>-</w:t>
                            </w:r>
                            <w:r>
                              <w:rPr>
                                <w:sz w:val="16"/>
                                <w:szCs w:val="16"/>
                              </w:rPr>
                              <w:t xml:space="preserve">hole. (a) zero voltage </w:t>
                            </w:r>
                            <w:r w:rsidRPr="00660347">
                              <w:rPr>
                                <w:sz w:val="16"/>
                                <w:szCs w:val="16"/>
                              </w:rPr>
                              <w:t>(</w:t>
                            </w:r>
                            <w:r>
                              <w:rPr>
                                <w:sz w:val="16"/>
                                <w:szCs w:val="16"/>
                              </w:rPr>
                              <w:t>b</w:t>
                            </w:r>
                            <w:r w:rsidRPr="00660347">
                              <w:rPr>
                                <w:sz w:val="16"/>
                                <w:szCs w:val="16"/>
                              </w:rPr>
                              <w:t>)</w:t>
                            </w:r>
                            <w:r>
                              <w:rPr>
                                <w:sz w:val="16"/>
                                <w:szCs w:val="16"/>
                              </w:rPr>
                              <w:t xml:space="preserve"> reverse  bias (c) for</w:t>
                            </w:r>
                            <w:r w:rsidR="00436806">
                              <w:rPr>
                                <w:sz w:val="16"/>
                                <w:szCs w:val="16"/>
                              </w:rPr>
                              <w:t>w</w:t>
                            </w:r>
                            <w:r>
                              <w:rPr>
                                <w:sz w:val="16"/>
                                <w:szCs w:val="16"/>
                              </w:rPr>
                              <w:t xml:space="preserve">ard bias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C8ECC9" id="_x0000_s1027" type="#_x0000_t202" style="position:absolute;left:0;text-align:left;margin-left:-15.5pt;margin-top:25.3pt;width:509.5pt;height:153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" stroked="f">
                <v:textbox>
                  <w:txbxContent>
                    <w:p w14:paraId="3C90FF2F" w14:textId="7F8F5F01" w:rsidR="005841CF" w:rsidRDefault="00D46639" w:rsidP="005841CF">
                      <w:r>
                        <w:rPr>
                          <w:noProof/>
                        </w:rPr>
                        <w:drawing>
                          <wp:inline distT="0" distB="0" distL="0" distR="0" wp14:anchorId="3A3C9A22" wp14:editId="04BBD4B5">
                            <wp:extent cx="5887535" cy="1498600"/>
                            <wp:effectExtent l="0" t="0" r="0" b="6350"/>
                            <wp:docPr id="779084162" name="Picture 4" descr="A rainbow colored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084162" name="Picture 4" descr="A rainbow colored graph&#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5890792" cy="1499429"/>
                                    </a:xfrm>
                                    <a:prstGeom prst="rect">
                                      <a:avLst/>
                                    </a:prstGeom>
                                  </pic:spPr>
                                </pic:pic>
                              </a:graphicData>
                            </a:graphic>
                          </wp:inline>
                        </w:drawing>
                      </w:r>
                    </w:p>
                    <w:p w14:paraId="219A7961" w14:textId="67623A48" w:rsidR="005841CF" w:rsidRPr="00660347" w:rsidRDefault="005841CF" w:rsidP="005841CF">
                      <w:pPr>
                        <w:rPr>
                          <w:sz w:val="16"/>
                          <w:szCs w:val="16"/>
                        </w:rPr>
                      </w:pPr>
                      <w:r w:rsidRPr="00660347">
                        <w:rPr>
                          <w:b/>
                          <w:bCs/>
                          <w:sz w:val="16"/>
                          <w:szCs w:val="16"/>
                        </w:rPr>
                        <w:t xml:space="preserve">Fig. </w:t>
                      </w:r>
                      <w:r>
                        <w:rPr>
                          <w:b/>
                          <w:bCs/>
                          <w:sz w:val="16"/>
                          <w:szCs w:val="16"/>
                        </w:rPr>
                        <w:t>S2</w:t>
                      </w:r>
                      <w:r w:rsidRPr="00660347">
                        <w:rPr>
                          <w:sz w:val="16"/>
                          <w:szCs w:val="16"/>
                        </w:rPr>
                        <w:t xml:space="preserve"> Potential distribution across </w:t>
                      </w:r>
                      <w:r>
                        <w:rPr>
                          <w:sz w:val="16"/>
                          <w:szCs w:val="16"/>
                        </w:rPr>
                        <w:t xml:space="preserve">in </w:t>
                      </w:r>
                      <w:r w:rsidR="00EC6C36">
                        <w:rPr>
                          <w:sz w:val="16"/>
                          <w:szCs w:val="16"/>
                        </w:rPr>
                        <w:t>PIN</w:t>
                      </w:r>
                      <w:r>
                        <w:rPr>
                          <w:sz w:val="16"/>
                          <w:szCs w:val="16"/>
                        </w:rPr>
                        <w:t xml:space="preserve"> with a micro</w:t>
                      </w:r>
                      <w:r w:rsidR="0058263C">
                        <w:rPr>
                          <w:sz w:val="16"/>
                          <w:szCs w:val="16"/>
                        </w:rPr>
                        <w:t>-</w:t>
                      </w:r>
                      <w:r>
                        <w:rPr>
                          <w:sz w:val="16"/>
                          <w:szCs w:val="16"/>
                        </w:rPr>
                        <w:t xml:space="preserve">hole. (a) zero voltage </w:t>
                      </w:r>
                      <w:r w:rsidRPr="00660347">
                        <w:rPr>
                          <w:sz w:val="16"/>
                          <w:szCs w:val="16"/>
                        </w:rPr>
                        <w:t>(</w:t>
                      </w:r>
                      <w:r>
                        <w:rPr>
                          <w:sz w:val="16"/>
                          <w:szCs w:val="16"/>
                        </w:rPr>
                        <w:t>b</w:t>
                      </w:r>
                      <w:r w:rsidRPr="00660347">
                        <w:rPr>
                          <w:sz w:val="16"/>
                          <w:szCs w:val="16"/>
                        </w:rPr>
                        <w:t>)</w:t>
                      </w:r>
                      <w:r>
                        <w:rPr>
                          <w:sz w:val="16"/>
                          <w:szCs w:val="16"/>
                        </w:rPr>
                        <w:t xml:space="preserve"> reverse  bias (c) for</w:t>
                      </w:r>
                      <w:r w:rsidR="00436806">
                        <w:rPr>
                          <w:sz w:val="16"/>
                          <w:szCs w:val="16"/>
                        </w:rPr>
                        <w:t>w</w:t>
                      </w:r>
                      <w:r>
                        <w:rPr>
                          <w:sz w:val="16"/>
                          <w:szCs w:val="16"/>
                        </w:rPr>
                        <w:t xml:space="preserve">ard bias </w:t>
                      </w:r>
                    </w:p>
                  </w:txbxContent>
                </v:textbox>
                <w10:wrap type="topAndBottom" anchorx="margin"/>
              </v:shape>
            </w:pict>
          </mc:Fallback>
        </mc:AlternateContent>
      </w:r>
    </w:p>
    <w:p w14:paraId="0AFCF34A" w14:textId="642EC545" w:rsidR="00B40FD2" w:rsidRPr="00B40FD2" w:rsidRDefault="00B40FD2" w:rsidP="00A40BB2">
      <w:pPr>
        <w:spacing w:line="276" w:lineRule="auto"/>
      </w:pPr>
    </w:p>
    <w:p w14:paraId="387943BB" w14:textId="0F1D9F95" w:rsidR="00436806" w:rsidRDefault="00436806" w:rsidP="00A40BB2">
      <w:pPr>
        <w:spacing w:line="276" w:lineRule="auto"/>
      </w:pPr>
      <w:r>
        <w:t xml:space="preserve">The Monte-Carlo simulations </w:t>
      </w:r>
      <w:r w:rsidR="006A1222">
        <w:t>show</w:t>
      </w:r>
      <w:r>
        <w:t xml:space="preserve"> that </w:t>
      </w:r>
      <w:r w:rsidR="006A1222">
        <w:t xml:space="preserve">the </w:t>
      </w:r>
      <w:r w:rsidR="00FE537D">
        <w:t>PIN</w:t>
      </w:r>
      <w:r w:rsidR="006A1222">
        <w:t xml:space="preserve"> structure has a built-in bias due to electrons and holes diffusion without applied voltage</w:t>
      </w:r>
      <w:r w:rsidR="00FE537D" w:rsidRPr="00FE537D">
        <w:t xml:space="preserve">. In </w:t>
      </w:r>
      <w:r w:rsidR="00FE537D">
        <w:t>the</w:t>
      </w:r>
      <w:r w:rsidR="00FE537D" w:rsidRPr="00FE537D">
        <w:t xml:space="preserve"> standard PD operations, the bias voltage is a large negative number. This is because we want generated electron-hole pairs to be separated in space so that unwanted recombination is reduced, corresponding to (b). If the same PIN structure is used as a solar cell, the standard </w:t>
      </w:r>
      <w:r w:rsidR="00FE537D">
        <w:t>device</w:t>
      </w:r>
      <w:r w:rsidR="00FE537D" w:rsidRPr="00FE537D">
        <w:t xml:space="preserve"> voltage is either zero (short circuit condition) or </w:t>
      </w:r>
      <w:r w:rsidR="00FE537D">
        <w:t xml:space="preserve">a </w:t>
      </w:r>
      <w:r w:rsidR="00FE537D" w:rsidRPr="00FE537D">
        <w:t xml:space="preserve">small positive (open circuit condition), </w:t>
      </w:r>
      <w:r w:rsidR="00FE537D">
        <w:t>corresponding</w:t>
      </w:r>
      <w:r w:rsidR="00FE537D" w:rsidRPr="00FE537D">
        <w:t xml:space="preserve"> to (a) and (c). </w:t>
      </w:r>
      <w:r>
        <w:t xml:space="preserve">It depends on the doping and </w:t>
      </w:r>
      <w:r w:rsidR="006A1222">
        <w:t>thickness</w:t>
      </w:r>
      <w:r>
        <w:t xml:space="preserve"> </w:t>
      </w:r>
      <w:r w:rsidR="006A1222">
        <w:t>of</w:t>
      </w:r>
      <w:r>
        <w:t xml:space="preserve"> the doped region (Fig.S2a). Application of the reverse voltage </w:t>
      </w:r>
      <w:r w:rsidR="006A1222">
        <w:t>produces</w:t>
      </w:r>
      <w:r>
        <w:t xml:space="preserve"> the </w:t>
      </w:r>
      <w:r w:rsidR="006A1222">
        <w:t>potential</w:t>
      </w:r>
      <w:r>
        <w:t xml:space="preserve"> slope necessary </w:t>
      </w:r>
      <w:r w:rsidR="006A1222">
        <w:t>for</w:t>
      </w:r>
      <w:r>
        <w:t xml:space="preserve"> the generated photo carriers to drift toward </w:t>
      </w:r>
      <w:r w:rsidR="006A1222">
        <w:t>electrodes</w:t>
      </w:r>
      <w:r>
        <w:t xml:space="preserve"> (Fig.S2b). In the case of forward bias (Fig.S2c)</w:t>
      </w:r>
      <w:r w:rsidR="006A1222">
        <w:t>,</w:t>
      </w:r>
      <w:r>
        <w:t xml:space="preserve"> the </w:t>
      </w:r>
      <w:r w:rsidR="00FE537D">
        <w:t>built-in</w:t>
      </w:r>
      <w:r>
        <w:t xml:space="preserve"> bias </w:t>
      </w:r>
      <w:r w:rsidR="00D1481D">
        <w:t>is</w:t>
      </w:r>
      <w:r>
        <w:t xml:space="preserve"> eventually overpowered by </w:t>
      </w:r>
      <w:r w:rsidR="00D1481D">
        <w:t xml:space="preserve">the applied voltage, showing a potential gradient and a </w:t>
      </w:r>
      <w:r>
        <w:t xml:space="preserve">current.  </w:t>
      </w:r>
      <w:r w:rsidR="00EC6C36">
        <w:t xml:space="preserve">The simulations </w:t>
      </w:r>
      <w:r w:rsidR="00E03307">
        <w:t xml:space="preserve">for Fig.S2 </w:t>
      </w:r>
      <w:proofErr w:type="gramStart"/>
      <w:r w:rsidR="00EC6C36">
        <w:t>used  N</w:t>
      </w:r>
      <w:proofErr w:type="gramEnd"/>
      <w:r w:rsidR="00EC6C36">
        <w:t xml:space="preserve">-doped Ge 200nm, </w:t>
      </w:r>
      <w:proofErr w:type="spellStart"/>
      <w:r w:rsidR="00EC6C36">
        <w:t>i</w:t>
      </w:r>
      <w:proofErr w:type="spellEnd"/>
      <w:r w:rsidR="00EC6C36">
        <w:t>-Ge 350nm, and P-doped Ge 200nm</w:t>
      </w:r>
      <w:r w:rsidR="00824BFD">
        <w:t>,</w:t>
      </w:r>
      <w:r w:rsidR="00E03307">
        <w:t xml:space="preserve"> and a micro</w:t>
      </w:r>
      <w:r w:rsidR="0058263C">
        <w:t>-</w:t>
      </w:r>
      <w:r w:rsidR="00E03307">
        <w:t>hole lattice 1 micron.</w:t>
      </w:r>
    </w:p>
    <w:p w14:paraId="05D17435" w14:textId="6797753B" w:rsidR="00C757CD" w:rsidRPr="00C757CD" w:rsidRDefault="00436806" w:rsidP="00A40BB2">
      <w:pPr>
        <w:spacing w:line="276" w:lineRule="auto"/>
      </w:pPr>
      <w:r>
        <w:t xml:space="preserve"> </w:t>
      </w:r>
    </w:p>
    <w:p w14:paraId="53471C2D" w14:textId="44E03B5B" w:rsidR="00AC7C5E" w:rsidRDefault="007251F7" w:rsidP="00A40BB2">
      <w:pPr>
        <w:numPr>
          <w:ilvl w:val="0"/>
          <w:numId w:val="4"/>
        </w:numPr>
        <w:spacing w:line="276" w:lineRule="auto"/>
      </w:pPr>
      <w:r>
        <w:t xml:space="preserve">A. </w:t>
      </w:r>
      <w:proofErr w:type="spellStart"/>
      <w:r>
        <w:t>Taflove</w:t>
      </w:r>
      <w:proofErr w:type="spellEnd"/>
      <w:r>
        <w:t xml:space="preserve">, S. C. Hagness, and M. </w:t>
      </w:r>
      <w:proofErr w:type="spellStart"/>
      <w:r>
        <w:t>Piket</w:t>
      </w:r>
      <w:proofErr w:type="spellEnd"/>
      <w:r>
        <w:t xml:space="preserve">-May, “Computational electromagnetics: the finite-difference time-domain method,” The Electrical Engineering Handbook, vol. 3, pp. 629–670, (2005). </w:t>
      </w:r>
    </w:p>
    <w:p w14:paraId="4310A2AB" w14:textId="77777777" w:rsidR="005A17C4" w:rsidRDefault="005A17C4" w:rsidP="00A40BB2">
      <w:pPr>
        <w:numPr>
          <w:ilvl w:val="0"/>
          <w:numId w:val="4"/>
        </w:numPr>
        <w:spacing w:line="276" w:lineRule="auto"/>
      </w:pPr>
      <w:r>
        <w:t xml:space="preserve">www.lumerical </w:t>
      </w:r>
    </w:p>
    <w:p w14:paraId="12281F26" w14:textId="1E3C216B" w:rsidR="005A17C4" w:rsidRDefault="002A5F2C" w:rsidP="00A40BB2">
      <w:pPr>
        <w:numPr>
          <w:ilvl w:val="0"/>
          <w:numId w:val="4"/>
        </w:numPr>
        <w:spacing w:line="276" w:lineRule="auto"/>
      </w:pPr>
      <w:r>
        <w:t xml:space="preserve">D. B. Hamadou, et al, 3D Lumerical simulation of silicon photodiodes with </w:t>
      </w:r>
      <w:proofErr w:type="spellStart"/>
      <w:r>
        <w:t>microholes</w:t>
      </w:r>
      <w:proofErr w:type="spellEnd"/>
      <w:r>
        <w:t xml:space="preserve"> for highspeed short-reach intra-datacenter interconnects, Applied Optics 62 (24), 6407-6416 (2023),  </w:t>
      </w:r>
    </w:p>
    <w:p w14:paraId="789E18AB" w14:textId="77777777" w:rsidR="00A664FF" w:rsidRDefault="005A17C4" w:rsidP="00A40BB2">
      <w:pPr>
        <w:numPr>
          <w:ilvl w:val="0"/>
          <w:numId w:val="4"/>
        </w:numPr>
        <w:spacing w:line="276" w:lineRule="auto"/>
      </w:pPr>
      <w:proofErr w:type="spellStart"/>
      <w:r>
        <w:t>Toshishige</w:t>
      </w:r>
      <w:proofErr w:type="spellEnd"/>
      <w:r>
        <w:t xml:space="preserve"> Yamada and D. K. Ferry, "Coupled molecular-dynamics Monte Carlo study of the transport properties of lateral surface superlattices," Phys. Rev. B 47 (11), 6416-6426 (1993).  </w:t>
      </w:r>
    </w:p>
    <w:p w14:paraId="237D9235" w14:textId="77777777" w:rsidR="00A664FF" w:rsidRDefault="00A664FF" w:rsidP="00A40BB2">
      <w:pPr>
        <w:numPr>
          <w:ilvl w:val="0"/>
          <w:numId w:val="4"/>
        </w:numPr>
        <w:spacing w:line="276" w:lineRule="auto"/>
      </w:pPr>
      <w:r>
        <w:t>S. M. Sze, Physics of Semiconductor Devices, 2nd ed. (Wiley, New York, 1981</w:t>
      </w:r>
    </w:p>
    <w:p w14:paraId="2587E95A" w14:textId="5842BA49" w:rsidR="00440AFC" w:rsidRDefault="00440AFC" w:rsidP="00A40BB2">
      <w:pPr>
        <w:numPr>
          <w:ilvl w:val="0"/>
          <w:numId w:val="4"/>
        </w:numPr>
        <w:spacing w:line="276" w:lineRule="auto"/>
      </w:pPr>
      <w:r>
        <w:t xml:space="preserve">J. G. Fossum, “Computer-aided numerical analysis of silicon solar cells,” Solid-State Electron. 19, 269–277 (1976), </w:t>
      </w:r>
    </w:p>
    <w:p w14:paraId="5CDA8828" w14:textId="77777777" w:rsidR="00A664FF" w:rsidRDefault="005A17C4" w:rsidP="00A40BB2">
      <w:pPr>
        <w:numPr>
          <w:ilvl w:val="0"/>
          <w:numId w:val="4"/>
        </w:numPr>
        <w:spacing w:line="276" w:lineRule="auto"/>
      </w:pPr>
      <w:r>
        <w:t xml:space="preserve">Hall, R.N.  "Germanium rectifier characteristics". Physical Review. 83 (1): 228, (1951)  </w:t>
      </w:r>
    </w:p>
    <w:p w14:paraId="6687C98E" w14:textId="77777777" w:rsidR="00A664FF" w:rsidRDefault="002A5F2C" w:rsidP="00A40BB2">
      <w:pPr>
        <w:numPr>
          <w:ilvl w:val="0"/>
          <w:numId w:val="4"/>
        </w:numPr>
        <w:spacing w:line="276" w:lineRule="auto"/>
      </w:pPr>
      <w:r>
        <w:t xml:space="preserve">J. G. Fossum, R. Mertens, D. Lee, and J. Nijs, “Carrier recombination and lifetime in highly doped silicon,” Solid-State Electron. 26, 569–576 (1983), </w:t>
      </w:r>
    </w:p>
    <w:p w14:paraId="19347A25" w14:textId="77777777" w:rsidR="00A664FF" w:rsidRDefault="002A5F2C" w:rsidP="00A40BB2">
      <w:pPr>
        <w:numPr>
          <w:ilvl w:val="0"/>
          <w:numId w:val="4"/>
        </w:numPr>
        <w:spacing w:line="276" w:lineRule="auto"/>
      </w:pPr>
      <w:r>
        <w:t xml:space="preserve">J. Bardeen, “Surface States and Rectification at a Metal Semi-Conductor Contact” Phys. Rev. 71, 717 (1947). </w:t>
      </w:r>
    </w:p>
    <w:p w14:paraId="0C53467E" w14:textId="77777777" w:rsidR="00A664FF" w:rsidRDefault="002168A0" w:rsidP="00A40BB2">
      <w:pPr>
        <w:numPr>
          <w:ilvl w:val="0"/>
          <w:numId w:val="4"/>
        </w:numPr>
        <w:spacing w:line="276" w:lineRule="auto"/>
      </w:pPr>
      <w:r>
        <w:t xml:space="preserve">W. Shockley and W. T. Read, Jr. “Statistics of the </w:t>
      </w:r>
      <w:proofErr w:type="spellStart"/>
      <w:r>
        <w:t>Recombinations</w:t>
      </w:r>
      <w:proofErr w:type="spellEnd"/>
      <w:r>
        <w:t xml:space="preserve"> of Holes and Electrons”, </w:t>
      </w:r>
      <w:proofErr w:type="spellStart"/>
      <w:r>
        <w:t>Phys.Rev</w:t>
      </w:r>
      <w:proofErr w:type="spellEnd"/>
      <w:r>
        <w:t xml:space="preserve">. 87, 835 – Published 1 September 1952.  </w:t>
      </w:r>
    </w:p>
    <w:p w14:paraId="5E9F7ADA" w14:textId="77777777" w:rsidR="00A664FF" w:rsidRDefault="002168A0" w:rsidP="00A40BB2">
      <w:pPr>
        <w:numPr>
          <w:ilvl w:val="0"/>
          <w:numId w:val="4"/>
        </w:numPr>
        <w:spacing w:line="276" w:lineRule="auto"/>
      </w:pPr>
      <w:r>
        <w:t xml:space="preserve">V. Fischetti and S. E. Laux, “Monte Carlo Simulation of Submicron Si MOSFETs”, Simulation of Semiconductor Devices and Processes, vol. 3, </w:t>
      </w:r>
    </w:p>
    <w:p w14:paraId="7FA57BB2" w14:textId="2B08C6E7" w:rsidR="005A17C4" w:rsidRDefault="002168A0" w:rsidP="00A40BB2">
      <w:pPr>
        <w:numPr>
          <w:ilvl w:val="0"/>
          <w:numId w:val="4"/>
        </w:numPr>
        <w:spacing w:line="276" w:lineRule="auto"/>
      </w:pPr>
      <w:r>
        <w:t>G. Baccarani and M. Rudan Eds. (</w:t>
      </w:r>
      <w:proofErr w:type="spellStart"/>
      <w:r>
        <w:t>Technoprint</w:t>
      </w:r>
      <w:proofErr w:type="spellEnd"/>
      <w:r>
        <w:t xml:space="preserve">, Bologna, 1988), 349. </w:t>
      </w:r>
    </w:p>
    <w:sectPr w:rsidR="005A17C4" w:rsidSect="00D46639">
      <w:type w:val="continuous"/>
      <w:pgSz w:w="12240" w:h="15840"/>
      <w:pgMar w:top="1440" w:right="1440" w:bottom="1999" w:left="1440" w:header="720" w:footer="14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5008D" w14:textId="77777777" w:rsidR="00F63B47" w:rsidRDefault="00F63B47">
      <w:pPr>
        <w:spacing w:after="0" w:line="240" w:lineRule="auto"/>
      </w:pPr>
      <w:r>
        <w:separator/>
      </w:r>
    </w:p>
  </w:endnote>
  <w:endnote w:type="continuationSeparator" w:id="0">
    <w:p w14:paraId="44336768" w14:textId="77777777" w:rsidR="00F63B47" w:rsidRDefault="00F63B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04BB2" w14:textId="77777777" w:rsidR="00E538CF" w:rsidRDefault="001D2FBE">
    <w:pPr>
      <w:spacing w:after="0" w:line="259" w:lineRule="auto"/>
      <w:ind w:firstLine="0"/>
      <w:jc w:val="center"/>
    </w:pP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FC1FF" w14:textId="77777777" w:rsidR="00E538CF" w:rsidRDefault="001D2FBE">
    <w:pPr>
      <w:spacing w:after="0" w:line="259" w:lineRule="auto"/>
      <w:ind w:firstLine="0"/>
      <w:jc w:val="center"/>
    </w:pP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E9311" w14:textId="77777777" w:rsidR="00E538CF" w:rsidRDefault="001D2FBE">
    <w:pPr>
      <w:spacing w:after="0" w:line="259" w:lineRule="auto"/>
      <w:ind w:firstLine="0"/>
      <w:jc w:val="center"/>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C576F4" w14:textId="77777777" w:rsidR="00F63B47" w:rsidRDefault="00F63B47">
      <w:pPr>
        <w:spacing w:after="0" w:line="240" w:lineRule="auto"/>
      </w:pPr>
      <w:r>
        <w:separator/>
      </w:r>
    </w:p>
  </w:footnote>
  <w:footnote w:type="continuationSeparator" w:id="0">
    <w:p w14:paraId="366B6981" w14:textId="77777777" w:rsidR="00F63B47" w:rsidRDefault="00F63B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5D59E1"/>
    <w:multiLevelType w:val="hybridMultilevel"/>
    <w:tmpl w:val="3C2E06BA"/>
    <w:lvl w:ilvl="0" w:tplc="FFFFFFFF">
      <w:start w:val="1"/>
      <w:numFmt w:val="decimal"/>
      <w:lvlText w:val="[%1]"/>
      <w:lvlJc w:val="left"/>
      <w:pPr>
        <w:ind w:left="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12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19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27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34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41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48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55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63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8B4415F"/>
    <w:multiLevelType w:val="hybridMultilevel"/>
    <w:tmpl w:val="3C2E06BA"/>
    <w:lvl w:ilvl="0" w:tplc="FFFFFFFF">
      <w:start w:val="1"/>
      <w:numFmt w:val="decimal"/>
      <w:lvlText w:val="[%1]"/>
      <w:lvlJc w:val="left"/>
      <w:pPr>
        <w:ind w:left="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12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19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27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34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41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48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55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63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A877D64"/>
    <w:multiLevelType w:val="singleLevel"/>
    <w:tmpl w:val="37E4B88C"/>
    <w:lvl w:ilvl="0">
      <w:start w:val="1"/>
      <w:numFmt w:val="decimal"/>
      <w:pStyle w:val="References"/>
      <w:lvlText w:val="[%1]"/>
      <w:lvlJc w:val="left"/>
      <w:pPr>
        <w:tabs>
          <w:tab w:val="num" w:pos="1170"/>
        </w:tabs>
        <w:ind w:left="1170" w:hanging="360"/>
      </w:pPr>
      <w:rPr>
        <w:i w:val="0"/>
      </w:rPr>
    </w:lvl>
  </w:abstractNum>
  <w:abstractNum w:abstractNumId="3" w15:restartNumberingAfterBreak="0">
    <w:nsid w:val="50396E9F"/>
    <w:multiLevelType w:val="hybridMultilevel"/>
    <w:tmpl w:val="3C2E06BA"/>
    <w:lvl w:ilvl="0" w:tplc="FFFFFFFF">
      <w:start w:val="1"/>
      <w:numFmt w:val="decimal"/>
      <w:lvlText w:val="[%1]"/>
      <w:lvlJc w:val="left"/>
      <w:pPr>
        <w:ind w:left="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12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19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27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34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41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48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55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63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5E872935"/>
    <w:multiLevelType w:val="hybridMultilevel"/>
    <w:tmpl w:val="3C2E06BA"/>
    <w:lvl w:ilvl="0" w:tplc="FFFFFFFF">
      <w:start w:val="1"/>
      <w:numFmt w:val="decimal"/>
      <w:lvlText w:val="[%1]"/>
      <w:lvlJc w:val="left"/>
      <w:pPr>
        <w:ind w:left="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12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19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27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34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41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48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55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63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62A9494B"/>
    <w:multiLevelType w:val="hybridMultilevel"/>
    <w:tmpl w:val="F7C878AE"/>
    <w:lvl w:ilvl="0" w:tplc="4CE66CF0">
      <w:start w:val="1"/>
      <w:numFmt w:val="decimal"/>
      <w:pStyle w:val="Heading1"/>
      <w:lvlText w:val="%1"/>
      <w:lvlJc w:val="left"/>
      <w:pPr>
        <w:ind w:left="3420"/>
      </w:pPr>
      <w:rPr>
        <w:rFonts w:ascii="Cambria" w:eastAsia="Cambria" w:hAnsi="Cambria" w:cs="Cambria"/>
        <w:b/>
        <w:bCs/>
        <w:i w:val="0"/>
        <w:strike w:val="0"/>
        <w:dstrike w:val="0"/>
        <w:color w:val="000000"/>
        <w:sz w:val="29"/>
        <w:szCs w:val="29"/>
        <w:u w:val="none" w:color="000000"/>
        <w:bdr w:val="none" w:sz="0" w:space="0" w:color="auto"/>
        <w:shd w:val="clear" w:color="auto" w:fill="auto"/>
        <w:vertAlign w:val="baseline"/>
      </w:rPr>
    </w:lvl>
    <w:lvl w:ilvl="1" w:tplc="9A3442FA">
      <w:start w:val="1"/>
      <w:numFmt w:val="lowerLetter"/>
      <w:lvlText w:val="%2"/>
      <w:lvlJc w:val="left"/>
      <w:pPr>
        <w:ind w:left="1080"/>
      </w:pPr>
      <w:rPr>
        <w:rFonts w:ascii="Cambria" w:eastAsia="Cambria" w:hAnsi="Cambria" w:cs="Cambria"/>
        <w:b/>
        <w:bCs/>
        <w:i w:val="0"/>
        <w:strike w:val="0"/>
        <w:dstrike w:val="0"/>
        <w:color w:val="000000"/>
        <w:sz w:val="29"/>
        <w:szCs w:val="29"/>
        <w:u w:val="none" w:color="000000"/>
        <w:bdr w:val="none" w:sz="0" w:space="0" w:color="auto"/>
        <w:shd w:val="clear" w:color="auto" w:fill="auto"/>
        <w:vertAlign w:val="baseline"/>
      </w:rPr>
    </w:lvl>
    <w:lvl w:ilvl="2" w:tplc="D578152A">
      <w:start w:val="1"/>
      <w:numFmt w:val="lowerRoman"/>
      <w:lvlText w:val="%3"/>
      <w:lvlJc w:val="left"/>
      <w:pPr>
        <w:ind w:left="1800"/>
      </w:pPr>
      <w:rPr>
        <w:rFonts w:ascii="Cambria" w:eastAsia="Cambria" w:hAnsi="Cambria" w:cs="Cambria"/>
        <w:b/>
        <w:bCs/>
        <w:i w:val="0"/>
        <w:strike w:val="0"/>
        <w:dstrike w:val="0"/>
        <w:color w:val="000000"/>
        <w:sz w:val="29"/>
        <w:szCs w:val="29"/>
        <w:u w:val="none" w:color="000000"/>
        <w:bdr w:val="none" w:sz="0" w:space="0" w:color="auto"/>
        <w:shd w:val="clear" w:color="auto" w:fill="auto"/>
        <w:vertAlign w:val="baseline"/>
      </w:rPr>
    </w:lvl>
    <w:lvl w:ilvl="3" w:tplc="31889FF0">
      <w:start w:val="1"/>
      <w:numFmt w:val="decimal"/>
      <w:lvlText w:val="%4"/>
      <w:lvlJc w:val="left"/>
      <w:pPr>
        <w:ind w:left="2520"/>
      </w:pPr>
      <w:rPr>
        <w:rFonts w:ascii="Cambria" w:eastAsia="Cambria" w:hAnsi="Cambria" w:cs="Cambria"/>
        <w:b/>
        <w:bCs/>
        <w:i w:val="0"/>
        <w:strike w:val="0"/>
        <w:dstrike w:val="0"/>
        <w:color w:val="000000"/>
        <w:sz w:val="29"/>
        <w:szCs w:val="29"/>
        <w:u w:val="none" w:color="000000"/>
        <w:bdr w:val="none" w:sz="0" w:space="0" w:color="auto"/>
        <w:shd w:val="clear" w:color="auto" w:fill="auto"/>
        <w:vertAlign w:val="baseline"/>
      </w:rPr>
    </w:lvl>
    <w:lvl w:ilvl="4" w:tplc="47FA9438">
      <w:start w:val="1"/>
      <w:numFmt w:val="lowerLetter"/>
      <w:lvlText w:val="%5"/>
      <w:lvlJc w:val="left"/>
      <w:pPr>
        <w:ind w:left="3240"/>
      </w:pPr>
      <w:rPr>
        <w:rFonts w:ascii="Cambria" w:eastAsia="Cambria" w:hAnsi="Cambria" w:cs="Cambria"/>
        <w:b/>
        <w:bCs/>
        <w:i w:val="0"/>
        <w:strike w:val="0"/>
        <w:dstrike w:val="0"/>
        <w:color w:val="000000"/>
        <w:sz w:val="29"/>
        <w:szCs w:val="29"/>
        <w:u w:val="none" w:color="000000"/>
        <w:bdr w:val="none" w:sz="0" w:space="0" w:color="auto"/>
        <w:shd w:val="clear" w:color="auto" w:fill="auto"/>
        <w:vertAlign w:val="baseline"/>
      </w:rPr>
    </w:lvl>
    <w:lvl w:ilvl="5" w:tplc="A3DA94AE">
      <w:start w:val="1"/>
      <w:numFmt w:val="lowerRoman"/>
      <w:lvlText w:val="%6"/>
      <w:lvlJc w:val="left"/>
      <w:pPr>
        <w:ind w:left="3960"/>
      </w:pPr>
      <w:rPr>
        <w:rFonts w:ascii="Cambria" w:eastAsia="Cambria" w:hAnsi="Cambria" w:cs="Cambria"/>
        <w:b/>
        <w:bCs/>
        <w:i w:val="0"/>
        <w:strike w:val="0"/>
        <w:dstrike w:val="0"/>
        <w:color w:val="000000"/>
        <w:sz w:val="29"/>
        <w:szCs w:val="29"/>
        <w:u w:val="none" w:color="000000"/>
        <w:bdr w:val="none" w:sz="0" w:space="0" w:color="auto"/>
        <w:shd w:val="clear" w:color="auto" w:fill="auto"/>
        <w:vertAlign w:val="baseline"/>
      </w:rPr>
    </w:lvl>
    <w:lvl w:ilvl="6" w:tplc="72C2E33C">
      <w:start w:val="1"/>
      <w:numFmt w:val="decimal"/>
      <w:lvlText w:val="%7"/>
      <w:lvlJc w:val="left"/>
      <w:pPr>
        <w:ind w:left="4680"/>
      </w:pPr>
      <w:rPr>
        <w:rFonts w:ascii="Cambria" w:eastAsia="Cambria" w:hAnsi="Cambria" w:cs="Cambria"/>
        <w:b/>
        <w:bCs/>
        <w:i w:val="0"/>
        <w:strike w:val="0"/>
        <w:dstrike w:val="0"/>
        <w:color w:val="000000"/>
        <w:sz w:val="29"/>
        <w:szCs w:val="29"/>
        <w:u w:val="none" w:color="000000"/>
        <w:bdr w:val="none" w:sz="0" w:space="0" w:color="auto"/>
        <w:shd w:val="clear" w:color="auto" w:fill="auto"/>
        <w:vertAlign w:val="baseline"/>
      </w:rPr>
    </w:lvl>
    <w:lvl w:ilvl="7" w:tplc="1B9A28AC">
      <w:start w:val="1"/>
      <w:numFmt w:val="lowerLetter"/>
      <w:lvlText w:val="%8"/>
      <w:lvlJc w:val="left"/>
      <w:pPr>
        <w:ind w:left="5400"/>
      </w:pPr>
      <w:rPr>
        <w:rFonts w:ascii="Cambria" w:eastAsia="Cambria" w:hAnsi="Cambria" w:cs="Cambria"/>
        <w:b/>
        <w:bCs/>
        <w:i w:val="0"/>
        <w:strike w:val="0"/>
        <w:dstrike w:val="0"/>
        <w:color w:val="000000"/>
        <w:sz w:val="29"/>
        <w:szCs w:val="29"/>
        <w:u w:val="none" w:color="000000"/>
        <w:bdr w:val="none" w:sz="0" w:space="0" w:color="auto"/>
        <w:shd w:val="clear" w:color="auto" w:fill="auto"/>
        <w:vertAlign w:val="baseline"/>
      </w:rPr>
    </w:lvl>
    <w:lvl w:ilvl="8" w:tplc="C232A048">
      <w:start w:val="1"/>
      <w:numFmt w:val="lowerRoman"/>
      <w:lvlText w:val="%9"/>
      <w:lvlJc w:val="left"/>
      <w:pPr>
        <w:ind w:left="6120"/>
      </w:pPr>
      <w:rPr>
        <w:rFonts w:ascii="Cambria" w:eastAsia="Cambria" w:hAnsi="Cambria" w:cs="Cambria"/>
        <w:b/>
        <w:bCs/>
        <w:i w:val="0"/>
        <w:strike w:val="0"/>
        <w:dstrike w:val="0"/>
        <w:color w:val="000000"/>
        <w:sz w:val="29"/>
        <w:szCs w:val="29"/>
        <w:u w:val="none" w:color="000000"/>
        <w:bdr w:val="none" w:sz="0" w:space="0" w:color="auto"/>
        <w:shd w:val="clear" w:color="auto" w:fill="auto"/>
        <w:vertAlign w:val="baseline"/>
      </w:rPr>
    </w:lvl>
  </w:abstractNum>
  <w:abstractNum w:abstractNumId="6" w15:restartNumberingAfterBreak="0">
    <w:nsid w:val="696F058B"/>
    <w:multiLevelType w:val="hybridMultilevel"/>
    <w:tmpl w:val="3C2E06BA"/>
    <w:lvl w:ilvl="0" w:tplc="C8AC2B24">
      <w:start w:val="1"/>
      <w:numFmt w:val="decimal"/>
      <w:lvlText w:val="[%1]"/>
      <w:lvlJc w:val="left"/>
      <w:pPr>
        <w:ind w:left="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90ACAA8A">
      <w:start w:val="1"/>
      <w:numFmt w:val="lowerLetter"/>
      <w:lvlText w:val="%2"/>
      <w:lvlJc w:val="left"/>
      <w:pPr>
        <w:ind w:left="12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19B45D16">
      <w:start w:val="1"/>
      <w:numFmt w:val="lowerRoman"/>
      <w:lvlText w:val="%3"/>
      <w:lvlJc w:val="left"/>
      <w:pPr>
        <w:ind w:left="19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9F620192">
      <w:start w:val="1"/>
      <w:numFmt w:val="decimal"/>
      <w:lvlText w:val="%4"/>
      <w:lvlJc w:val="left"/>
      <w:pPr>
        <w:ind w:left="27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B55C3944">
      <w:start w:val="1"/>
      <w:numFmt w:val="lowerLetter"/>
      <w:lvlText w:val="%5"/>
      <w:lvlJc w:val="left"/>
      <w:pPr>
        <w:ind w:left="34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6B6A431C">
      <w:start w:val="1"/>
      <w:numFmt w:val="lowerRoman"/>
      <w:lvlText w:val="%6"/>
      <w:lvlJc w:val="left"/>
      <w:pPr>
        <w:ind w:left="41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DDBC177A">
      <w:start w:val="1"/>
      <w:numFmt w:val="decimal"/>
      <w:lvlText w:val="%7"/>
      <w:lvlJc w:val="left"/>
      <w:pPr>
        <w:ind w:left="48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0B5ACA66">
      <w:start w:val="1"/>
      <w:numFmt w:val="lowerLetter"/>
      <w:lvlText w:val="%8"/>
      <w:lvlJc w:val="left"/>
      <w:pPr>
        <w:ind w:left="55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2BD2A588">
      <w:start w:val="1"/>
      <w:numFmt w:val="lowerRoman"/>
      <w:lvlText w:val="%9"/>
      <w:lvlJc w:val="left"/>
      <w:pPr>
        <w:ind w:left="63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7738779A"/>
    <w:multiLevelType w:val="multilevel"/>
    <w:tmpl w:val="77EC1FB2"/>
    <w:styleLink w:val="headings"/>
    <w:lvl w:ilvl="0">
      <w:start w:val="1"/>
      <w:numFmt w:val="decimal"/>
      <w:pStyle w:val="heading10"/>
      <w:lvlText w:val="%1"/>
      <w:lvlJc w:val="left"/>
      <w:pPr>
        <w:tabs>
          <w:tab w:val="num" w:pos="4257"/>
        </w:tabs>
        <w:ind w:left="4257" w:hanging="567"/>
      </w:pPr>
      <w:rPr>
        <w:rFonts w:hint="default"/>
      </w:rPr>
    </w:lvl>
    <w:lvl w:ilvl="1">
      <w:start w:val="1"/>
      <w:numFmt w:val="decimal"/>
      <w:pStyle w:val="heading2"/>
      <w:lvlText w:val="%1.%2"/>
      <w:lvlJc w:val="left"/>
      <w:pPr>
        <w:tabs>
          <w:tab w:val="num" w:pos="4257"/>
        </w:tabs>
        <w:ind w:left="4257" w:hanging="567"/>
      </w:pPr>
      <w:rPr>
        <w:rFonts w:hint="default"/>
      </w:rPr>
    </w:lvl>
    <w:lvl w:ilvl="2">
      <w:start w:val="1"/>
      <w:numFmt w:val="decimal"/>
      <w:lvlText w:val="%1.%2.%3"/>
      <w:lvlJc w:val="left"/>
      <w:pPr>
        <w:tabs>
          <w:tab w:val="num" w:pos="4541"/>
        </w:tabs>
        <w:ind w:left="4541" w:hanging="851"/>
      </w:pPr>
      <w:rPr>
        <w:rFonts w:hint="default"/>
      </w:rPr>
    </w:lvl>
    <w:lvl w:ilvl="3">
      <w:start w:val="1"/>
      <w:numFmt w:val="decimal"/>
      <w:lvlText w:val="%1.%2.%3.%4"/>
      <w:lvlJc w:val="left"/>
      <w:pPr>
        <w:tabs>
          <w:tab w:val="num" w:pos="4541"/>
        </w:tabs>
        <w:ind w:left="4541" w:hanging="851"/>
      </w:pPr>
      <w:rPr>
        <w:rFonts w:hint="default"/>
      </w:rPr>
    </w:lvl>
    <w:lvl w:ilvl="4">
      <w:start w:val="1"/>
      <w:numFmt w:val="decimal"/>
      <w:lvlText w:val="%1.%2.%3.%4.%5"/>
      <w:lvlJc w:val="left"/>
      <w:pPr>
        <w:tabs>
          <w:tab w:val="num" w:pos="4654"/>
        </w:tabs>
        <w:ind w:left="4654" w:hanging="964"/>
      </w:pPr>
      <w:rPr>
        <w:rFonts w:ascii="Times New Roman" w:hAnsi="Times New Roman" w:hint="default"/>
        <w:b w:val="0"/>
        <w:i/>
        <w:sz w:val="20"/>
      </w:rPr>
    </w:lvl>
    <w:lvl w:ilvl="5">
      <w:start w:val="1"/>
      <w:numFmt w:val="decimal"/>
      <w:lvlText w:val="%1.%2.%3.%4.%5.%6"/>
      <w:lvlJc w:val="left"/>
      <w:pPr>
        <w:tabs>
          <w:tab w:val="num" w:pos="4842"/>
        </w:tabs>
        <w:ind w:left="4842" w:hanging="1152"/>
      </w:pPr>
      <w:rPr>
        <w:rFonts w:hint="default"/>
      </w:rPr>
    </w:lvl>
    <w:lvl w:ilvl="6">
      <w:start w:val="1"/>
      <w:numFmt w:val="decimal"/>
      <w:lvlText w:val="%1.%2.%3.%4.%5.%6.%7"/>
      <w:lvlJc w:val="left"/>
      <w:pPr>
        <w:tabs>
          <w:tab w:val="num" w:pos="4986"/>
        </w:tabs>
        <w:ind w:left="4986" w:hanging="1296"/>
      </w:pPr>
      <w:rPr>
        <w:rFonts w:hint="default"/>
      </w:rPr>
    </w:lvl>
    <w:lvl w:ilvl="7">
      <w:start w:val="1"/>
      <w:numFmt w:val="decimal"/>
      <w:lvlText w:val="%1.%2.%3.%4.%5.%6.%7.%8"/>
      <w:lvlJc w:val="left"/>
      <w:pPr>
        <w:tabs>
          <w:tab w:val="num" w:pos="5130"/>
        </w:tabs>
        <w:ind w:left="5130" w:hanging="1440"/>
      </w:pPr>
      <w:rPr>
        <w:rFonts w:hint="default"/>
      </w:rPr>
    </w:lvl>
    <w:lvl w:ilvl="8">
      <w:start w:val="1"/>
      <w:numFmt w:val="decimal"/>
      <w:lvlText w:val="%1.%2.%3.%4.%5.%6.%7.%8.%9"/>
      <w:lvlJc w:val="left"/>
      <w:pPr>
        <w:tabs>
          <w:tab w:val="num" w:pos="5274"/>
        </w:tabs>
        <w:ind w:left="5274" w:hanging="1584"/>
      </w:pPr>
      <w:rPr>
        <w:rFonts w:hint="default"/>
      </w:rPr>
    </w:lvl>
  </w:abstractNum>
  <w:abstractNum w:abstractNumId="8" w15:restartNumberingAfterBreak="0">
    <w:nsid w:val="79AC1914"/>
    <w:multiLevelType w:val="hybridMultilevel"/>
    <w:tmpl w:val="3C2E06BA"/>
    <w:lvl w:ilvl="0" w:tplc="FFFFFFFF">
      <w:start w:val="1"/>
      <w:numFmt w:val="decimal"/>
      <w:lvlText w:val="[%1]"/>
      <w:lvlJc w:val="left"/>
      <w:pPr>
        <w:ind w:left="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12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19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27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34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41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48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55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63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num w:numId="1" w16cid:durableId="198857170">
    <w:abstractNumId w:val="6"/>
  </w:num>
  <w:num w:numId="2" w16cid:durableId="1581524106">
    <w:abstractNumId w:val="5"/>
  </w:num>
  <w:num w:numId="3" w16cid:durableId="896088952">
    <w:abstractNumId w:val="7"/>
  </w:num>
  <w:num w:numId="4" w16cid:durableId="55473877">
    <w:abstractNumId w:val="4"/>
  </w:num>
  <w:num w:numId="5" w16cid:durableId="476192482">
    <w:abstractNumId w:val="3"/>
  </w:num>
  <w:num w:numId="6" w16cid:durableId="1156527431">
    <w:abstractNumId w:val="0"/>
  </w:num>
  <w:num w:numId="7" w16cid:durableId="574976600">
    <w:abstractNumId w:val="1"/>
  </w:num>
  <w:num w:numId="8" w16cid:durableId="1036739786">
    <w:abstractNumId w:val="8"/>
  </w:num>
  <w:num w:numId="9" w16cid:durableId="630987615">
    <w:abstractNumId w:val="2"/>
  </w:num>
  <w:num w:numId="10" w16cid:durableId="356084114">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C0NDIzNDcxMbQwMjZS0lEKTi0uzszPAykwrAUAdXjEOSwAAAA="/>
  </w:docVars>
  <w:rsids>
    <w:rsidRoot w:val="00E538CF"/>
    <w:rsid w:val="00007A87"/>
    <w:rsid w:val="000319AC"/>
    <w:rsid w:val="000344DD"/>
    <w:rsid w:val="00062682"/>
    <w:rsid w:val="000639FD"/>
    <w:rsid w:val="000910A1"/>
    <w:rsid w:val="000934F7"/>
    <w:rsid w:val="000A5A24"/>
    <w:rsid w:val="000D0AF3"/>
    <w:rsid w:val="000D203B"/>
    <w:rsid w:val="000E3592"/>
    <w:rsid w:val="000E3D97"/>
    <w:rsid w:val="000E4A69"/>
    <w:rsid w:val="000E4D4E"/>
    <w:rsid w:val="000F7996"/>
    <w:rsid w:val="00101D8A"/>
    <w:rsid w:val="00102CFB"/>
    <w:rsid w:val="00106379"/>
    <w:rsid w:val="00106595"/>
    <w:rsid w:val="00114423"/>
    <w:rsid w:val="00116FFB"/>
    <w:rsid w:val="001212B3"/>
    <w:rsid w:val="00147A96"/>
    <w:rsid w:val="00166D39"/>
    <w:rsid w:val="00176CC2"/>
    <w:rsid w:val="001825F8"/>
    <w:rsid w:val="00183448"/>
    <w:rsid w:val="00193AC5"/>
    <w:rsid w:val="001C0CFF"/>
    <w:rsid w:val="001C6984"/>
    <w:rsid w:val="001D2FBE"/>
    <w:rsid w:val="001D2FE7"/>
    <w:rsid w:val="001D75F3"/>
    <w:rsid w:val="001E028E"/>
    <w:rsid w:val="001E5433"/>
    <w:rsid w:val="002168A0"/>
    <w:rsid w:val="00221C72"/>
    <w:rsid w:val="00222A7E"/>
    <w:rsid w:val="00222BEA"/>
    <w:rsid w:val="00236163"/>
    <w:rsid w:val="0025254B"/>
    <w:rsid w:val="00264748"/>
    <w:rsid w:val="00281298"/>
    <w:rsid w:val="002938D8"/>
    <w:rsid w:val="00296E72"/>
    <w:rsid w:val="00297994"/>
    <w:rsid w:val="002A34EF"/>
    <w:rsid w:val="002A5F2C"/>
    <w:rsid w:val="002E6227"/>
    <w:rsid w:val="002F582B"/>
    <w:rsid w:val="0031001D"/>
    <w:rsid w:val="00310AB3"/>
    <w:rsid w:val="00315BB2"/>
    <w:rsid w:val="0033068C"/>
    <w:rsid w:val="003554C4"/>
    <w:rsid w:val="00364D11"/>
    <w:rsid w:val="00366962"/>
    <w:rsid w:val="00370147"/>
    <w:rsid w:val="003751C0"/>
    <w:rsid w:val="003A1E89"/>
    <w:rsid w:val="003D4FB3"/>
    <w:rsid w:val="003F142C"/>
    <w:rsid w:val="003F54C0"/>
    <w:rsid w:val="003F6AF4"/>
    <w:rsid w:val="00400A08"/>
    <w:rsid w:val="0040153B"/>
    <w:rsid w:val="00413CEC"/>
    <w:rsid w:val="00424CEC"/>
    <w:rsid w:val="004255BC"/>
    <w:rsid w:val="0042669A"/>
    <w:rsid w:val="004355B0"/>
    <w:rsid w:val="00436806"/>
    <w:rsid w:val="00437235"/>
    <w:rsid w:val="00440AFC"/>
    <w:rsid w:val="00444453"/>
    <w:rsid w:val="00444A14"/>
    <w:rsid w:val="00454C26"/>
    <w:rsid w:val="0045689F"/>
    <w:rsid w:val="0047242E"/>
    <w:rsid w:val="004812C6"/>
    <w:rsid w:val="004B0E57"/>
    <w:rsid w:val="004C0161"/>
    <w:rsid w:val="004D1592"/>
    <w:rsid w:val="004E2DE9"/>
    <w:rsid w:val="005213F7"/>
    <w:rsid w:val="00524E7A"/>
    <w:rsid w:val="005263CA"/>
    <w:rsid w:val="00535A64"/>
    <w:rsid w:val="00536707"/>
    <w:rsid w:val="00551E02"/>
    <w:rsid w:val="0058263C"/>
    <w:rsid w:val="005841CF"/>
    <w:rsid w:val="0059096C"/>
    <w:rsid w:val="005A17C4"/>
    <w:rsid w:val="005B0755"/>
    <w:rsid w:val="005B6A6A"/>
    <w:rsid w:val="005C2606"/>
    <w:rsid w:val="005C5434"/>
    <w:rsid w:val="005F25DD"/>
    <w:rsid w:val="005F286E"/>
    <w:rsid w:val="005F6D52"/>
    <w:rsid w:val="00602AD9"/>
    <w:rsid w:val="00611C44"/>
    <w:rsid w:val="006145A3"/>
    <w:rsid w:val="00625BB6"/>
    <w:rsid w:val="00626F1E"/>
    <w:rsid w:val="00657CEA"/>
    <w:rsid w:val="00663052"/>
    <w:rsid w:val="006703C3"/>
    <w:rsid w:val="00680B2E"/>
    <w:rsid w:val="0068255B"/>
    <w:rsid w:val="006A04FF"/>
    <w:rsid w:val="006A1222"/>
    <w:rsid w:val="006B02BC"/>
    <w:rsid w:val="006D5DD2"/>
    <w:rsid w:val="006E3CF9"/>
    <w:rsid w:val="0070021E"/>
    <w:rsid w:val="007251F7"/>
    <w:rsid w:val="00726E99"/>
    <w:rsid w:val="007271C1"/>
    <w:rsid w:val="0073507B"/>
    <w:rsid w:val="00740FF4"/>
    <w:rsid w:val="0074607B"/>
    <w:rsid w:val="007461E4"/>
    <w:rsid w:val="0075654A"/>
    <w:rsid w:val="007603AA"/>
    <w:rsid w:val="00764C94"/>
    <w:rsid w:val="00771119"/>
    <w:rsid w:val="00786683"/>
    <w:rsid w:val="007C7A34"/>
    <w:rsid w:val="007D065B"/>
    <w:rsid w:val="007D72A3"/>
    <w:rsid w:val="007E5F6F"/>
    <w:rsid w:val="007F26D6"/>
    <w:rsid w:val="007F46E2"/>
    <w:rsid w:val="008147C1"/>
    <w:rsid w:val="0081523C"/>
    <w:rsid w:val="008161EF"/>
    <w:rsid w:val="00824BFD"/>
    <w:rsid w:val="00862995"/>
    <w:rsid w:val="00863273"/>
    <w:rsid w:val="00875917"/>
    <w:rsid w:val="008925EE"/>
    <w:rsid w:val="008A007F"/>
    <w:rsid w:val="008B1F19"/>
    <w:rsid w:val="008D2024"/>
    <w:rsid w:val="008D295D"/>
    <w:rsid w:val="008F0C67"/>
    <w:rsid w:val="008F2F97"/>
    <w:rsid w:val="00920223"/>
    <w:rsid w:val="00923F40"/>
    <w:rsid w:val="0093702B"/>
    <w:rsid w:val="0094634F"/>
    <w:rsid w:val="009519AA"/>
    <w:rsid w:val="009564B3"/>
    <w:rsid w:val="00960069"/>
    <w:rsid w:val="00982035"/>
    <w:rsid w:val="009911CF"/>
    <w:rsid w:val="009A443A"/>
    <w:rsid w:val="009A7E3B"/>
    <w:rsid w:val="009B19B4"/>
    <w:rsid w:val="009F548D"/>
    <w:rsid w:val="009F6BA6"/>
    <w:rsid w:val="00A02A1A"/>
    <w:rsid w:val="00A04A5A"/>
    <w:rsid w:val="00A17AE1"/>
    <w:rsid w:val="00A24193"/>
    <w:rsid w:val="00A40BB2"/>
    <w:rsid w:val="00A57D95"/>
    <w:rsid w:val="00A664FF"/>
    <w:rsid w:val="00A72B27"/>
    <w:rsid w:val="00A7576B"/>
    <w:rsid w:val="00A8302D"/>
    <w:rsid w:val="00AA23D3"/>
    <w:rsid w:val="00AA7CDD"/>
    <w:rsid w:val="00AC7C5E"/>
    <w:rsid w:val="00AD05A9"/>
    <w:rsid w:val="00AD6E8C"/>
    <w:rsid w:val="00AE09AF"/>
    <w:rsid w:val="00B070D2"/>
    <w:rsid w:val="00B26763"/>
    <w:rsid w:val="00B269ED"/>
    <w:rsid w:val="00B27FAA"/>
    <w:rsid w:val="00B31D66"/>
    <w:rsid w:val="00B40FD2"/>
    <w:rsid w:val="00B43297"/>
    <w:rsid w:val="00B4420B"/>
    <w:rsid w:val="00B5710A"/>
    <w:rsid w:val="00B72255"/>
    <w:rsid w:val="00B96752"/>
    <w:rsid w:val="00BA612F"/>
    <w:rsid w:val="00BB0B88"/>
    <w:rsid w:val="00BB0DDA"/>
    <w:rsid w:val="00BC0BEE"/>
    <w:rsid w:val="00BD3492"/>
    <w:rsid w:val="00BD3B2D"/>
    <w:rsid w:val="00BE0644"/>
    <w:rsid w:val="00BE7BCC"/>
    <w:rsid w:val="00C1295F"/>
    <w:rsid w:val="00C215B3"/>
    <w:rsid w:val="00C26ACD"/>
    <w:rsid w:val="00C26BA3"/>
    <w:rsid w:val="00C44F53"/>
    <w:rsid w:val="00C535BC"/>
    <w:rsid w:val="00C57AB3"/>
    <w:rsid w:val="00C65A66"/>
    <w:rsid w:val="00C6772E"/>
    <w:rsid w:val="00C706AC"/>
    <w:rsid w:val="00C7214F"/>
    <w:rsid w:val="00C757CD"/>
    <w:rsid w:val="00C90B06"/>
    <w:rsid w:val="00C93EF6"/>
    <w:rsid w:val="00CA35C9"/>
    <w:rsid w:val="00CB344E"/>
    <w:rsid w:val="00CB76D6"/>
    <w:rsid w:val="00CD6108"/>
    <w:rsid w:val="00CE495B"/>
    <w:rsid w:val="00D106B8"/>
    <w:rsid w:val="00D1481D"/>
    <w:rsid w:val="00D15DA7"/>
    <w:rsid w:val="00D26F24"/>
    <w:rsid w:val="00D44253"/>
    <w:rsid w:val="00D46639"/>
    <w:rsid w:val="00D47088"/>
    <w:rsid w:val="00D5181F"/>
    <w:rsid w:val="00D56A2D"/>
    <w:rsid w:val="00D7347D"/>
    <w:rsid w:val="00DC7130"/>
    <w:rsid w:val="00DD452D"/>
    <w:rsid w:val="00DF35A9"/>
    <w:rsid w:val="00E03307"/>
    <w:rsid w:val="00E07E73"/>
    <w:rsid w:val="00E1666E"/>
    <w:rsid w:val="00E27FBB"/>
    <w:rsid w:val="00E36D67"/>
    <w:rsid w:val="00E40EF0"/>
    <w:rsid w:val="00E538CF"/>
    <w:rsid w:val="00E55B0F"/>
    <w:rsid w:val="00E60127"/>
    <w:rsid w:val="00E74D26"/>
    <w:rsid w:val="00E96DB0"/>
    <w:rsid w:val="00EA605D"/>
    <w:rsid w:val="00EA71DB"/>
    <w:rsid w:val="00EC6C36"/>
    <w:rsid w:val="00ED11EC"/>
    <w:rsid w:val="00ED6027"/>
    <w:rsid w:val="00F00B11"/>
    <w:rsid w:val="00F01FC4"/>
    <w:rsid w:val="00F106A4"/>
    <w:rsid w:val="00F10988"/>
    <w:rsid w:val="00F277FF"/>
    <w:rsid w:val="00F33F02"/>
    <w:rsid w:val="00F42F0E"/>
    <w:rsid w:val="00F567BB"/>
    <w:rsid w:val="00F634ED"/>
    <w:rsid w:val="00F63B47"/>
    <w:rsid w:val="00F7674D"/>
    <w:rsid w:val="00F865C6"/>
    <w:rsid w:val="00F95199"/>
    <w:rsid w:val="00FA6E57"/>
    <w:rsid w:val="00FD0E20"/>
    <w:rsid w:val="00FD5F84"/>
    <w:rsid w:val="00FE537D"/>
    <w:rsid w:val="00FF0BD8"/>
    <w:rsid w:val="00FF25DA"/>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C77290"/>
  <w15:docId w15:val="{AD4E0B62-3A73-4E8F-BA5C-80C97F6C7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55" w:lineRule="auto"/>
      <w:ind w:firstLine="289"/>
      <w:jc w:val="both"/>
    </w:pPr>
    <w:rPr>
      <w:rFonts w:ascii="Cambria" w:eastAsia="Cambria" w:hAnsi="Cambria" w:cs="Cambria"/>
      <w:color w:val="000000"/>
      <w:sz w:val="20"/>
    </w:rPr>
  </w:style>
  <w:style w:type="paragraph" w:styleId="Heading1">
    <w:name w:val="heading 1"/>
    <w:next w:val="Normal"/>
    <w:link w:val="Heading1Char"/>
    <w:uiPriority w:val="9"/>
    <w:qFormat/>
    <w:pPr>
      <w:keepNext/>
      <w:keepLines/>
      <w:numPr>
        <w:numId w:val="2"/>
      </w:numPr>
      <w:spacing w:after="85"/>
      <w:ind w:left="10" w:hanging="10"/>
      <w:outlineLvl w:val="0"/>
    </w:pPr>
    <w:rPr>
      <w:rFonts w:ascii="Cambria" w:eastAsia="Cambria" w:hAnsi="Cambria" w:cs="Cambria"/>
      <w:b/>
      <w:color w:val="000000"/>
      <w:sz w:val="29"/>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mbria" w:eastAsia="Cambria" w:hAnsi="Cambria" w:cs="Cambria"/>
      <w:b/>
      <w:color w:val="000000"/>
      <w:sz w:val="29"/>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6703C3"/>
    <w:rPr>
      <w:color w:val="0000FF"/>
      <w:u w:val="single"/>
    </w:rPr>
  </w:style>
  <w:style w:type="character" w:styleId="PlaceholderText">
    <w:name w:val="Placeholder Text"/>
    <w:basedOn w:val="DefaultParagraphFont"/>
    <w:uiPriority w:val="99"/>
    <w:semiHidden/>
    <w:rsid w:val="008147C1"/>
    <w:rPr>
      <w:color w:val="808080"/>
    </w:rPr>
  </w:style>
  <w:style w:type="paragraph" w:customStyle="1" w:styleId="figurecaption">
    <w:name w:val="figurecaption"/>
    <w:basedOn w:val="Normal"/>
    <w:next w:val="Normal"/>
    <w:rsid w:val="003554C4"/>
    <w:pPr>
      <w:keepLines/>
      <w:overflowPunct w:val="0"/>
      <w:autoSpaceDE w:val="0"/>
      <w:autoSpaceDN w:val="0"/>
      <w:adjustRightInd w:val="0"/>
      <w:spacing w:before="120" w:after="240" w:line="220" w:lineRule="atLeast"/>
      <w:ind w:firstLine="0"/>
      <w:jc w:val="center"/>
      <w:textAlignment w:val="baseline"/>
    </w:pPr>
    <w:rPr>
      <w:rFonts w:ascii="Times New Roman" w:eastAsia="Times New Roman" w:hAnsi="Times New Roman" w:cs="Times New Roman"/>
      <w:color w:val="auto"/>
      <w:sz w:val="18"/>
      <w:szCs w:val="20"/>
    </w:rPr>
  </w:style>
  <w:style w:type="paragraph" w:customStyle="1" w:styleId="Default">
    <w:name w:val="Default"/>
    <w:rsid w:val="003554C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heading10">
    <w:name w:val="heading1"/>
    <w:basedOn w:val="Normal"/>
    <w:next w:val="p1a"/>
    <w:qFormat/>
    <w:rsid w:val="003554C4"/>
    <w:pPr>
      <w:keepNext/>
      <w:keepLines/>
      <w:numPr>
        <w:numId w:val="3"/>
      </w:numPr>
      <w:suppressAutoHyphens/>
      <w:overflowPunct w:val="0"/>
      <w:autoSpaceDE w:val="0"/>
      <w:autoSpaceDN w:val="0"/>
      <w:adjustRightInd w:val="0"/>
      <w:spacing w:before="360" w:after="240" w:line="300" w:lineRule="atLeast"/>
      <w:jc w:val="left"/>
      <w:textAlignment w:val="baseline"/>
      <w:outlineLvl w:val="0"/>
    </w:pPr>
    <w:rPr>
      <w:rFonts w:ascii="Times New Roman" w:eastAsia="Times New Roman" w:hAnsi="Times New Roman" w:cs="Times New Roman"/>
      <w:b/>
      <w:color w:val="auto"/>
      <w:sz w:val="24"/>
      <w:szCs w:val="20"/>
    </w:rPr>
  </w:style>
  <w:style w:type="paragraph" w:customStyle="1" w:styleId="heading2">
    <w:name w:val="heading2"/>
    <w:basedOn w:val="Normal"/>
    <w:next w:val="p1a"/>
    <w:qFormat/>
    <w:rsid w:val="003554C4"/>
    <w:pPr>
      <w:keepNext/>
      <w:keepLines/>
      <w:numPr>
        <w:ilvl w:val="1"/>
        <w:numId w:val="3"/>
      </w:numPr>
      <w:suppressAutoHyphens/>
      <w:overflowPunct w:val="0"/>
      <w:autoSpaceDE w:val="0"/>
      <w:autoSpaceDN w:val="0"/>
      <w:adjustRightInd w:val="0"/>
      <w:spacing w:before="360" w:after="160" w:line="240" w:lineRule="atLeast"/>
      <w:jc w:val="left"/>
      <w:textAlignment w:val="baseline"/>
      <w:outlineLvl w:val="1"/>
    </w:pPr>
    <w:rPr>
      <w:rFonts w:ascii="Times New Roman" w:eastAsia="Times New Roman" w:hAnsi="Times New Roman" w:cs="Times New Roman"/>
      <w:b/>
      <w:color w:val="auto"/>
      <w:szCs w:val="20"/>
    </w:rPr>
  </w:style>
  <w:style w:type="numbering" w:customStyle="1" w:styleId="headings">
    <w:name w:val="headings"/>
    <w:basedOn w:val="NoList"/>
    <w:rsid w:val="003554C4"/>
    <w:pPr>
      <w:numPr>
        <w:numId w:val="3"/>
      </w:numPr>
    </w:pPr>
  </w:style>
  <w:style w:type="paragraph" w:customStyle="1" w:styleId="p1a">
    <w:name w:val="p1a"/>
    <w:basedOn w:val="Normal"/>
    <w:next w:val="Normal"/>
    <w:rsid w:val="003554C4"/>
    <w:pPr>
      <w:overflowPunct w:val="0"/>
      <w:autoSpaceDE w:val="0"/>
      <w:autoSpaceDN w:val="0"/>
      <w:adjustRightInd w:val="0"/>
      <w:spacing w:after="0" w:line="240" w:lineRule="atLeast"/>
      <w:ind w:firstLine="0"/>
      <w:textAlignment w:val="baseline"/>
    </w:pPr>
    <w:rPr>
      <w:rFonts w:ascii="Times New Roman" w:eastAsia="Times New Roman" w:hAnsi="Times New Roman" w:cs="Times New Roman"/>
      <w:color w:val="auto"/>
      <w:szCs w:val="20"/>
    </w:rPr>
  </w:style>
  <w:style w:type="paragraph" w:customStyle="1" w:styleId="References">
    <w:name w:val="References"/>
    <w:basedOn w:val="Normal"/>
    <w:rsid w:val="00D7347D"/>
    <w:pPr>
      <w:numPr>
        <w:numId w:val="9"/>
      </w:numPr>
      <w:spacing w:after="0" w:line="240" w:lineRule="auto"/>
    </w:pPr>
    <w:rPr>
      <w:rFonts w:ascii="Times New Roman" w:eastAsia="MS Mincho" w:hAnsi="Times New Roman" w:cs="Times New Roman"/>
      <w:color w:val="auto"/>
      <w:sz w:val="16"/>
      <w:szCs w:val="16"/>
    </w:rPr>
  </w:style>
  <w:style w:type="paragraph" w:customStyle="1" w:styleId="PARAIndent">
    <w:name w:val="PARA_Indent"/>
    <w:basedOn w:val="Normal"/>
    <w:link w:val="PARAIndentChar"/>
    <w:rsid w:val="008A007F"/>
    <w:pPr>
      <w:widowControl w:val="0"/>
      <w:spacing w:after="0" w:line="240" w:lineRule="auto"/>
      <w:ind w:firstLine="202"/>
    </w:pPr>
    <w:rPr>
      <w:rFonts w:ascii="Times" w:eastAsia="MS Mincho" w:hAnsi="Times" w:cs="Times New Roman"/>
      <w:color w:val="auto"/>
      <w:szCs w:val="20"/>
    </w:rPr>
  </w:style>
  <w:style w:type="character" w:customStyle="1" w:styleId="PARAIndentChar">
    <w:name w:val="PARA_Indent Char"/>
    <w:link w:val="PARAIndent"/>
    <w:rsid w:val="008A007F"/>
    <w:rPr>
      <w:rFonts w:ascii="Times" w:eastAsia="MS Mincho" w:hAnsi="Times" w:cs="Times New Roman"/>
      <w:sz w:val="20"/>
      <w:szCs w:val="20"/>
    </w:rPr>
  </w:style>
  <w:style w:type="paragraph" w:styleId="Revision">
    <w:name w:val="Revision"/>
    <w:hidden/>
    <w:uiPriority w:val="99"/>
    <w:semiHidden/>
    <w:rsid w:val="0058263C"/>
    <w:pPr>
      <w:spacing w:after="0" w:line="240" w:lineRule="auto"/>
    </w:pPr>
    <w:rPr>
      <w:rFonts w:ascii="Cambria" w:eastAsia="Cambria" w:hAnsi="Cambria" w:cs="Cambria"/>
      <w:color w:val="000000"/>
      <w:sz w:val="20"/>
    </w:rPr>
  </w:style>
  <w:style w:type="paragraph" w:styleId="NormalWeb">
    <w:name w:val="Normal (Web)"/>
    <w:basedOn w:val="Normal"/>
    <w:uiPriority w:val="99"/>
    <w:semiHidden/>
    <w:unhideWhenUsed/>
    <w:rsid w:val="002938D8"/>
    <w:pPr>
      <w:spacing w:before="100" w:beforeAutospacing="1" w:after="100" w:afterAutospacing="1" w:line="240" w:lineRule="auto"/>
      <w:ind w:firstLine="0"/>
      <w:jc w:val="left"/>
    </w:pPr>
    <w:rPr>
      <w:rFonts w:ascii="Times New Roman" w:eastAsia="Times New Roman" w:hAnsi="Times New Roman" w:cs="Times New Roman"/>
      <w:color w:val="auto"/>
      <w:sz w:val="24"/>
      <w:szCs w:val="24"/>
      <w:lang w:bidi="bn-IN"/>
    </w:rPr>
  </w:style>
  <w:style w:type="character" w:styleId="UnresolvedMention">
    <w:name w:val="Unresolved Mention"/>
    <w:basedOn w:val="DefaultParagraphFont"/>
    <w:uiPriority w:val="99"/>
    <w:semiHidden/>
    <w:unhideWhenUsed/>
    <w:rsid w:val="00BD34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72631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A982BD8-CDD4-4B55-B497-4BFF942BE361}">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BFABC3-9C7F-460F-AE4F-A1FE2A9CE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2052</Words>
  <Characters>11222</Characters>
  <Application>Microsoft Office Word</Application>
  <DocSecurity>0</DocSecurity>
  <Lines>236</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Ekaterina Ponizovskaya-Devine</dc:creator>
  <cp:keywords/>
  <dc:description/>
  <cp:lastModifiedBy>Kat Ponizovskaya Devine</cp:lastModifiedBy>
  <cp:revision>3</cp:revision>
  <cp:lastPrinted>2025-07-04T00:41:00Z</cp:lastPrinted>
  <dcterms:created xsi:type="dcterms:W3CDTF">2025-07-04T00:19:00Z</dcterms:created>
  <dcterms:modified xsi:type="dcterms:W3CDTF">2025-07-04T00:41:00Z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GrammarlyDocumentId">
    <vt:lpwstr>802950dc218289a35c8676d25c72999a0b9f17e70ae38bb94aee0549a8b279bd</vt:lpwstr>
  </property>
</Properties>
</file>