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DFC89C6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  <w:r w:rsidR="00EB51EF">
              <w:rPr>
                <w:szCs w:val="24"/>
              </w:rPr>
              <w:t xml:space="preserve"> (Page- 1)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67DF5FF6" w:rsidR="00C9152A" w:rsidRPr="00A95D8C" w:rsidRDefault="00CA215D" w:rsidP="00CA215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30D7240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2-3</w:t>
            </w:r>
            <w:r w:rsidR="00EB51E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7502663D" w:rsidR="00C9152A" w:rsidRPr="00A95D8C" w:rsidRDefault="00A27D36" w:rsidP="00A27D3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7DB708CB" w14:textId="6CD604DB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3</w:t>
            </w:r>
            <w:r w:rsidR="00EB51EF">
              <w:rPr>
                <w:szCs w:val="24"/>
              </w:rPr>
              <w:t>)</w:t>
            </w:r>
          </w:p>
          <w:p w14:paraId="6E5033AB" w14:textId="77777777" w:rsidR="00EB51EF" w:rsidRPr="00A95D8C" w:rsidRDefault="00EB51EF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78192938" w:rsidR="00C9152A" w:rsidRPr="00A95D8C" w:rsidRDefault="00A27D36" w:rsidP="00A27D3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3A67D829" w14:textId="23B35E20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7-10</w:t>
            </w:r>
            <w:r w:rsidR="00EB51EF">
              <w:rPr>
                <w:szCs w:val="24"/>
              </w:rPr>
              <w:t>)</w:t>
            </w:r>
          </w:p>
          <w:p w14:paraId="643072E4" w14:textId="77777777" w:rsidR="00EB51EF" w:rsidRPr="00A95D8C" w:rsidRDefault="00EB51EF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719E5223" w:rsidR="00C9152A" w:rsidRPr="00A95D8C" w:rsidRDefault="00EB51EF" w:rsidP="00EB51EF">
            <w:pPr>
              <w:pStyle w:val="TableBody"/>
              <w:tabs>
                <w:tab w:val="left" w:pos="213"/>
                <w:tab w:val="center" w:pos="593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="00A27D36">
              <w:rPr>
                <w:szCs w:val="24"/>
              </w:rPr>
              <w:t>7-10</w:t>
            </w: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288B162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4</w:t>
            </w:r>
            <w:r w:rsidR="00EB51E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36EF0D" w14:textId="77777777" w:rsidR="00A27D36" w:rsidRDefault="00A27D36" w:rsidP="00A27D3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31BD024F" w14:textId="047D8258" w:rsidR="00A27D36" w:rsidRPr="00A95D8C" w:rsidRDefault="00A27D36" w:rsidP="00A27D3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49DB7C1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4</w:t>
            </w:r>
            <w:r w:rsidR="00EB51E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CFA678" w14:textId="77777777" w:rsidR="00EB51EF" w:rsidRDefault="00EB51EF" w:rsidP="00EB51E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FA1C9C5" w14:textId="0B3A68B5" w:rsidR="00C9152A" w:rsidRPr="00A95D8C" w:rsidRDefault="00EB51EF" w:rsidP="00EB51E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11EFACC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4</w:t>
            </w:r>
            <w:r w:rsidR="00EB51E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32C3744E" w:rsidR="00C9152A" w:rsidRPr="00A95D8C" w:rsidRDefault="00EB51EF" w:rsidP="00EB51E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1FFBA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5</w:t>
            </w:r>
            <w:r w:rsidR="00EB51E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2813284B" w:rsidR="00C9152A" w:rsidRPr="00A95D8C" w:rsidRDefault="00EB51EF" w:rsidP="00EB51E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082C5706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  <w:r w:rsidR="00EB51EF">
              <w:rPr>
                <w:szCs w:val="24"/>
              </w:rPr>
              <w:t xml:space="preserve"> </w:t>
            </w:r>
            <w:r w:rsidR="00EB51EF">
              <w:rPr>
                <w:szCs w:val="24"/>
              </w:rPr>
              <w:t xml:space="preserve">(Page- </w:t>
            </w:r>
            <w:r w:rsidR="00EB51EF">
              <w:rPr>
                <w:szCs w:val="24"/>
              </w:rPr>
              <w:t>6</w:t>
            </w:r>
            <w:r w:rsidR="00EB51EF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01FD980C" w:rsidR="00C9152A" w:rsidRPr="00A95D8C" w:rsidRDefault="00EB51EF" w:rsidP="00EB51E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69929F6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  <w:r w:rsidR="00D4602C">
              <w:rPr>
                <w:szCs w:val="24"/>
              </w:rPr>
              <w:t xml:space="preserve"> </w:t>
            </w:r>
            <w:r w:rsidR="00D4602C">
              <w:rPr>
                <w:szCs w:val="24"/>
              </w:rPr>
              <w:t xml:space="preserve">(Page- </w:t>
            </w:r>
            <w:r w:rsidR="00D4602C">
              <w:rPr>
                <w:szCs w:val="24"/>
              </w:rPr>
              <w:t>7-8</w:t>
            </w:r>
            <w:r w:rsidR="00D4602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39096D26" w:rsidR="00C9152A" w:rsidRPr="00A95D8C" w:rsidRDefault="00D4602C" w:rsidP="00D4602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7-8</w:t>
            </w: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3970034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  <w:r w:rsidR="00D4602C">
              <w:rPr>
                <w:szCs w:val="24"/>
              </w:rPr>
              <w:t xml:space="preserve"> </w:t>
            </w:r>
            <w:r w:rsidR="00D4602C">
              <w:rPr>
                <w:szCs w:val="24"/>
              </w:rPr>
              <w:t xml:space="preserve">(Page- </w:t>
            </w:r>
            <w:r w:rsidR="00D4602C">
              <w:rPr>
                <w:szCs w:val="24"/>
              </w:rPr>
              <w:t>8</w:t>
            </w:r>
            <w:r w:rsidR="00D4602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3D5360" w14:textId="77777777" w:rsidR="00D4602C" w:rsidRDefault="00D4602C" w:rsidP="00D4602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83E661F" w14:textId="1F4FB0C6" w:rsidR="00C9152A" w:rsidRPr="00A95D8C" w:rsidRDefault="00D4602C" w:rsidP="00D4602C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254B7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  <w:r w:rsidR="004D43ED">
              <w:rPr>
                <w:szCs w:val="24"/>
              </w:rPr>
              <w:t xml:space="preserve"> (</w:t>
            </w:r>
            <w:r w:rsidR="004D43ED">
              <w:rPr>
                <w:szCs w:val="24"/>
              </w:rPr>
              <w:t>No changes occurred</w:t>
            </w:r>
            <w:r w:rsidR="004D43ED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60318425" w:rsidR="00C9152A" w:rsidRPr="00A95D8C" w:rsidRDefault="004D43ED" w:rsidP="004D43E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changes occurred </w:t>
            </w: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259EC1F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  <w:r w:rsidR="004D43ED">
              <w:rPr>
                <w:szCs w:val="24"/>
              </w:rPr>
              <w:t xml:space="preserve"> </w:t>
            </w:r>
            <w:r w:rsidR="004D43ED">
              <w:rPr>
                <w:szCs w:val="24"/>
              </w:rPr>
              <w:t xml:space="preserve">(Page- </w:t>
            </w:r>
            <w:r w:rsidR="004D43ED">
              <w:rPr>
                <w:szCs w:val="24"/>
              </w:rPr>
              <w:t>7</w:t>
            </w:r>
            <w:r w:rsidR="004D43ED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5684481F" w:rsidR="00C9152A" w:rsidRPr="00A95D8C" w:rsidRDefault="004D43ED" w:rsidP="004D43E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5B118D0D" w:rsidR="00C9152A" w:rsidRPr="00A95D8C" w:rsidRDefault="00C9152A" w:rsidP="004D43ED">
            <w:pPr>
              <w:pStyle w:val="TableBody"/>
              <w:tabs>
                <w:tab w:val="left" w:pos="3933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  <w:r w:rsidR="004D43ED">
              <w:rPr>
                <w:szCs w:val="24"/>
              </w:rPr>
              <w:t xml:space="preserve"> </w:t>
            </w:r>
            <w:r w:rsidR="004D43ED">
              <w:rPr>
                <w:szCs w:val="24"/>
              </w:rPr>
              <w:t>(Page- 7)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3DABCFCC" w:rsidR="00C9152A" w:rsidRPr="00A95D8C" w:rsidRDefault="004D43ED" w:rsidP="004D43ED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5364AE">
              <w:rPr>
                <w:szCs w:val="24"/>
              </w:rPr>
              <w:t>-8</w:t>
            </w: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1B84B89E" w14:textId="77777777" w:rsidR="005364AE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  <w:r w:rsidR="005364AE">
              <w:rPr>
                <w:szCs w:val="24"/>
              </w:rPr>
              <w:t>,</w:t>
            </w:r>
            <w:r w:rsidR="002C1951">
              <w:rPr>
                <w:szCs w:val="24"/>
              </w:rPr>
              <w:t xml:space="preserve"> </w:t>
            </w:r>
          </w:p>
          <w:p w14:paraId="6ED5CF85" w14:textId="582B9875" w:rsidR="00C9152A" w:rsidRPr="00A95D8C" w:rsidRDefault="002C1951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4AAFE6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EC926B9" w14:textId="67B25FEE" w:rsidR="002C1951" w:rsidRPr="00A95D8C" w:rsidRDefault="002C195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25A4F03F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  <w:r w:rsidR="005364AE">
              <w:rPr>
                <w:szCs w:val="24"/>
              </w:rPr>
              <w:t xml:space="preserve"> </w:t>
            </w:r>
            <w:r w:rsidR="005364AE">
              <w:rPr>
                <w:szCs w:val="24"/>
              </w:rPr>
              <w:t>(Page- 7</w:t>
            </w:r>
            <w:r w:rsidR="005364AE">
              <w:rPr>
                <w:szCs w:val="24"/>
              </w:rPr>
              <w:t>-9</w:t>
            </w:r>
            <w:r w:rsidR="005364A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0F12EC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3D4AF78" w14:textId="1E83999E" w:rsidR="005364AE" w:rsidRPr="00A95D8C" w:rsidRDefault="005364AE" w:rsidP="005364A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7-9</w:t>
            </w: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5F8BE4C6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  <w:r w:rsidR="005364AE">
              <w:rPr>
                <w:szCs w:val="24"/>
              </w:rPr>
              <w:t xml:space="preserve"> </w:t>
            </w:r>
            <w:r w:rsidR="005364AE">
              <w:rPr>
                <w:szCs w:val="24"/>
              </w:rPr>
              <w:t xml:space="preserve">(Page- </w:t>
            </w:r>
            <w:r w:rsidR="005364AE">
              <w:rPr>
                <w:szCs w:val="24"/>
              </w:rPr>
              <w:t>9-10</w:t>
            </w:r>
            <w:r w:rsidR="005364A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4E0EB2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F29F099" w14:textId="77777777" w:rsidR="005364AE" w:rsidRDefault="005364A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B2600CD" w14:textId="74658006" w:rsidR="005364AE" w:rsidRPr="00A95D8C" w:rsidRDefault="005364AE" w:rsidP="005364A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9-10</w:t>
            </w: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5B75004F" w:rsidR="00194BEB" w:rsidRPr="00194BEB" w:rsidRDefault="00C9152A" w:rsidP="00194BEB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  <w:r w:rsidR="00D8470E">
              <w:rPr>
                <w:szCs w:val="24"/>
              </w:rPr>
              <w:t xml:space="preserve"> </w:t>
            </w:r>
            <w:r w:rsidR="00D8470E">
              <w:rPr>
                <w:szCs w:val="24"/>
              </w:rPr>
              <w:t xml:space="preserve">(Page- </w:t>
            </w:r>
            <w:r w:rsidR="00D8470E">
              <w:rPr>
                <w:szCs w:val="24"/>
              </w:rPr>
              <w:t>10</w:t>
            </w:r>
            <w:r w:rsidR="00D8470E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6A9CA389" w:rsidR="00C9152A" w:rsidRPr="00A95D8C" w:rsidRDefault="00D8470E" w:rsidP="00D8470E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4FA8B23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  <w:r w:rsidR="00194BEB">
              <w:rPr>
                <w:szCs w:val="24"/>
              </w:rPr>
              <w:t xml:space="preserve"> </w:t>
            </w:r>
            <w:r w:rsidR="00194BEB">
              <w:rPr>
                <w:szCs w:val="24"/>
              </w:rPr>
              <w:t>(Page- 7)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5C8C431" w:rsidR="00C9152A" w:rsidRPr="00A95D8C" w:rsidRDefault="00194BEB" w:rsidP="00194BEB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4554087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  <w:r w:rsidR="00194BEB">
              <w:rPr>
                <w:szCs w:val="24"/>
              </w:rPr>
              <w:t xml:space="preserve"> 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3486D435" w:rsidR="00C9152A" w:rsidRPr="00A95D8C" w:rsidRDefault="00194BEB" w:rsidP="00194BEB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5A425E59" w14:textId="77777777" w:rsidR="003D503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 </w:t>
            </w:r>
          </w:p>
          <w:p w14:paraId="7FFD2902" w14:textId="7C26095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lastRenderedPageBreak/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lastRenderedPageBreak/>
              <w:t>17a</w:t>
            </w:r>
          </w:p>
        </w:tc>
        <w:tc>
          <w:tcPr>
            <w:tcW w:w="10348" w:type="dxa"/>
          </w:tcPr>
          <w:p w14:paraId="62859E28" w14:textId="1616889F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Who generated the random allocation </w:t>
            </w:r>
            <w:proofErr w:type="gramStart"/>
            <w:r w:rsidRPr="00A95D8C">
              <w:rPr>
                <w:szCs w:val="24"/>
              </w:rPr>
              <w:t>sequence</w:t>
            </w:r>
            <w:proofErr w:type="gramEnd"/>
            <w:r w:rsidRPr="00A95D8C">
              <w:rPr>
                <w:szCs w:val="24"/>
              </w:rPr>
              <w:t xml:space="preserve"> and the method used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(Page- 7)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983FEF8" w:rsidR="00C9152A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600725BD" w:rsidR="003D5034" w:rsidRPr="00214F24" w:rsidRDefault="00C9152A" w:rsidP="003D503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(Page- 7)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0D3FAEF6" w:rsidR="00C9152A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3D5034" w:rsidRPr="009C6FD6" w14:paraId="3EBDFA55" w14:textId="77777777" w:rsidTr="00DB5D01">
        <w:trPr>
          <w:gridAfter w:val="1"/>
          <w:wAfter w:w="1417" w:type="dxa"/>
          <w:trHeight w:val="86"/>
        </w:trPr>
        <w:tc>
          <w:tcPr>
            <w:tcW w:w="1560" w:type="dxa"/>
          </w:tcPr>
          <w:p w14:paraId="171ECB1E" w14:textId="77777777" w:rsidR="003D5034" w:rsidRPr="009C6FD6" w:rsidRDefault="003D5034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3D5034" w:rsidRPr="009C6FD6" w:rsidRDefault="003D5034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3D5034" w:rsidRPr="00A95D8C" w:rsidRDefault="003D5034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3D5034" w:rsidRPr="00A95D8C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34E899C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(Page- 7)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D7E86F" w14:textId="77777777" w:rsidR="003D5034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6EE878D1" w14:textId="269AAB38" w:rsidR="00C9152A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6BE1B526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(Page- 7)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D5DAEE" w14:textId="77777777" w:rsidR="003D5034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497BDC7F" w14:textId="16AF0169" w:rsidR="00C9152A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01C444F9" w14:textId="77777777" w:rsidR="003D503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  <w:r w:rsidR="003D5034">
              <w:rPr>
                <w:szCs w:val="24"/>
              </w:rPr>
              <w:t xml:space="preserve"> </w:t>
            </w:r>
          </w:p>
          <w:p w14:paraId="4144D396" w14:textId="1D6689E1" w:rsidR="00C9152A" w:rsidRPr="00A95D8C" w:rsidRDefault="003D5034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</w:rPr>
              <w:t>Not applicable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9503D9" w14:textId="77777777" w:rsidR="003D5034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7948DC72" w14:textId="6EB096C5" w:rsidR="00C9152A" w:rsidRPr="00A95D8C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1F417C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  <w:r w:rsidR="003D5034">
              <w:rPr>
                <w:szCs w:val="24"/>
              </w:rPr>
              <w:t xml:space="preserve"> (</w:t>
            </w:r>
            <w:r w:rsidR="003D5034">
              <w:rPr>
                <w:szCs w:val="24"/>
              </w:rPr>
              <w:t>Not applicable</w:t>
            </w:r>
            <w:r w:rsidR="003D5034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68DE36A3" w:rsidR="00C9152A" w:rsidRPr="00A95D8C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3A1D6BC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  <w:r w:rsidR="003D5034">
              <w:rPr>
                <w:szCs w:val="24"/>
              </w:rPr>
              <w:t xml:space="preserve"> (Page- 10)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1F5FB934" w:rsidR="00C9152A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54ED653F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(Page- 10)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5FBAC26F" w:rsidR="00C9152A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Page- 10</w:t>
            </w: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18B1ACB4" w:rsidR="003D5034" w:rsidRPr="003D5034" w:rsidRDefault="00C9152A" w:rsidP="003D5034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>How missing data were handled in the analysis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5B5E6BAB" w:rsidR="00C9152A" w:rsidRPr="00A95D8C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4310F67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1B9580" w14:textId="77777777" w:rsidR="003D5034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004556C9" w14:textId="3D1051B6" w:rsidR="00C9152A" w:rsidRPr="00A95D8C" w:rsidRDefault="003D503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6B46E3A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  <w:r w:rsidR="003D5034">
              <w:rPr>
                <w:szCs w:val="24"/>
              </w:rPr>
              <w:t xml:space="preserve"> (Page- 11)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B1A564" w14:textId="77777777" w:rsidR="003D5034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2FFCD9F" w14:textId="3ACEE19A" w:rsidR="00D86B53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227B093B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>(Page- 11)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13D78E98" w:rsidR="003D5034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1512E6C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  <w:r w:rsidR="003D5034">
              <w:rPr>
                <w:szCs w:val="24"/>
              </w:rPr>
              <w:t xml:space="preserve"> </w:t>
            </w:r>
            <w:r w:rsidR="003D5034">
              <w:rPr>
                <w:szCs w:val="24"/>
              </w:rPr>
              <w:t xml:space="preserve">(Page- </w:t>
            </w:r>
            <w:r w:rsidR="003D5034">
              <w:rPr>
                <w:szCs w:val="24"/>
              </w:rPr>
              <w:t xml:space="preserve">7, </w:t>
            </w:r>
            <w:r w:rsidR="003D5034" w:rsidRPr="00FB615F">
              <w:rPr>
                <w:szCs w:val="24"/>
                <w:highlight w:val="yellow"/>
              </w:rPr>
              <w:t>Note: it was one day</w:t>
            </w:r>
            <w:r w:rsidR="003D5034">
              <w:rPr>
                <w:szCs w:val="24"/>
              </w:rPr>
              <w:t xml:space="preserve"> </w:t>
            </w:r>
            <w:r w:rsidR="003D5034" w:rsidRPr="00FB615F">
              <w:rPr>
                <w:szCs w:val="24"/>
                <w:highlight w:val="yellow"/>
              </w:rPr>
              <w:t>study in simulation lab</w:t>
            </w:r>
            <w:r w:rsidR="003D5034" w:rsidRPr="00FB615F">
              <w:rPr>
                <w:szCs w:val="24"/>
                <w:highlight w:val="yellow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C740460" w:rsidR="00D86B53" w:rsidRPr="00A95D8C" w:rsidRDefault="003D5034" w:rsidP="003D5034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012409F8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  <w:r w:rsidR="003D5034">
              <w:rPr>
                <w:szCs w:val="24"/>
              </w:rPr>
              <w:t xml:space="preserve"> 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AFDF515" w:rsidR="00D86B53" w:rsidRPr="00A95D8C" w:rsidRDefault="003D503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A5E1F0A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Intervention and comparator as they were </w:t>
            </w:r>
            <w:proofErr w:type="gramStart"/>
            <w:r w:rsidRPr="00A95D8C">
              <w:rPr>
                <w:szCs w:val="24"/>
              </w:rPr>
              <w:t>actually administered</w:t>
            </w:r>
            <w:proofErr w:type="gramEnd"/>
            <w:r w:rsidRPr="00A95D8C">
              <w:rPr>
                <w:szCs w:val="24"/>
              </w:rPr>
              <w:t xml:space="preserve">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="00FB615F">
              <w:rPr>
                <w:szCs w:val="24"/>
              </w:rPr>
              <w:t xml:space="preserve"> (Page 9-10)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4D155F" w14:textId="77777777" w:rsidR="00FB615F" w:rsidRDefault="00FB615F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1FBEF8CA" w14:textId="743729D7" w:rsidR="00D86B53" w:rsidRPr="00A95D8C" w:rsidRDefault="00FB615F" w:rsidP="00FB615F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9-10</w:t>
            </w: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0CF6C603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  <w:r w:rsidR="00E10FE6">
              <w:rPr>
                <w:szCs w:val="24"/>
              </w:rPr>
              <w:t xml:space="preserve"> 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06C96582" w:rsidR="00D86B53" w:rsidRPr="00A95D8C" w:rsidRDefault="00E10FE6" w:rsidP="00E10FE6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6A8A4AB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  <w:r w:rsidR="00E10FE6">
              <w:rPr>
                <w:szCs w:val="24"/>
              </w:rPr>
              <w:t xml:space="preserve"> (Page- 12)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852436" w14:textId="77777777" w:rsidR="00E10FE6" w:rsidRDefault="00E10FE6" w:rsidP="00E10FE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BB76108" w14:textId="77777777" w:rsidR="00E10FE6" w:rsidRDefault="00E10FE6" w:rsidP="00E10FE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DF81188" w14:textId="4ECAF8CB" w:rsidR="00D86B53" w:rsidRDefault="00E10FE6" w:rsidP="00E10FE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0CF445CE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  <w:r w:rsidR="00E10FE6">
              <w:rPr>
                <w:szCs w:val="24"/>
              </w:rPr>
              <w:t xml:space="preserve"> (Not applicable)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5CB8E7D1" w:rsidR="00D86B53" w:rsidRPr="00A95D8C" w:rsidRDefault="00E10FE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845DA1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  <w:r w:rsidR="00E10FE6">
              <w:rPr>
                <w:szCs w:val="24"/>
              </w:rPr>
              <w:t xml:space="preserve"> (Not applicable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B6DF6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  <w:p w14:paraId="236F0E9A" w14:textId="4ADA13EE" w:rsidR="00E10FE6" w:rsidRPr="00A95D8C" w:rsidRDefault="00E10FE6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1CB71D3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  <w:r w:rsidR="00E10FE6">
              <w:rPr>
                <w:szCs w:val="24"/>
              </w:rPr>
              <w:t xml:space="preserve"> (Page 11-14)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498987EB" w:rsidR="00D86B53" w:rsidRPr="00A95D8C" w:rsidRDefault="00E10FE6" w:rsidP="00E10FE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11-14</w:t>
            </w: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1D46CED3" w:rsidR="00D86B53" w:rsidRPr="00A95D8C" w:rsidRDefault="00E10FE6" w:rsidP="00E10FE6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10" w:history="1">
        <w:r w:rsidR="006113B4" w:rsidRPr="001D66E4">
          <w:rPr>
            <w:rStyle w:val="Hyperlink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</w:r>
      <w:r w:rsidRPr="001D66E4">
        <w:rPr>
          <w:rFonts w:ascii="Arial" w:hAnsi="Arial" w:cs="Arial"/>
          <w:sz w:val="18"/>
          <w:szCs w:val="18"/>
        </w:rPr>
        <w:lastRenderedPageBreak/>
        <w:t>© 2025 Hopewell et al. This is an Open Access article distributed under the terms of the Creative Commons Attribution License (</w:t>
      </w:r>
      <w:hyperlink r:id="rId11" w:history="1">
        <w:r w:rsidRPr="001D66E4">
          <w:rPr>
            <w:rStyle w:val="Hyperlink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2" w:history="1">
        <w:r w:rsidR="00F3689F" w:rsidRPr="001D66E4">
          <w:rPr>
            <w:rStyle w:val="Hyperlink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7DFB" w14:textId="77777777" w:rsidR="008C0CA6" w:rsidRDefault="008C0CA6" w:rsidP="003D5034">
      <w:pPr>
        <w:spacing w:after="0" w:line="240" w:lineRule="auto"/>
      </w:pPr>
      <w:r>
        <w:separator/>
      </w:r>
    </w:p>
  </w:endnote>
  <w:endnote w:type="continuationSeparator" w:id="0">
    <w:p w14:paraId="1ED91BFE" w14:textId="77777777" w:rsidR="008C0CA6" w:rsidRDefault="008C0CA6" w:rsidP="003D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D425" w14:textId="77777777" w:rsidR="008C0CA6" w:rsidRDefault="008C0CA6" w:rsidP="003D5034">
      <w:pPr>
        <w:spacing w:after="0" w:line="240" w:lineRule="auto"/>
      </w:pPr>
      <w:r>
        <w:separator/>
      </w:r>
    </w:p>
  </w:footnote>
  <w:footnote w:type="continuationSeparator" w:id="0">
    <w:p w14:paraId="3C89D192" w14:textId="77777777" w:rsidR="008C0CA6" w:rsidRDefault="008C0CA6" w:rsidP="003D5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94BEB"/>
    <w:rsid w:val="001D66E4"/>
    <w:rsid w:val="002C1951"/>
    <w:rsid w:val="00363ABD"/>
    <w:rsid w:val="003734CC"/>
    <w:rsid w:val="003D5034"/>
    <w:rsid w:val="004D43ED"/>
    <w:rsid w:val="005364AE"/>
    <w:rsid w:val="006113B4"/>
    <w:rsid w:val="00715DC2"/>
    <w:rsid w:val="00717D29"/>
    <w:rsid w:val="0072231A"/>
    <w:rsid w:val="0076583E"/>
    <w:rsid w:val="007D4228"/>
    <w:rsid w:val="008C0CA6"/>
    <w:rsid w:val="00A27D36"/>
    <w:rsid w:val="00C9152A"/>
    <w:rsid w:val="00CA215D"/>
    <w:rsid w:val="00CF759C"/>
    <w:rsid w:val="00D4602C"/>
    <w:rsid w:val="00D8470E"/>
    <w:rsid w:val="00D86B53"/>
    <w:rsid w:val="00DB5D01"/>
    <w:rsid w:val="00E10FE6"/>
    <w:rsid w:val="00E72327"/>
    <w:rsid w:val="00EB51EF"/>
    <w:rsid w:val="00F3689F"/>
    <w:rsid w:val="00FB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DefaultParagraphFon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rsid w:val="00DB5D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034"/>
  </w:style>
  <w:style w:type="paragraph" w:styleId="Footer">
    <w:name w:val="footer"/>
    <w:basedOn w:val="Normal"/>
    <w:link w:val="FooterChar"/>
    <w:uiPriority w:val="99"/>
    <w:unhideWhenUsed/>
    <w:rsid w:val="003D5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ort-spirit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/4.0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x.doi.org/10.1136/bmj-2024-08112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dileep kumar</cp:lastModifiedBy>
  <cp:revision>14</cp:revision>
  <cp:lastPrinted>2025-07-16T14:42:00Z</cp:lastPrinted>
  <dcterms:created xsi:type="dcterms:W3CDTF">2025-07-16T13:44:00Z</dcterms:created>
  <dcterms:modified xsi:type="dcterms:W3CDTF">2025-07-16T14:47:00Z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