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63F0AB" w14:textId="5BBCE804" w:rsidR="0061456E" w:rsidRPr="00AA0240" w:rsidRDefault="0061456E" w:rsidP="0061456E">
      <w:pPr>
        <w:spacing w:line="360" w:lineRule="auto"/>
        <w:rPr>
          <w:rFonts w:ascii="Arial" w:hAnsi="Arial" w:cs="Arial"/>
          <w:b/>
          <w:bCs/>
          <w:sz w:val="24"/>
          <w:szCs w:val="24"/>
        </w:rPr>
      </w:pPr>
      <w:r w:rsidRPr="00AA0240">
        <w:rPr>
          <w:rFonts w:ascii="Arial" w:hAnsi="Arial" w:cs="Arial"/>
          <w:b/>
          <w:bCs/>
          <w:sz w:val="24"/>
          <w:szCs w:val="24"/>
        </w:rPr>
        <w:t>Supplementary data</w:t>
      </w:r>
    </w:p>
    <w:p w14:paraId="7614A0F7" w14:textId="480656C6" w:rsidR="0061456E" w:rsidRPr="00AA0240" w:rsidRDefault="0061456E" w:rsidP="0061456E">
      <w:pPr>
        <w:spacing w:line="360" w:lineRule="auto"/>
        <w:rPr>
          <w:rFonts w:ascii="Arial" w:hAnsi="Arial" w:cs="Arial"/>
          <w:sz w:val="24"/>
          <w:szCs w:val="24"/>
        </w:rPr>
      </w:pPr>
      <w:r w:rsidRPr="00AA0240">
        <w:rPr>
          <w:rFonts w:ascii="Arial" w:hAnsi="Arial" w:cs="Arial"/>
          <w:b/>
          <w:bCs/>
          <w:sz w:val="24"/>
          <w:szCs w:val="24"/>
        </w:rPr>
        <w:t>Supplementary Figure 1: Isolation of LGG from yogurt.</w:t>
      </w:r>
      <w:r w:rsidRPr="00AA0240">
        <w:rPr>
          <w:rFonts w:ascii="Arial" w:hAnsi="Arial" w:cs="Arial"/>
          <w:sz w:val="24"/>
          <w:szCs w:val="24"/>
        </w:rPr>
        <w:t xml:space="preserve"> (</w:t>
      </w:r>
      <w:r w:rsidRPr="00AA0240">
        <w:rPr>
          <w:rFonts w:ascii="Arial" w:hAnsi="Arial" w:cs="Arial"/>
          <w:b/>
          <w:bCs/>
          <w:sz w:val="24"/>
          <w:szCs w:val="24"/>
        </w:rPr>
        <w:t>A</w:t>
      </w:r>
      <w:r w:rsidRPr="00AA0240">
        <w:rPr>
          <w:rFonts w:ascii="Arial" w:hAnsi="Arial" w:cs="Arial"/>
          <w:sz w:val="24"/>
          <w:szCs w:val="24"/>
        </w:rPr>
        <w:t xml:space="preserve">) </w:t>
      </w:r>
      <w:r w:rsidR="00804424" w:rsidRPr="00AA0240">
        <w:rPr>
          <w:rFonts w:ascii="Arial" w:hAnsi="Arial" w:cs="Arial"/>
          <w:sz w:val="24"/>
          <w:szCs w:val="24"/>
        </w:rPr>
        <w:t>R</w:t>
      </w:r>
      <w:r w:rsidRPr="00AA0240">
        <w:rPr>
          <w:rFonts w:ascii="Arial" w:hAnsi="Arial" w:cs="Arial"/>
          <w:sz w:val="24"/>
          <w:szCs w:val="24"/>
        </w:rPr>
        <w:t xml:space="preserve">epresentative visualization of </w:t>
      </w:r>
      <w:r w:rsidRPr="00AA0240">
        <w:rPr>
          <w:rFonts w:ascii="Arial" w:hAnsi="Arial" w:cs="Arial"/>
          <w:b/>
          <w:bCs/>
          <w:sz w:val="24"/>
          <w:szCs w:val="24"/>
        </w:rPr>
        <w:t>LGG</w:t>
      </w:r>
      <w:r w:rsidRPr="00AA0240">
        <w:rPr>
          <w:rFonts w:ascii="Arial" w:hAnsi="Arial" w:cs="Arial"/>
          <w:sz w:val="24"/>
          <w:szCs w:val="24"/>
        </w:rPr>
        <w:t xml:space="preserve"> isolated from yogurt using phase</w:t>
      </w:r>
      <w:r w:rsidR="007251F0" w:rsidRPr="00AA0240">
        <w:rPr>
          <w:rFonts w:ascii="Arial" w:hAnsi="Arial" w:cs="Arial"/>
          <w:sz w:val="24"/>
          <w:szCs w:val="24"/>
        </w:rPr>
        <w:t>-</w:t>
      </w:r>
      <w:r w:rsidRPr="00AA0240">
        <w:rPr>
          <w:rFonts w:ascii="Arial" w:hAnsi="Arial" w:cs="Arial"/>
          <w:sz w:val="24"/>
          <w:szCs w:val="24"/>
        </w:rPr>
        <w:t>contrast microscopy (400x magnification). (</w:t>
      </w:r>
      <w:r w:rsidRPr="00AA0240">
        <w:rPr>
          <w:rFonts w:ascii="Arial" w:hAnsi="Arial" w:cs="Arial"/>
          <w:b/>
          <w:bCs/>
          <w:sz w:val="24"/>
          <w:szCs w:val="24"/>
        </w:rPr>
        <w:t>B</w:t>
      </w:r>
      <w:r w:rsidRPr="00AA0240">
        <w:rPr>
          <w:rFonts w:ascii="Arial" w:hAnsi="Arial" w:cs="Arial"/>
          <w:sz w:val="24"/>
          <w:szCs w:val="24"/>
        </w:rPr>
        <w:t xml:space="preserve">) Growth of </w:t>
      </w:r>
      <w:r w:rsidRPr="00AA0240">
        <w:rPr>
          <w:rFonts w:ascii="Arial" w:hAnsi="Arial" w:cs="Arial"/>
          <w:b/>
          <w:bCs/>
          <w:sz w:val="24"/>
          <w:szCs w:val="24"/>
        </w:rPr>
        <w:t>LGG</w:t>
      </w:r>
      <w:r w:rsidRPr="00AA0240" w:rsidDel="006C7633">
        <w:rPr>
          <w:rFonts w:ascii="Arial" w:hAnsi="Arial" w:cs="Arial"/>
          <w:i/>
          <w:iCs/>
          <w:sz w:val="24"/>
          <w:szCs w:val="24"/>
        </w:rPr>
        <w:t xml:space="preserve"> </w:t>
      </w:r>
      <w:r w:rsidRPr="00AA0240">
        <w:rPr>
          <w:rFonts w:ascii="Arial" w:hAnsi="Arial" w:cs="Arial"/>
          <w:sz w:val="24"/>
          <w:szCs w:val="24"/>
        </w:rPr>
        <w:t>isolated from yogurt on MRS agar plates.</w:t>
      </w:r>
    </w:p>
    <w:p w14:paraId="10702390" w14:textId="77777777" w:rsidR="0061456E" w:rsidRPr="00AA0240" w:rsidRDefault="0061456E" w:rsidP="0061456E">
      <w:pPr>
        <w:spacing w:line="360" w:lineRule="auto"/>
        <w:rPr>
          <w:rFonts w:ascii="Arial" w:hAnsi="Arial" w:cs="Arial"/>
          <w:sz w:val="24"/>
          <w:szCs w:val="24"/>
        </w:rPr>
      </w:pPr>
    </w:p>
    <w:p w14:paraId="5B5EE4D0" w14:textId="2710560B" w:rsidR="0061456E" w:rsidRPr="00AA0240" w:rsidRDefault="0061456E" w:rsidP="0061456E">
      <w:pPr>
        <w:spacing w:line="360" w:lineRule="auto"/>
        <w:rPr>
          <w:rFonts w:ascii="Arial" w:hAnsi="Arial" w:cs="Arial"/>
          <w:sz w:val="24"/>
          <w:szCs w:val="24"/>
        </w:rPr>
      </w:pPr>
      <w:r w:rsidRPr="00AA0240">
        <w:rPr>
          <w:rFonts w:ascii="Arial" w:hAnsi="Arial" w:cs="Arial"/>
          <w:b/>
          <w:bCs/>
          <w:sz w:val="24"/>
          <w:szCs w:val="24"/>
        </w:rPr>
        <w:t xml:space="preserve">Supplementary Figure 2: Analysis of LGG survival in gastric acid </w:t>
      </w:r>
      <w:r w:rsidRPr="00AA0240">
        <w:rPr>
          <w:rFonts w:ascii="Arial" w:hAnsi="Arial" w:cs="Arial"/>
          <w:b/>
          <w:bCs/>
          <w:i/>
          <w:iCs/>
          <w:sz w:val="24"/>
          <w:szCs w:val="24"/>
        </w:rPr>
        <w:t>in vivo</w:t>
      </w:r>
      <w:r w:rsidRPr="00AA0240">
        <w:rPr>
          <w:rFonts w:ascii="Arial" w:hAnsi="Arial" w:cs="Arial"/>
          <w:b/>
          <w:bCs/>
          <w:sz w:val="24"/>
          <w:szCs w:val="24"/>
        </w:rPr>
        <w:t xml:space="preserve">. </w:t>
      </w:r>
      <w:r w:rsidRPr="00AA0240">
        <w:rPr>
          <w:rFonts w:ascii="Arial" w:hAnsi="Arial" w:cs="Arial"/>
          <w:sz w:val="24"/>
          <w:szCs w:val="24"/>
        </w:rPr>
        <w:t>Fluorescence PKH26-labeled LGG administered to mice with or without fasting. Analysis of fluorescence intensity in feces.</w:t>
      </w:r>
    </w:p>
    <w:p w14:paraId="627CEA09" w14:textId="77777777" w:rsidR="0061456E" w:rsidRPr="00AA0240" w:rsidRDefault="0061456E" w:rsidP="0061456E">
      <w:pPr>
        <w:spacing w:line="360" w:lineRule="auto"/>
        <w:rPr>
          <w:rFonts w:ascii="Arial" w:hAnsi="Arial" w:cs="Arial"/>
          <w:sz w:val="24"/>
          <w:szCs w:val="24"/>
        </w:rPr>
      </w:pPr>
    </w:p>
    <w:p w14:paraId="6D2B3961" w14:textId="57BF99EB" w:rsidR="0061456E" w:rsidRPr="00AA0240" w:rsidRDefault="0061456E" w:rsidP="0061456E">
      <w:pPr>
        <w:spacing w:line="360" w:lineRule="auto"/>
        <w:rPr>
          <w:rFonts w:ascii="Arial" w:hAnsi="Arial" w:cs="Arial"/>
          <w:sz w:val="24"/>
          <w:szCs w:val="24"/>
        </w:rPr>
      </w:pPr>
      <w:r w:rsidRPr="00AA0240">
        <w:rPr>
          <w:rFonts w:ascii="Arial" w:hAnsi="Arial" w:cs="Arial"/>
          <w:b/>
          <w:bCs/>
          <w:sz w:val="24"/>
          <w:szCs w:val="24"/>
        </w:rPr>
        <w:t>Supplementary Figure 3: Formation of biofilm.</w:t>
      </w:r>
      <w:r w:rsidRPr="00AA0240">
        <w:rPr>
          <w:rFonts w:ascii="Arial" w:hAnsi="Arial" w:cs="Arial"/>
          <w:sz w:val="24"/>
          <w:szCs w:val="24"/>
        </w:rPr>
        <w:t xml:space="preserve"> 1.0-20 x 10</w:t>
      </w:r>
      <w:r w:rsidRPr="00AA0240">
        <w:rPr>
          <w:rFonts w:ascii="Arial" w:hAnsi="Arial" w:cs="Arial"/>
          <w:sz w:val="24"/>
          <w:szCs w:val="24"/>
          <w:vertAlign w:val="superscript"/>
        </w:rPr>
        <w:t>6</w:t>
      </w:r>
      <w:r w:rsidRPr="00AA0240">
        <w:rPr>
          <w:rFonts w:ascii="Arial" w:hAnsi="Arial" w:cs="Arial"/>
          <w:sz w:val="24"/>
          <w:szCs w:val="24"/>
        </w:rPr>
        <w:t xml:space="preserve"> of LGG were cultured in 96-well plates in MRS for 24 h in an anaerobic chamber. The biofilm was stained with crystal violet and measured by spectrophotometry at </w:t>
      </w:r>
      <w:r w:rsidR="00C11033" w:rsidRPr="00AA0240">
        <w:rPr>
          <w:rFonts w:ascii="Arial" w:hAnsi="Arial" w:cs="Arial"/>
          <w:sz w:val="24"/>
          <w:szCs w:val="24"/>
        </w:rPr>
        <w:t xml:space="preserve">550 nm </w:t>
      </w:r>
      <w:r w:rsidRPr="00AA0240">
        <w:rPr>
          <w:rFonts w:ascii="Arial" w:hAnsi="Arial" w:cs="Arial"/>
          <w:sz w:val="24"/>
          <w:szCs w:val="24"/>
        </w:rPr>
        <w:t xml:space="preserve">wavelength. The graph represents three independent experiments with each bar as mean ± </w:t>
      </w:r>
      <w:proofErr w:type="gramStart"/>
      <w:r w:rsidRPr="00AA0240">
        <w:rPr>
          <w:rFonts w:ascii="Arial" w:hAnsi="Arial" w:cs="Arial"/>
          <w:sz w:val="24"/>
          <w:szCs w:val="24"/>
        </w:rPr>
        <w:t>SD;</w:t>
      </w:r>
      <w:proofErr w:type="gramEnd"/>
      <w:r w:rsidRPr="00AA0240">
        <w:rPr>
          <w:rFonts w:ascii="Arial" w:hAnsi="Arial" w:cs="Arial"/>
          <w:sz w:val="24"/>
          <w:szCs w:val="24"/>
        </w:rPr>
        <w:t xml:space="preserve"> two-tailed Student’s t-test, *p&lt;0.05, **p&lt;0.01.</w:t>
      </w:r>
    </w:p>
    <w:p w14:paraId="2E451D79" w14:textId="77777777" w:rsidR="0061456E" w:rsidRPr="00AA0240" w:rsidRDefault="0061456E" w:rsidP="0061456E">
      <w:pPr>
        <w:spacing w:line="360" w:lineRule="auto"/>
        <w:rPr>
          <w:rFonts w:ascii="Arial" w:hAnsi="Arial" w:cs="Arial"/>
          <w:sz w:val="24"/>
          <w:szCs w:val="24"/>
        </w:rPr>
      </w:pPr>
    </w:p>
    <w:p w14:paraId="2C887FB4" w14:textId="7E24FF8F" w:rsidR="0061456E" w:rsidRPr="00AA0240" w:rsidRDefault="0061456E" w:rsidP="0061456E">
      <w:pPr>
        <w:spacing w:line="360" w:lineRule="auto"/>
        <w:rPr>
          <w:rFonts w:ascii="Arial" w:hAnsi="Arial" w:cs="Arial"/>
          <w:sz w:val="24"/>
          <w:szCs w:val="24"/>
        </w:rPr>
      </w:pPr>
      <w:r w:rsidRPr="00AA0240">
        <w:rPr>
          <w:rFonts w:ascii="Arial" w:hAnsi="Arial" w:cs="Arial"/>
          <w:b/>
          <w:bCs/>
          <w:sz w:val="24"/>
          <w:szCs w:val="24"/>
        </w:rPr>
        <w:t xml:space="preserve">Supplementary Figure 4: 2-aminoimidazole inhibits biofilm formation by LGG. </w:t>
      </w:r>
      <w:r w:rsidRPr="00AA0240">
        <w:rPr>
          <w:rFonts w:ascii="Arial" w:hAnsi="Arial" w:cs="Arial"/>
          <w:sz w:val="24"/>
          <w:szCs w:val="24"/>
        </w:rPr>
        <w:t>1.0-20 x 10</w:t>
      </w:r>
      <w:r w:rsidRPr="00AA0240">
        <w:rPr>
          <w:rFonts w:ascii="Arial" w:hAnsi="Arial" w:cs="Arial"/>
          <w:sz w:val="24"/>
          <w:szCs w:val="24"/>
          <w:vertAlign w:val="superscript"/>
        </w:rPr>
        <w:t>6</w:t>
      </w:r>
      <w:r w:rsidRPr="00AA0240">
        <w:rPr>
          <w:rFonts w:ascii="Arial" w:hAnsi="Arial" w:cs="Arial"/>
          <w:sz w:val="24"/>
          <w:szCs w:val="24"/>
        </w:rPr>
        <w:t xml:space="preserve"> of LGG were grown in 96-well plates in MRS in an anaerobic chamber. LGG were also grown in the presence of 2-aminoimidazole (10 µM) at 37</w:t>
      </w:r>
      <w:r w:rsidRPr="00AA0240">
        <w:rPr>
          <w:rFonts w:ascii="Arial" w:hAnsi="Arial" w:cs="Arial"/>
          <w:sz w:val="24"/>
          <w:szCs w:val="24"/>
        </w:rPr>
        <w:sym w:font="Symbol" w:char="00B0"/>
      </w:r>
      <w:r w:rsidRPr="00AA0240">
        <w:rPr>
          <w:rFonts w:ascii="Arial" w:hAnsi="Arial" w:cs="Arial"/>
          <w:sz w:val="24"/>
          <w:szCs w:val="24"/>
        </w:rPr>
        <w:t xml:space="preserve">C for 24 h. Biofilm analysis was performed by spectrophotometry at 550 nm (y-axis). The graph represents three independent experiments with each bar as mean ± </w:t>
      </w:r>
      <w:proofErr w:type="gramStart"/>
      <w:r w:rsidRPr="00AA0240">
        <w:rPr>
          <w:rFonts w:ascii="Arial" w:hAnsi="Arial" w:cs="Arial"/>
          <w:sz w:val="24"/>
          <w:szCs w:val="24"/>
        </w:rPr>
        <w:t>SD;</w:t>
      </w:r>
      <w:proofErr w:type="gramEnd"/>
      <w:r w:rsidRPr="00AA0240">
        <w:rPr>
          <w:rFonts w:ascii="Arial" w:hAnsi="Arial" w:cs="Arial"/>
          <w:sz w:val="24"/>
          <w:szCs w:val="24"/>
        </w:rPr>
        <w:t xml:space="preserve"> two-tailed Student’s t-test, *p&lt;0.05, **p&lt;0.01.</w:t>
      </w:r>
    </w:p>
    <w:p w14:paraId="0B97E094" w14:textId="54AC5954" w:rsidR="002F3FD5" w:rsidRPr="00AA0240" w:rsidRDefault="002F3FD5">
      <w:pPr>
        <w:widowControl/>
        <w:spacing w:after="160" w:line="259" w:lineRule="auto"/>
        <w:jc w:val="left"/>
        <w:rPr>
          <w:rFonts w:ascii="Arial" w:hAnsi="Arial" w:cs="Arial"/>
          <w:sz w:val="24"/>
          <w:szCs w:val="24"/>
        </w:rPr>
      </w:pPr>
      <w:r w:rsidRPr="00AA0240">
        <w:rPr>
          <w:rFonts w:ascii="Arial" w:hAnsi="Arial" w:cs="Arial"/>
          <w:sz w:val="24"/>
          <w:szCs w:val="24"/>
        </w:rPr>
        <w:br w:type="page"/>
      </w:r>
    </w:p>
    <w:p w14:paraId="72EBDEE7" w14:textId="43BBE973" w:rsidR="0061456E" w:rsidRPr="00AA0240" w:rsidRDefault="002F3FD5" w:rsidP="0061456E">
      <w:pPr>
        <w:widowControl/>
        <w:jc w:val="left"/>
        <w:rPr>
          <w:rFonts w:ascii="Arial" w:hAnsi="Arial" w:cs="Arial"/>
          <w:sz w:val="24"/>
          <w:szCs w:val="24"/>
        </w:rPr>
      </w:pPr>
      <w:r w:rsidRPr="00AA0240">
        <w:rPr>
          <w:rFonts w:ascii="Arial" w:hAnsi="Arial" w:cs="Arial"/>
          <w:noProof/>
          <w:sz w:val="24"/>
          <w:szCs w:val="24"/>
        </w:rPr>
        <w:lastRenderedPageBreak/>
        <w:drawing>
          <wp:anchor distT="0" distB="0" distL="114300" distR="114300" simplePos="0" relativeHeight="251667456" behindDoc="0" locked="0" layoutInCell="1" allowOverlap="1" wp14:anchorId="0B56BD1E" wp14:editId="3C448E55">
            <wp:simplePos x="0" y="0"/>
            <wp:positionH relativeFrom="column">
              <wp:posOffset>-83127</wp:posOffset>
            </wp:positionH>
            <wp:positionV relativeFrom="paragraph">
              <wp:posOffset>130670</wp:posOffset>
            </wp:positionV>
            <wp:extent cx="3529584" cy="4489704"/>
            <wp:effectExtent l="0" t="0" r="0" b="0"/>
            <wp:wrapTopAndBottom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9584" cy="44897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8F4C7B" w14:textId="77777777" w:rsidR="0061456E" w:rsidRPr="00AA0240" w:rsidRDefault="0061456E" w:rsidP="0061456E"/>
    <w:p w14:paraId="3AEF0AE5" w14:textId="2A9729E7" w:rsidR="002F3FD5" w:rsidRPr="00AA0240" w:rsidRDefault="002F3FD5">
      <w:pPr>
        <w:widowControl/>
        <w:spacing w:after="160" w:line="259" w:lineRule="auto"/>
        <w:jc w:val="left"/>
        <w:rPr>
          <w:rFonts w:ascii="Arial" w:hAnsi="Arial" w:cs="Arial"/>
          <w:sz w:val="24"/>
          <w:szCs w:val="24"/>
          <w:shd w:val="clear" w:color="auto" w:fill="FFFFFF"/>
        </w:rPr>
      </w:pPr>
      <w:r w:rsidRPr="00AA0240">
        <w:rPr>
          <w:rFonts w:ascii="Arial" w:hAnsi="Arial" w:cs="Arial"/>
          <w:sz w:val="24"/>
          <w:szCs w:val="24"/>
          <w:shd w:val="clear" w:color="auto" w:fill="FFFFFF"/>
        </w:rPr>
        <w:br w:type="page"/>
      </w:r>
    </w:p>
    <w:p w14:paraId="042F4DED" w14:textId="222A8406" w:rsidR="009A449A" w:rsidRPr="00AA0240" w:rsidRDefault="002F3FD5" w:rsidP="009A449A">
      <w:pPr>
        <w:spacing w:line="480" w:lineRule="auto"/>
        <w:rPr>
          <w:rFonts w:ascii="Arial" w:hAnsi="Arial" w:cs="Arial"/>
          <w:sz w:val="24"/>
          <w:szCs w:val="24"/>
          <w:shd w:val="clear" w:color="auto" w:fill="FFFFFF"/>
        </w:rPr>
      </w:pPr>
      <w:r w:rsidRPr="00AA0240">
        <w:rPr>
          <w:rFonts w:ascii="Arial" w:hAnsi="Arial" w:cs="Arial"/>
          <w:noProof/>
          <w:sz w:val="24"/>
          <w:szCs w:val="24"/>
        </w:rPr>
        <w:lastRenderedPageBreak/>
        <w:drawing>
          <wp:anchor distT="0" distB="0" distL="114300" distR="114300" simplePos="0" relativeHeight="251669504" behindDoc="0" locked="0" layoutInCell="1" allowOverlap="1" wp14:anchorId="54178D21" wp14:editId="584B1FCD">
            <wp:simplePos x="0" y="0"/>
            <wp:positionH relativeFrom="column">
              <wp:posOffset>0</wp:posOffset>
            </wp:positionH>
            <wp:positionV relativeFrom="paragraph">
              <wp:posOffset>106787</wp:posOffset>
            </wp:positionV>
            <wp:extent cx="2743200" cy="4928616"/>
            <wp:effectExtent l="0" t="0" r="0" b="0"/>
            <wp:wrapTopAndBottom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49286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FCD915" w14:textId="600578EC" w:rsidR="004B25B0" w:rsidRPr="00AA0240" w:rsidRDefault="004B25B0"/>
    <w:sectPr w:rsidR="004B25B0" w:rsidRPr="00AA0240" w:rsidSect="00DA3BBD">
      <w:headerReference w:type="even" r:id="rId10"/>
      <w:headerReference w:type="default" r:id="rId11"/>
      <w:footerReference w:type="default" r:id="rId12"/>
      <w:pgSz w:w="12240" w:h="15840" w:code="1"/>
      <w:pgMar w:top="1152" w:right="1152" w:bottom="1152" w:left="1152" w:header="720" w:footer="43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2610B9" w14:textId="77777777" w:rsidR="00B00B69" w:rsidRDefault="00B00B69">
      <w:r>
        <w:separator/>
      </w:r>
    </w:p>
  </w:endnote>
  <w:endnote w:type="continuationSeparator" w:id="0">
    <w:p w14:paraId="33EC5094" w14:textId="77777777" w:rsidR="00B00B69" w:rsidRDefault="00B00B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472269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C386C8" w14:textId="77777777" w:rsidR="001153EC" w:rsidRDefault="00C61C5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0168584" w14:textId="77777777" w:rsidR="00C00A25" w:rsidRDefault="00B00B69" w:rsidP="001134E7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5DB712" w14:textId="77777777" w:rsidR="00B00B69" w:rsidRDefault="00B00B69">
      <w:r>
        <w:separator/>
      </w:r>
    </w:p>
  </w:footnote>
  <w:footnote w:type="continuationSeparator" w:id="0">
    <w:p w14:paraId="7C3B6EE8" w14:textId="77777777" w:rsidR="00B00B69" w:rsidRDefault="00B00B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D8E219" w14:textId="77777777" w:rsidR="00C00A25" w:rsidRDefault="00B00B69" w:rsidP="00492836">
    <w:pPr>
      <w:pStyle w:val="Header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10BA41" w14:textId="77777777" w:rsidR="00C00A25" w:rsidRDefault="00B00B69" w:rsidP="00492836">
    <w:pPr>
      <w:pStyle w:val="Header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D258BE"/>
    <w:multiLevelType w:val="multilevel"/>
    <w:tmpl w:val="779AD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0dwp9f0srztfyed2t3vd9snawtzx25rsp2r&quot;&gt;My EndNote Library-181203-new&lt;record-ids&gt;&lt;item&gt;17&lt;/item&gt;&lt;item&gt;112&lt;/item&gt;&lt;item&gt;113&lt;/item&gt;&lt;item&gt;124&lt;/item&gt;&lt;item&gt;125&lt;/item&gt;&lt;item&gt;126&lt;/item&gt;&lt;item&gt;127&lt;/item&gt;&lt;item&gt;128&lt;/item&gt;&lt;item&gt;129&lt;/item&gt;&lt;item&gt;130&lt;/item&gt;&lt;item&gt;132&lt;/item&gt;&lt;item&gt;232&lt;/item&gt;&lt;item&gt;233&lt;/item&gt;&lt;item&gt;235&lt;/item&gt;&lt;item&gt;236&lt;/item&gt;&lt;item&gt;237&lt;/item&gt;&lt;item&gt;238&lt;/item&gt;&lt;item&gt;239&lt;/item&gt;&lt;item&gt;240&lt;/item&gt;&lt;item&gt;241&lt;/item&gt;&lt;item&gt;242&lt;/item&gt;&lt;item&gt;243&lt;/item&gt;&lt;item&gt;244&lt;/item&gt;&lt;item&gt;245&lt;/item&gt;&lt;item&gt;246&lt;/item&gt;&lt;item&gt;247&lt;/item&gt;&lt;item&gt;248&lt;/item&gt;&lt;item&gt;249&lt;/item&gt;&lt;item&gt;250&lt;/item&gt;&lt;item&gt;251&lt;/item&gt;&lt;item&gt;252&lt;/item&gt;&lt;item&gt;253&lt;/item&gt;&lt;item&gt;254&lt;/item&gt;&lt;item&gt;255&lt;/item&gt;&lt;item&gt;256&lt;/item&gt;&lt;item&gt;257&lt;/item&gt;&lt;item&gt;258&lt;/item&gt;&lt;item&gt;259&lt;/item&gt;&lt;item&gt;260&lt;/item&gt;&lt;item&gt;261&lt;/item&gt;&lt;item&gt;262&lt;/item&gt;&lt;item&gt;263&lt;/item&gt;&lt;item&gt;264&lt;/item&gt;&lt;item&gt;265&lt;/item&gt;&lt;item&gt;266&lt;/item&gt;&lt;item&gt;267&lt;/item&gt;&lt;/record-ids&gt;&lt;/item&gt;&lt;/Libraries&gt;"/>
  </w:docVars>
  <w:rsids>
    <w:rsidRoot w:val="0061456E"/>
    <w:rsid w:val="00003E5F"/>
    <w:rsid w:val="00065DF8"/>
    <w:rsid w:val="00087220"/>
    <w:rsid w:val="00097E81"/>
    <w:rsid w:val="000B0482"/>
    <w:rsid w:val="000C2F97"/>
    <w:rsid w:val="000F1855"/>
    <w:rsid w:val="000F6A02"/>
    <w:rsid w:val="00101C45"/>
    <w:rsid w:val="00103F29"/>
    <w:rsid w:val="0018168F"/>
    <w:rsid w:val="00185687"/>
    <w:rsid w:val="001F72B6"/>
    <w:rsid w:val="00286A35"/>
    <w:rsid w:val="002A0E9E"/>
    <w:rsid w:val="002A5BE0"/>
    <w:rsid w:val="002F0667"/>
    <w:rsid w:val="002F3FD5"/>
    <w:rsid w:val="002F6CCD"/>
    <w:rsid w:val="003111DA"/>
    <w:rsid w:val="00347922"/>
    <w:rsid w:val="003805A0"/>
    <w:rsid w:val="00383C28"/>
    <w:rsid w:val="00395BCD"/>
    <w:rsid w:val="00395EA6"/>
    <w:rsid w:val="003A27EE"/>
    <w:rsid w:val="003A5E81"/>
    <w:rsid w:val="003E0E38"/>
    <w:rsid w:val="003E1E7B"/>
    <w:rsid w:val="00400858"/>
    <w:rsid w:val="00402920"/>
    <w:rsid w:val="00455CE3"/>
    <w:rsid w:val="00460B10"/>
    <w:rsid w:val="004B25B0"/>
    <w:rsid w:val="004B6B71"/>
    <w:rsid w:val="005118BD"/>
    <w:rsid w:val="00544AEA"/>
    <w:rsid w:val="00556ED1"/>
    <w:rsid w:val="00561E50"/>
    <w:rsid w:val="005A5BDE"/>
    <w:rsid w:val="005B5984"/>
    <w:rsid w:val="005F67A3"/>
    <w:rsid w:val="0061456E"/>
    <w:rsid w:val="00615D96"/>
    <w:rsid w:val="00624D65"/>
    <w:rsid w:val="00682139"/>
    <w:rsid w:val="006B0756"/>
    <w:rsid w:val="006B1DEB"/>
    <w:rsid w:val="006F6883"/>
    <w:rsid w:val="00724287"/>
    <w:rsid w:val="007251F0"/>
    <w:rsid w:val="007423B9"/>
    <w:rsid w:val="0079344A"/>
    <w:rsid w:val="00793EDE"/>
    <w:rsid w:val="007A6AC2"/>
    <w:rsid w:val="007C1C4D"/>
    <w:rsid w:val="007D221D"/>
    <w:rsid w:val="007D5754"/>
    <w:rsid w:val="007E78F7"/>
    <w:rsid w:val="00804424"/>
    <w:rsid w:val="0084772D"/>
    <w:rsid w:val="0085488D"/>
    <w:rsid w:val="008A4744"/>
    <w:rsid w:val="008A610F"/>
    <w:rsid w:val="008C2AC0"/>
    <w:rsid w:val="008E6DA3"/>
    <w:rsid w:val="008F0498"/>
    <w:rsid w:val="00902A70"/>
    <w:rsid w:val="00917450"/>
    <w:rsid w:val="00954993"/>
    <w:rsid w:val="009910B8"/>
    <w:rsid w:val="00994F21"/>
    <w:rsid w:val="009A449A"/>
    <w:rsid w:val="00A31C56"/>
    <w:rsid w:val="00A34C65"/>
    <w:rsid w:val="00A96001"/>
    <w:rsid w:val="00A9764E"/>
    <w:rsid w:val="00AA0240"/>
    <w:rsid w:val="00AC5F5D"/>
    <w:rsid w:val="00B00B69"/>
    <w:rsid w:val="00B03C84"/>
    <w:rsid w:val="00B37B72"/>
    <w:rsid w:val="00B52758"/>
    <w:rsid w:val="00B666D4"/>
    <w:rsid w:val="00B93E66"/>
    <w:rsid w:val="00BB0244"/>
    <w:rsid w:val="00BB34C4"/>
    <w:rsid w:val="00BB6EDF"/>
    <w:rsid w:val="00BC5FFE"/>
    <w:rsid w:val="00BD6387"/>
    <w:rsid w:val="00BE2A73"/>
    <w:rsid w:val="00BF6B1C"/>
    <w:rsid w:val="00C06625"/>
    <w:rsid w:val="00C11033"/>
    <w:rsid w:val="00C228AC"/>
    <w:rsid w:val="00C34BB2"/>
    <w:rsid w:val="00C61C52"/>
    <w:rsid w:val="00C63259"/>
    <w:rsid w:val="00C64771"/>
    <w:rsid w:val="00CD6B45"/>
    <w:rsid w:val="00CF7A2B"/>
    <w:rsid w:val="00D112D7"/>
    <w:rsid w:val="00D252DB"/>
    <w:rsid w:val="00D27326"/>
    <w:rsid w:val="00D67423"/>
    <w:rsid w:val="00D9138E"/>
    <w:rsid w:val="00D91CBB"/>
    <w:rsid w:val="00D96D1C"/>
    <w:rsid w:val="00DA3BBD"/>
    <w:rsid w:val="00DB36C4"/>
    <w:rsid w:val="00DD1783"/>
    <w:rsid w:val="00E117B1"/>
    <w:rsid w:val="00E122D9"/>
    <w:rsid w:val="00E362CE"/>
    <w:rsid w:val="00E51D34"/>
    <w:rsid w:val="00E81C92"/>
    <w:rsid w:val="00EA53E3"/>
    <w:rsid w:val="00F23E92"/>
    <w:rsid w:val="00F62A54"/>
    <w:rsid w:val="00F76410"/>
    <w:rsid w:val="00F82721"/>
    <w:rsid w:val="00F84640"/>
    <w:rsid w:val="00F9054D"/>
    <w:rsid w:val="00F920AF"/>
    <w:rsid w:val="00FA7E6D"/>
    <w:rsid w:val="00FE7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E1F5B1"/>
  <w15:chartTrackingRefBased/>
  <w15:docId w15:val="{24E64051-A15A-44A7-A176-AD4D89E2A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456E"/>
    <w:pPr>
      <w:widowControl w:val="0"/>
      <w:spacing w:after="0" w:line="240" w:lineRule="auto"/>
      <w:jc w:val="both"/>
    </w:pPr>
    <w:rPr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link w:val="NormalWebChar"/>
    <w:uiPriority w:val="99"/>
    <w:unhideWhenUsed/>
    <w:rsid w:val="0061456E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customStyle="1" w:styleId="NormalWebChar">
    <w:name w:val="Normal (Web) Char"/>
    <w:basedOn w:val="DefaultParagraphFont"/>
    <w:link w:val="NormalWeb"/>
    <w:uiPriority w:val="99"/>
    <w:rsid w:val="0061456E"/>
    <w:rPr>
      <w:rFonts w:ascii="SimSun" w:eastAsia="SimSun" w:hAnsi="SimSun" w:cs="SimSun"/>
      <w:sz w:val="24"/>
      <w:szCs w:val="24"/>
      <w:lang w:eastAsia="zh-CN"/>
    </w:rPr>
  </w:style>
  <w:style w:type="paragraph" w:customStyle="1" w:styleId="EndNoteBibliography">
    <w:name w:val="EndNote Bibliography"/>
    <w:basedOn w:val="Normal"/>
    <w:link w:val="EndNoteBibliography0"/>
    <w:rsid w:val="0061456E"/>
    <w:rPr>
      <w:rFonts w:ascii="Calibri" w:eastAsia="DengXian" w:hAnsi="Calibri" w:cs="Calibri"/>
      <w:noProof/>
      <w:kern w:val="0"/>
      <w:sz w:val="20"/>
      <w:szCs w:val="24"/>
    </w:rPr>
  </w:style>
  <w:style w:type="character" w:customStyle="1" w:styleId="EndNoteBibliography0">
    <w:name w:val="EndNote Bibliography 字符"/>
    <w:basedOn w:val="NormalWebChar"/>
    <w:link w:val="EndNoteBibliography"/>
    <w:rsid w:val="0061456E"/>
    <w:rPr>
      <w:rFonts w:ascii="Calibri" w:eastAsia="DengXian" w:hAnsi="Calibri" w:cs="Calibri"/>
      <w:noProof/>
      <w:sz w:val="20"/>
      <w:szCs w:val="24"/>
      <w:lang w:eastAsia="zh-CN"/>
    </w:rPr>
  </w:style>
  <w:style w:type="character" w:customStyle="1" w:styleId="citation">
    <w:name w:val="citation"/>
    <w:basedOn w:val="DefaultParagraphFont"/>
    <w:rsid w:val="0061456E"/>
  </w:style>
  <w:style w:type="character" w:styleId="Strong">
    <w:name w:val="Strong"/>
    <w:basedOn w:val="DefaultParagraphFont"/>
    <w:uiPriority w:val="22"/>
    <w:qFormat/>
    <w:rsid w:val="0061456E"/>
    <w:rPr>
      <w:b/>
      <w:bCs/>
    </w:rPr>
  </w:style>
  <w:style w:type="character" w:customStyle="1" w:styleId="ref-journal">
    <w:name w:val="ref-journal"/>
    <w:basedOn w:val="DefaultParagraphFont"/>
    <w:rsid w:val="0061456E"/>
  </w:style>
  <w:style w:type="character" w:customStyle="1" w:styleId="ref-vol">
    <w:name w:val="ref-vol"/>
    <w:basedOn w:val="DefaultParagraphFont"/>
    <w:rsid w:val="0061456E"/>
  </w:style>
  <w:style w:type="paragraph" w:customStyle="1" w:styleId="Default">
    <w:name w:val="Default"/>
    <w:rsid w:val="0061456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eastAsia="zh-CN"/>
    </w:rPr>
  </w:style>
  <w:style w:type="paragraph" w:customStyle="1" w:styleId="EndNoteBibliographyTitle">
    <w:name w:val="EndNote Bibliography Title"/>
    <w:basedOn w:val="Normal"/>
    <w:link w:val="EndNoteBibliographyTitle0"/>
    <w:rsid w:val="0061456E"/>
    <w:pPr>
      <w:jc w:val="center"/>
    </w:pPr>
    <w:rPr>
      <w:rFonts w:ascii="Calibri" w:eastAsia="DengXian" w:hAnsi="Calibri" w:cs="Calibri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61456E"/>
    <w:rPr>
      <w:rFonts w:ascii="Calibri" w:eastAsia="DengXian" w:hAnsi="Calibri" w:cs="Calibri"/>
      <w:noProof/>
      <w:kern w:val="2"/>
      <w:sz w:val="20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456E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456E"/>
    <w:rPr>
      <w:rFonts w:eastAsiaTheme="minorEastAsia"/>
      <w:kern w:val="2"/>
      <w:sz w:val="18"/>
      <w:szCs w:val="18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61456E"/>
    <w:pPr>
      <w:pBdr>
        <w:bottom w:val="single" w:sz="6" w:space="1" w:color="auto"/>
      </w:pBdr>
      <w:tabs>
        <w:tab w:val="center" w:pos="4513"/>
        <w:tab w:val="right" w:pos="902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61456E"/>
    <w:rPr>
      <w:rFonts w:eastAsiaTheme="minorEastAsia"/>
      <w:kern w:val="2"/>
      <w:sz w:val="18"/>
      <w:szCs w:val="18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61456E"/>
    <w:pPr>
      <w:tabs>
        <w:tab w:val="center" w:pos="4513"/>
        <w:tab w:val="right" w:pos="902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61456E"/>
    <w:rPr>
      <w:rFonts w:eastAsiaTheme="minorEastAsia"/>
      <w:kern w:val="2"/>
      <w:sz w:val="18"/>
      <w:szCs w:val="18"/>
      <w:lang w:eastAsia="zh-CN"/>
    </w:rPr>
  </w:style>
  <w:style w:type="character" w:styleId="Hyperlink">
    <w:name w:val="Hyperlink"/>
    <w:basedOn w:val="DefaultParagraphFont"/>
    <w:uiPriority w:val="99"/>
    <w:unhideWhenUsed/>
    <w:rsid w:val="0061456E"/>
    <w:rPr>
      <w:color w:val="0563C1"/>
      <w:u w:val="single"/>
    </w:rPr>
  </w:style>
  <w:style w:type="character" w:styleId="Emphasis">
    <w:name w:val="Emphasis"/>
    <w:basedOn w:val="DefaultParagraphFont"/>
    <w:uiPriority w:val="20"/>
    <w:qFormat/>
    <w:rsid w:val="0061456E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61456E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61456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1456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1456E"/>
    <w:rPr>
      <w:rFonts w:eastAsiaTheme="minorEastAsia"/>
      <w:kern w:val="2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1456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1456E"/>
    <w:rPr>
      <w:rFonts w:eastAsiaTheme="minorEastAsia"/>
      <w:b/>
      <w:bCs/>
      <w:kern w:val="2"/>
      <w:sz w:val="20"/>
      <w:szCs w:val="20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DA3B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8078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F91004-626B-425C-8A9C-B24ADF9557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188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Iqbal Ali</dc:creator>
  <cp:keywords/>
  <dc:description/>
  <cp:lastModifiedBy>Yun</cp:lastModifiedBy>
  <cp:revision>2</cp:revision>
  <dcterms:created xsi:type="dcterms:W3CDTF">2021-06-19T17:46:00Z</dcterms:created>
  <dcterms:modified xsi:type="dcterms:W3CDTF">2021-06-19T17:46:00Z</dcterms:modified>
</cp:coreProperties>
</file>