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694E8" w14:textId="77777777" w:rsidR="007E7234" w:rsidRPr="00B93C87" w:rsidRDefault="007E7234" w:rsidP="007E7234">
      <w:r w:rsidRPr="00B93C87">
        <w:rPr>
          <w:b/>
          <w:bCs/>
        </w:rPr>
        <w:t xml:space="preserve">Extended Table 1. Characteristics of clock </w:t>
      </w:r>
      <w:r>
        <w:rPr>
          <w:b/>
          <w:bCs/>
        </w:rPr>
        <w:t xml:space="preserve">model </w:t>
      </w:r>
      <w:r w:rsidRPr="00B93C87">
        <w:rPr>
          <w:b/>
          <w:bCs/>
        </w:rPr>
        <w:t>development cohort</w:t>
      </w:r>
      <w:r>
        <w:rPr>
          <w:b/>
          <w:bCs/>
        </w:rPr>
        <w:t>s</w:t>
      </w:r>
      <w:r w:rsidRPr="00B93C87">
        <w:rPr>
          <w:b/>
          <w:bCs/>
        </w:rPr>
        <w:t xml:space="preserve">. </w:t>
      </w:r>
      <w:r w:rsidRPr="00B93C87">
        <w:t>Individuals were included who had two or more plasma %p-tau217 measurements between 1.06% to 10.45% that were at least one year apart. Values are presented as the median (interquartile range) for continuous variables and n (%) for categorical variables. The significance of differences between cohorts was evaluated by Chi-square tests for categorical values and Wilcoxon ranked sum test</w:t>
      </w:r>
      <w:r>
        <w:t>s</w:t>
      </w:r>
      <w:r w:rsidRPr="00B93C87">
        <w:t xml:space="preserve"> for continuous values.</w:t>
      </w:r>
    </w:p>
    <w:p w14:paraId="053B83FE" w14:textId="77777777" w:rsidR="007E7234" w:rsidRPr="00B93C87" w:rsidRDefault="007E7234" w:rsidP="007E7234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25"/>
        <w:gridCol w:w="630"/>
        <w:gridCol w:w="1710"/>
        <w:gridCol w:w="630"/>
        <w:gridCol w:w="1710"/>
        <w:gridCol w:w="630"/>
        <w:gridCol w:w="1710"/>
        <w:gridCol w:w="1080"/>
      </w:tblGrid>
      <w:tr w:rsidR="007E7234" w:rsidRPr="00B93C87" w14:paraId="6D19F2F5" w14:textId="77777777" w:rsidTr="00F51648">
        <w:trPr>
          <w:trHeight w:val="300"/>
        </w:trPr>
        <w:tc>
          <w:tcPr>
            <w:tcW w:w="2425" w:type="dxa"/>
            <w:shd w:val="clear" w:color="auto" w:fill="auto"/>
            <w:noWrap/>
            <w:vAlign w:val="center"/>
          </w:tcPr>
          <w:p w14:paraId="5743567A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40" w:type="dxa"/>
            <w:gridSpan w:val="2"/>
            <w:shd w:val="clear" w:color="auto" w:fill="auto"/>
            <w:noWrap/>
            <w:vAlign w:val="center"/>
          </w:tcPr>
          <w:p w14:paraId="4D5970CB" w14:textId="77777777" w:rsidR="007E7234" w:rsidRPr="003F7342" w:rsidRDefault="007E7234" w:rsidP="00F5164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Full Cohort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center"/>
          </w:tcPr>
          <w:p w14:paraId="7B48F9DA" w14:textId="77777777" w:rsidR="007E7234" w:rsidRPr="003F7342" w:rsidRDefault="007E7234" w:rsidP="00F5164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Knight ADRC</w:t>
            </w:r>
          </w:p>
        </w:tc>
        <w:tc>
          <w:tcPr>
            <w:tcW w:w="2340" w:type="dxa"/>
            <w:gridSpan w:val="2"/>
            <w:shd w:val="clear" w:color="auto" w:fill="auto"/>
            <w:noWrap/>
            <w:vAlign w:val="center"/>
          </w:tcPr>
          <w:p w14:paraId="39A625CB" w14:textId="77777777" w:rsidR="007E7234" w:rsidRPr="003F7342" w:rsidRDefault="007E7234" w:rsidP="00F5164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ADNI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604B17E" w14:textId="77777777" w:rsidR="007E7234" w:rsidRPr="003F7342" w:rsidRDefault="007E7234" w:rsidP="00F5164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E7234" w:rsidRPr="00B93C87" w14:paraId="70A502C1" w14:textId="77777777" w:rsidTr="00F51648">
        <w:trPr>
          <w:trHeight w:val="300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14:paraId="178A8616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846AED1" w14:textId="77777777" w:rsidR="007E7234" w:rsidRPr="003F7342" w:rsidRDefault="007E7234" w:rsidP="00F5164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0AAD63F1" w14:textId="77777777" w:rsidR="007E7234" w:rsidRPr="003F7342" w:rsidRDefault="007E7234" w:rsidP="00F5164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Values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8DFCA20" w14:textId="77777777" w:rsidR="007E7234" w:rsidRPr="003F7342" w:rsidRDefault="007E7234" w:rsidP="00F5164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7C5A0297" w14:textId="77777777" w:rsidR="007E7234" w:rsidRPr="003F7342" w:rsidRDefault="007E7234" w:rsidP="00F5164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Values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4225A4F" w14:textId="77777777" w:rsidR="007E7234" w:rsidRPr="003F7342" w:rsidRDefault="007E7234" w:rsidP="00F5164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n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54EF617D" w14:textId="77777777" w:rsidR="007E7234" w:rsidRPr="003F7342" w:rsidRDefault="007E7234" w:rsidP="00F5164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Values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E7BDB9D" w14:textId="77777777" w:rsidR="007E7234" w:rsidRPr="003F7342" w:rsidRDefault="007E7234" w:rsidP="00F51648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p=</w:t>
            </w:r>
          </w:p>
        </w:tc>
      </w:tr>
      <w:tr w:rsidR="007E7234" w:rsidRPr="00B93C87" w14:paraId="62913F47" w14:textId="77777777" w:rsidTr="00F51648">
        <w:trPr>
          <w:trHeight w:val="300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14:paraId="05679589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1E06024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7D527D5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71.2 (67-76.7)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765FFCD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7F134B1D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70.0 (65.8-74.2)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2358A1A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7AFFD6F1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72.7 (67.8-78.1)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43E5D10A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7E7234" w:rsidRPr="00B93C87" w14:paraId="6FCCF879" w14:textId="77777777" w:rsidTr="00F51648">
        <w:trPr>
          <w:trHeight w:val="300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14:paraId="79356E0A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Sex (% Female)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1CB8161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72F1093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300, 49.8%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39BA2ED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34C661E6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133, 51.6%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9A67B83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2DD2AF4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167, 48.4%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39C5AEBA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0.40</w:t>
            </w:r>
          </w:p>
        </w:tc>
      </w:tr>
      <w:tr w:rsidR="007E7234" w:rsidRPr="00B93C87" w14:paraId="712CBCE9" w14:textId="77777777" w:rsidTr="00F51648">
        <w:trPr>
          <w:trHeight w:val="300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14:paraId="2565312B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i/>
                <w:iCs/>
                <w:color w:val="000000"/>
                <w:sz w:val="20"/>
                <w:szCs w:val="20"/>
              </w:rPr>
              <w:t>APOE</w:t>
            </w:r>
            <w:r w:rsidRPr="003F7342">
              <w:rPr>
                <w:b/>
                <w:bCs/>
                <w:color w:val="000000"/>
                <w:sz w:val="20"/>
                <w:szCs w:val="20"/>
              </w:rPr>
              <w:t xml:space="preserve"> ε4 carriers (% carrier)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61C1829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6ED7B90E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217, 36%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4E337F5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7BE6A52A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106, 41.1%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A5B436D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7A36A082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111, 32.2%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CB89B5B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0.02</w:t>
            </w:r>
          </w:p>
        </w:tc>
      </w:tr>
      <w:tr w:rsidR="007E7234" w:rsidRPr="00B93C87" w14:paraId="701E78A2" w14:textId="77777777" w:rsidTr="00F51648">
        <w:trPr>
          <w:trHeight w:val="300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14:paraId="5C582217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Years of education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C20B87A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E51FE48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16 (14-18)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A94E174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7C99FC0C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16 (15-18)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A67618E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2B164E8B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16 (14-18)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1CFE8B1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0.53</w:t>
            </w:r>
          </w:p>
        </w:tc>
      </w:tr>
      <w:tr w:rsidR="007E7234" w:rsidRPr="00B93C87" w14:paraId="2B1F68EC" w14:textId="77777777" w:rsidTr="00F51648">
        <w:trPr>
          <w:trHeight w:val="300"/>
        </w:trPr>
        <w:tc>
          <w:tcPr>
            <w:tcW w:w="2425" w:type="dxa"/>
            <w:shd w:val="clear" w:color="auto" w:fill="auto"/>
            <w:noWrap/>
            <w:vAlign w:val="center"/>
          </w:tcPr>
          <w:p w14:paraId="5C06D0BE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Cognitive impairment (% CDR&gt;0)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C82E676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F7342">
              <w:rPr>
                <w:color w:val="000000"/>
                <w:sz w:val="20"/>
                <w:szCs w:val="20"/>
              </w:rPr>
              <w:t>603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14:paraId="14D003C1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F7342">
              <w:rPr>
                <w:color w:val="000000"/>
                <w:sz w:val="20"/>
                <w:szCs w:val="20"/>
              </w:rPr>
              <w:t>179, 29.7%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B2CB026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F7342">
              <w:rPr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14:paraId="4C6E5BA6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F7342">
              <w:rPr>
                <w:color w:val="000000"/>
                <w:sz w:val="20"/>
                <w:szCs w:val="20"/>
              </w:rPr>
              <w:t>18, 7.0%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40BED1D6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F7342"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14:paraId="7384D31C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F7342">
              <w:rPr>
                <w:color w:val="000000"/>
                <w:sz w:val="20"/>
                <w:szCs w:val="20"/>
              </w:rPr>
              <w:t>161, 46.7%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9A3C73E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F7342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7E7234" w:rsidRPr="00B93C87" w14:paraId="5993FC81" w14:textId="77777777" w:rsidTr="00F51648">
        <w:trPr>
          <w:trHeight w:val="300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14:paraId="6F08DF94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CDR Sum of Boxes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276134C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6CF1F0E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 (0-0.5)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2E72AC4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9604A0A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 (0-0)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E053B40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79BEC303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 (0-1)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64C5635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7E7234" w:rsidRPr="00B93C87" w14:paraId="738A64A5" w14:textId="77777777" w:rsidTr="00F51648">
        <w:trPr>
          <w:trHeight w:val="300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14:paraId="1D4AC51F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 xml:space="preserve">Estimated age of </w:t>
            </w:r>
          </w:p>
          <w:p w14:paraId="5878EB16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%-ptau217 positivity (Years)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1DF8701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674B0D4C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79.8 (72.1-86.5)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54A17F1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68551A4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78.8 (72.2-83.5)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399D94C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031EE7C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81.0 (71.5-88.5)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5696D586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0.0070</w:t>
            </w:r>
          </w:p>
        </w:tc>
      </w:tr>
      <w:tr w:rsidR="007E7234" w:rsidRPr="00B93C87" w14:paraId="51BAC893" w14:textId="77777777" w:rsidTr="00F51648">
        <w:trPr>
          <w:trHeight w:val="300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14:paraId="1F440E85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Follow-up time (Years)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0EDD278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0EB00A62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5.5 (4.0-7.5)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28AFB57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78D8F2BF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6.5 (3.9-9.8)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5E587CB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1973AB5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4.5 (4.0-6.3)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61B401ED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7E7234" w:rsidRPr="00B93C87" w14:paraId="374AD792" w14:textId="77777777" w:rsidTr="00F51648">
        <w:trPr>
          <w:trHeight w:val="300"/>
        </w:trPr>
        <w:tc>
          <w:tcPr>
            <w:tcW w:w="2425" w:type="dxa"/>
            <w:shd w:val="clear" w:color="auto" w:fill="auto"/>
            <w:noWrap/>
            <w:vAlign w:val="center"/>
          </w:tcPr>
          <w:p w14:paraId="05AD8353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3F7342">
              <w:rPr>
                <w:b/>
                <w:bCs/>
                <w:color w:val="000000"/>
                <w:sz w:val="20"/>
                <w:szCs w:val="20"/>
              </w:rPr>
              <w:t>Number of %p-tau217 values included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6C93CB69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603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14:paraId="7CEF6730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 (2-3)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075699F2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14:paraId="205C95FC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 (2-3)</w:t>
            </w:r>
          </w:p>
        </w:tc>
        <w:tc>
          <w:tcPr>
            <w:tcW w:w="630" w:type="dxa"/>
            <w:shd w:val="clear" w:color="auto" w:fill="auto"/>
            <w:noWrap/>
            <w:vAlign w:val="center"/>
          </w:tcPr>
          <w:p w14:paraId="1AF29973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10" w:type="dxa"/>
            <w:shd w:val="clear" w:color="auto" w:fill="auto"/>
            <w:noWrap/>
            <w:vAlign w:val="center"/>
          </w:tcPr>
          <w:p w14:paraId="67F58D64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 (3-3)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23E3382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&lt;0.0001</w:t>
            </w:r>
          </w:p>
        </w:tc>
      </w:tr>
      <w:tr w:rsidR="007E7234" w:rsidRPr="00B93C87" w14:paraId="782EDE9E" w14:textId="77777777" w:rsidTr="00F51648">
        <w:trPr>
          <w:trHeight w:val="300"/>
        </w:trPr>
        <w:tc>
          <w:tcPr>
            <w:tcW w:w="2425" w:type="dxa"/>
            <w:shd w:val="clear" w:color="auto" w:fill="auto"/>
            <w:noWrap/>
            <w:vAlign w:val="center"/>
            <w:hideMark/>
          </w:tcPr>
          <w:p w14:paraId="4D3CD19B" w14:textId="77777777" w:rsidR="007E7234" w:rsidRPr="003F7342" w:rsidRDefault="007E7234" w:rsidP="00F51648">
            <w:pPr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First</w:t>
            </w:r>
            <w:r w:rsidRPr="003F7342">
              <w:rPr>
                <w:b/>
                <w:bCs/>
                <w:color w:val="000000"/>
                <w:sz w:val="20"/>
                <w:szCs w:val="20"/>
              </w:rPr>
              <w:t xml:space="preserve"> %p-tau217 included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14211C8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603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4EB103C4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2.33 (1.54-4.12)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7EA556F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73DC7E5B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2.22 (1.58-3.44)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CE84CC9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10" w:type="dxa"/>
            <w:shd w:val="clear" w:color="auto" w:fill="auto"/>
            <w:noWrap/>
            <w:vAlign w:val="center"/>
            <w:hideMark/>
          </w:tcPr>
          <w:p w14:paraId="26D6B23B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2.49 (1.53-4.74)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15805AFA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0.068</w:t>
            </w:r>
          </w:p>
        </w:tc>
      </w:tr>
    </w:tbl>
    <w:p w14:paraId="391F3D46" w14:textId="77777777" w:rsidR="007E7234" w:rsidRPr="00B93C87" w:rsidRDefault="007E7234" w:rsidP="007E7234"/>
    <w:p w14:paraId="7E7E733A" w14:textId="77777777" w:rsidR="007E7234" w:rsidRPr="00B93C87" w:rsidRDefault="007E7234" w:rsidP="007E7234"/>
    <w:p w14:paraId="54177F3D" w14:textId="77777777" w:rsidR="007E7234" w:rsidRPr="00B93C87" w:rsidRDefault="007E7234" w:rsidP="007E7234">
      <w:pPr>
        <w:rPr>
          <w:b/>
          <w:bCs/>
        </w:rPr>
      </w:pPr>
    </w:p>
    <w:p w14:paraId="24793B14" w14:textId="77777777" w:rsidR="007E7234" w:rsidRPr="00B93C87" w:rsidRDefault="007E7234" w:rsidP="007E7234"/>
    <w:p w14:paraId="59DC21AA" w14:textId="77777777" w:rsidR="007E7234" w:rsidRPr="00B93C87" w:rsidRDefault="007E7234" w:rsidP="007E7234"/>
    <w:p w14:paraId="6D0467D2" w14:textId="77777777" w:rsidR="007E7234" w:rsidRPr="00B93C87" w:rsidRDefault="007E7234" w:rsidP="007E7234"/>
    <w:p w14:paraId="5D0FE729" w14:textId="77777777" w:rsidR="007E7234" w:rsidRPr="00B93C87" w:rsidRDefault="007E7234" w:rsidP="007E7234">
      <w:r w:rsidRPr="00B93C87">
        <w:br w:type="page"/>
      </w:r>
    </w:p>
    <w:p w14:paraId="4624041C" w14:textId="77777777" w:rsidR="007E7234" w:rsidRPr="00B93C87" w:rsidRDefault="007E7234" w:rsidP="007E7234">
      <w:r w:rsidRPr="00B93C87">
        <w:rPr>
          <w:b/>
          <w:bCs/>
        </w:rPr>
        <w:lastRenderedPageBreak/>
        <w:t xml:space="preserve">Extended Table 2. </w:t>
      </w:r>
      <w:r>
        <w:rPr>
          <w:b/>
          <w:bCs/>
        </w:rPr>
        <w:t>Clock models e</w:t>
      </w:r>
      <w:r w:rsidRPr="00B93C87">
        <w:rPr>
          <w:b/>
          <w:bCs/>
        </w:rPr>
        <w:t>stimat</w:t>
      </w:r>
      <w:r>
        <w:rPr>
          <w:b/>
          <w:bCs/>
        </w:rPr>
        <w:t>ing</w:t>
      </w:r>
      <w:r w:rsidRPr="00B93C87">
        <w:rPr>
          <w:b/>
          <w:bCs/>
        </w:rPr>
        <w:t xml:space="preserve"> time between plasma %p-tau217 levels. </w:t>
      </w:r>
      <w:r w:rsidRPr="00B93C87">
        <w:t xml:space="preserve">The time in years was estimated for plasma %p-tau217 values from 1.06% to </w:t>
      </w:r>
      <w:r>
        <w:t>10.40</w:t>
      </w:r>
      <w:r w:rsidRPr="00B93C87">
        <w:t xml:space="preserve">%. Data are shown for two methods (TIRA and SILA) across two cohorts (Knight ADRC and ADNI). </w:t>
      </w:r>
      <w:r>
        <w:t>Both</w:t>
      </w:r>
      <w:r w:rsidRPr="00B93C87">
        <w:t xml:space="preserve"> the interval time between adjacent levels and the cumulative time from the 4.06% reference point are </w:t>
      </w:r>
      <w:r>
        <w:t xml:space="preserve">shown and demonstrate </w:t>
      </w:r>
      <w:r w:rsidRPr="00B93C87">
        <w:t>differences across method</w:t>
      </w:r>
      <w:r>
        <w:t>s</w:t>
      </w:r>
      <w:r w:rsidRPr="00B93C87">
        <w:t xml:space="preserve"> and </w:t>
      </w:r>
      <w:r>
        <w:t>cohorts</w:t>
      </w:r>
      <w:r w:rsidRPr="00B93C87">
        <w:t>. Negative time</w:t>
      </w:r>
      <w:r>
        <w:t xml:space="preserve"> intervals</w:t>
      </w:r>
      <w:r w:rsidRPr="00B93C87">
        <w:t xml:space="preserve"> correspond to time</w:t>
      </w:r>
      <w:r>
        <w:t>s</w:t>
      </w:r>
      <w:r w:rsidRPr="00B93C87">
        <w:t xml:space="preserve"> before %p-tau217 positivity.</w:t>
      </w:r>
    </w:p>
    <w:p w14:paraId="6EBE7572" w14:textId="77777777" w:rsidR="007E7234" w:rsidRPr="00B93C87" w:rsidRDefault="007E7234" w:rsidP="007E7234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9" w:type="dxa"/>
          <w:left w:w="29" w:type="dxa"/>
          <w:bottom w:w="29" w:type="dxa"/>
          <w:right w:w="29" w:type="dxa"/>
        </w:tblCellMar>
        <w:tblLook w:val="0420" w:firstRow="1" w:lastRow="0" w:firstColumn="0" w:lastColumn="0" w:noHBand="0" w:noVBand="1"/>
      </w:tblPr>
      <w:tblGrid>
        <w:gridCol w:w="980"/>
        <w:gridCol w:w="1101"/>
        <w:gridCol w:w="4266"/>
        <w:gridCol w:w="4443"/>
      </w:tblGrid>
      <w:tr w:rsidR="007E7234" w:rsidRPr="00015717" w14:paraId="31BE222E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1BAC7700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10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425DF3B9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977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295BC6F1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TIRA</w:t>
            </w:r>
          </w:p>
        </w:tc>
        <w:tc>
          <w:tcPr>
            <w:tcW w:w="2059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40EBD102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SILA</w:t>
            </w:r>
          </w:p>
        </w:tc>
      </w:tr>
    </w:tbl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9" w:type="dxa"/>
          <w:left w:w="29" w:type="dxa"/>
          <w:bottom w:w="29" w:type="dxa"/>
          <w:right w:w="29" w:type="dxa"/>
        </w:tblCellMar>
        <w:tblLook w:val="0420" w:firstRow="1" w:lastRow="0" w:firstColumn="0" w:lastColumn="0" w:noHBand="0" w:noVBand="1"/>
      </w:tblPr>
      <w:tblGrid>
        <w:gridCol w:w="980"/>
        <w:gridCol w:w="1100"/>
        <w:gridCol w:w="833"/>
        <w:gridCol w:w="1300"/>
        <w:gridCol w:w="833"/>
        <w:gridCol w:w="1300"/>
        <w:gridCol w:w="833"/>
        <w:gridCol w:w="1322"/>
        <w:gridCol w:w="833"/>
        <w:gridCol w:w="1456"/>
      </w:tblGrid>
      <w:tr w:rsidR="007E7234" w:rsidRPr="009E1514" w14:paraId="45023F4E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vAlign w:val="center"/>
            <w:hideMark/>
          </w:tcPr>
          <w:p w14:paraId="6631FA21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10" w:type="pct"/>
            <w:shd w:val="clear" w:color="auto" w:fill="auto"/>
            <w:noWrap/>
            <w:vAlign w:val="center"/>
            <w:hideMark/>
          </w:tcPr>
          <w:p w14:paraId="26559F67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88" w:type="pct"/>
            <w:gridSpan w:val="2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3DD0FCF9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Knight ADRC</w:t>
            </w:r>
          </w:p>
        </w:tc>
        <w:tc>
          <w:tcPr>
            <w:tcW w:w="988" w:type="pct"/>
            <w:gridSpan w:val="2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1585AC09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ADNI</w:t>
            </w:r>
          </w:p>
        </w:tc>
        <w:tc>
          <w:tcPr>
            <w:tcW w:w="1019" w:type="pct"/>
            <w:gridSpan w:val="2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44258500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Knight ADRC</w:t>
            </w:r>
          </w:p>
        </w:tc>
        <w:tc>
          <w:tcPr>
            <w:tcW w:w="1040" w:type="pct"/>
            <w:gridSpan w:val="2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6E6C1F86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ADNI</w:t>
            </w:r>
          </w:p>
        </w:tc>
      </w:tr>
      <w:tr w:rsidR="007E7234" w:rsidRPr="009E1514" w14:paraId="0338672B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2437545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Beginning</w:t>
            </w:r>
          </w:p>
          <w:p w14:paraId="70F69B0D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 xml:space="preserve">%p-tau217 </w:t>
            </w:r>
          </w:p>
        </w:tc>
        <w:tc>
          <w:tcPr>
            <w:tcW w:w="510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3FA72A66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Ending</w:t>
            </w:r>
          </w:p>
          <w:p w14:paraId="0B127262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%p-tau217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5DBADF95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Interval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652049FE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Cumulative</w:t>
            </w:r>
          </w:p>
          <w:p w14:paraId="22C38093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(from 4.06%)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41283F13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Interval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4008942B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Cumulative</w:t>
            </w:r>
          </w:p>
          <w:p w14:paraId="24290E6A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(from 4.06%)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561AB559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Interval</w:t>
            </w:r>
          </w:p>
        </w:tc>
        <w:tc>
          <w:tcPr>
            <w:tcW w:w="633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59AC040D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Cumulative</w:t>
            </w:r>
          </w:p>
          <w:p w14:paraId="37245611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(from 4.06%)</w:t>
            </w:r>
          </w:p>
        </w:tc>
        <w:tc>
          <w:tcPr>
            <w:tcW w:w="35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0806A0DF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Interval</w:t>
            </w:r>
          </w:p>
        </w:tc>
        <w:tc>
          <w:tcPr>
            <w:tcW w:w="68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01564490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Cumulative</w:t>
            </w:r>
          </w:p>
          <w:p w14:paraId="6590E89B" w14:textId="77777777" w:rsidR="007E7234" w:rsidRPr="003F7342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3F7342">
              <w:rPr>
                <w:b/>
                <w:bCs/>
                <w:sz w:val="20"/>
                <w:szCs w:val="20"/>
              </w:rPr>
              <w:t>(from 4.06%)</w:t>
            </w:r>
          </w:p>
        </w:tc>
      </w:tr>
      <w:tr w:rsidR="007E7234" w:rsidRPr="009E1514" w14:paraId="449C4EAA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5DA87EE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  <w:highlight w:val="yellow"/>
              </w:rPr>
            </w:pPr>
            <w:r w:rsidRPr="003F7342">
              <w:rPr>
                <w:color w:val="000000"/>
                <w:sz w:val="20"/>
                <w:szCs w:val="20"/>
              </w:rPr>
              <w:t>1.06</w:t>
            </w:r>
          </w:p>
        </w:tc>
        <w:tc>
          <w:tcPr>
            <w:tcW w:w="510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4B9D8EDA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2.06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767E266C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10.3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6094E648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-10.7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4B534B78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10.9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5832956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-12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23D5B3EB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5.0</w:t>
            </w:r>
          </w:p>
        </w:tc>
        <w:tc>
          <w:tcPr>
            <w:tcW w:w="633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863F285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-7.0</w:t>
            </w:r>
          </w:p>
        </w:tc>
        <w:tc>
          <w:tcPr>
            <w:tcW w:w="35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0D5BC258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6.5</w:t>
            </w:r>
          </w:p>
        </w:tc>
        <w:tc>
          <w:tcPr>
            <w:tcW w:w="68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143B5E46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-6.3</w:t>
            </w:r>
          </w:p>
        </w:tc>
      </w:tr>
      <w:tr w:rsidR="007E7234" w:rsidRPr="009E1514" w14:paraId="3533A9FC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82A22E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2.06</w:t>
            </w:r>
          </w:p>
        </w:tc>
        <w:tc>
          <w:tcPr>
            <w:tcW w:w="510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1D94910F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3.06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678DB7D3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6.2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42D20F84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-4.5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FAA0A15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6.9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95173EA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-5.1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14D898E6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4.0</w:t>
            </w:r>
          </w:p>
        </w:tc>
        <w:tc>
          <w:tcPr>
            <w:tcW w:w="633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546E6E92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-3.0</w:t>
            </w:r>
          </w:p>
        </w:tc>
        <w:tc>
          <w:tcPr>
            <w:tcW w:w="35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2B94A7AA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3.5</w:t>
            </w:r>
          </w:p>
        </w:tc>
        <w:tc>
          <w:tcPr>
            <w:tcW w:w="68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0F0E952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-2.8</w:t>
            </w:r>
          </w:p>
        </w:tc>
      </w:tr>
      <w:tr w:rsidR="007E7234" w:rsidRPr="009E1514" w14:paraId="70CFA376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0CEF0F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3.06</w:t>
            </w:r>
          </w:p>
        </w:tc>
        <w:tc>
          <w:tcPr>
            <w:tcW w:w="510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7D3BCE80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4.06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7A6E07F5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4.5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6A34498C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72F67053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5.1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734012A4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7C180C65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3.0</w:t>
            </w:r>
          </w:p>
        </w:tc>
        <w:tc>
          <w:tcPr>
            <w:tcW w:w="633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41A07168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35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432B8038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2.8</w:t>
            </w:r>
          </w:p>
        </w:tc>
        <w:tc>
          <w:tcPr>
            <w:tcW w:w="68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76E2AB39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</w:t>
            </w:r>
          </w:p>
        </w:tc>
      </w:tr>
      <w:tr w:rsidR="007E7234" w:rsidRPr="009E1514" w14:paraId="5293C964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BEEC83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4.06</w:t>
            </w:r>
          </w:p>
        </w:tc>
        <w:tc>
          <w:tcPr>
            <w:tcW w:w="510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7F844729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5.06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10AAED7A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3.5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8652549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3.5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2B540B55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4.3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52437CFE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4.3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21EF032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2.5</w:t>
            </w:r>
          </w:p>
        </w:tc>
        <w:tc>
          <w:tcPr>
            <w:tcW w:w="633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77F1726C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2.5</w:t>
            </w:r>
          </w:p>
        </w:tc>
        <w:tc>
          <w:tcPr>
            <w:tcW w:w="35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4BF854A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2.8</w:t>
            </w:r>
          </w:p>
        </w:tc>
        <w:tc>
          <w:tcPr>
            <w:tcW w:w="68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4269093A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2.8</w:t>
            </w:r>
          </w:p>
        </w:tc>
      </w:tr>
      <w:tr w:rsidR="007E7234" w:rsidRPr="009E1514" w14:paraId="4C0CE559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A1DA92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5.06</w:t>
            </w:r>
          </w:p>
        </w:tc>
        <w:tc>
          <w:tcPr>
            <w:tcW w:w="510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7E4AD353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6.06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179A1183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2.9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C9E99E5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6.4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3B82AEB9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3.9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1F75C274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8.2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3B1AE6A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2.5</w:t>
            </w:r>
          </w:p>
        </w:tc>
        <w:tc>
          <w:tcPr>
            <w:tcW w:w="633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527CDCEB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5.0</w:t>
            </w:r>
          </w:p>
        </w:tc>
        <w:tc>
          <w:tcPr>
            <w:tcW w:w="35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1B33F6FE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2.5</w:t>
            </w:r>
          </w:p>
        </w:tc>
        <w:tc>
          <w:tcPr>
            <w:tcW w:w="68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33973D06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5.3</w:t>
            </w:r>
          </w:p>
        </w:tc>
      </w:tr>
      <w:tr w:rsidR="007E7234" w:rsidRPr="009E1514" w14:paraId="4B6CEAB4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C75CD4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6.06</w:t>
            </w:r>
          </w:p>
        </w:tc>
        <w:tc>
          <w:tcPr>
            <w:tcW w:w="510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6C40EE28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7.06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11FD56C4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2.4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3EF655C6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8.8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B456C18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3.7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1507C0F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11.9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7B40CCA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2.2</w:t>
            </w:r>
          </w:p>
        </w:tc>
        <w:tc>
          <w:tcPr>
            <w:tcW w:w="633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215B63D9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7.2</w:t>
            </w:r>
          </w:p>
        </w:tc>
        <w:tc>
          <w:tcPr>
            <w:tcW w:w="35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4A123F3B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2.0</w:t>
            </w:r>
          </w:p>
        </w:tc>
        <w:tc>
          <w:tcPr>
            <w:tcW w:w="68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39108FE4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7.3</w:t>
            </w:r>
          </w:p>
        </w:tc>
      </w:tr>
      <w:tr w:rsidR="007E7234" w:rsidRPr="009E1514" w14:paraId="424C6C2E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74E32B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7.06</w:t>
            </w:r>
          </w:p>
        </w:tc>
        <w:tc>
          <w:tcPr>
            <w:tcW w:w="510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1B3BB20E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8.06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5C2A76DC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2.1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641EC377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10.9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B3D9B81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3.7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55834D39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15.6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293667BD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2.2</w:t>
            </w:r>
          </w:p>
        </w:tc>
        <w:tc>
          <w:tcPr>
            <w:tcW w:w="633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273683F2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9.4</w:t>
            </w:r>
          </w:p>
        </w:tc>
        <w:tc>
          <w:tcPr>
            <w:tcW w:w="35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71709CEC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2.2</w:t>
            </w:r>
          </w:p>
        </w:tc>
        <w:tc>
          <w:tcPr>
            <w:tcW w:w="68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8410AEA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9.5</w:t>
            </w:r>
          </w:p>
        </w:tc>
      </w:tr>
      <w:tr w:rsidR="007E7234" w:rsidRPr="009E1514" w14:paraId="3C5BF2A0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DEEAE5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8.06</w:t>
            </w:r>
          </w:p>
        </w:tc>
        <w:tc>
          <w:tcPr>
            <w:tcW w:w="510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6AE5FFEC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9.06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1497EB6F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1.9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232FCDFA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12.8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7BFDC2B0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3.8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5122D618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19.4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407C2FCF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2.0</w:t>
            </w:r>
          </w:p>
        </w:tc>
        <w:tc>
          <w:tcPr>
            <w:tcW w:w="633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7742F0E9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11.4</w:t>
            </w:r>
          </w:p>
        </w:tc>
        <w:tc>
          <w:tcPr>
            <w:tcW w:w="35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5E211D3E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2.5</w:t>
            </w:r>
          </w:p>
        </w:tc>
        <w:tc>
          <w:tcPr>
            <w:tcW w:w="68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376BC471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12.0</w:t>
            </w:r>
          </w:p>
        </w:tc>
      </w:tr>
      <w:tr w:rsidR="007E7234" w:rsidRPr="009E1514" w14:paraId="756C8E08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77BA38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9.06</w:t>
            </w:r>
          </w:p>
        </w:tc>
        <w:tc>
          <w:tcPr>
            <w:tcW w:w="510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  <w:hideMark/>
          </w:tcPr>
          <w:p w14:paraId="422FC4DE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10.06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3DA06046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1.7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4C9A3F49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14.5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547AB5E6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3.9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02A1255B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23.3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7B22BDA4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1.8</w:t>
            </w:r>
          </w:p>
        </w:tc>
        <w:tc>
          <w:tcPr>
            <w:tcW w:w="633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7ED23583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13.2</w:t>
            </w:r>
          </w:p>
        </w:tc>
        <w:tc>
          <w:tcPr>
            <w:tcW w:w="35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615BD9F3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2.5</w:t>
            </w:r>
          </w:p>
        </w:tc>
        <w:tc>
          <w:tcPr>
            <w:tcW w:w="68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  <w:hideMark/>
          </w:tcPr>
          <w:p w14:paraId="1BC526C1" w14:textId="77777777" w:rsidR="007E7234" w:rsidRPr="003F7342" w:rsidRDefault="007E7234" w:rsidP="00F51648">
            <w:pPr>
              <w:jc w:val="center"/>
              <w:rPr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14.5</w:t>
            </w:r>
          </w:p>
        </w:tc>
      </w:tr>
      <w:tr w:rsidR="007E7234" w:rsidRPr="009E1514" w14:paraId="57ACDD65" w14:textId="77777777" w:rsidTr="00F51648">
        <w:trPr>
          <w:trHeight w:val="20"/>
        </w:trPr>
        <w:tc>
          <w:tcPr>
            <w:tcW w:w="454" w:type="pct"/>
            <w:shd w:val="clear" w:color="auto" w:fill="auto"/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091B387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10.06</w:t>
            </w:r>
          </w:p>
        </w:tc>
        <w:tc>
          <w:tcPr>
            <w:tcW w:w="510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14:paraId="50A12E2A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10.40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274DF38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0.6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68A438A4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15.1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7F1DC87C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1.2</w:t>
            </w:r>
          </w:p>
        </w:tc>
        <w:tc>
          <w:tcPr>
            <w:tcW w:w="602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34A1463E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24.5</w:t>
            </w:r>
          </w:p>
        </w:tc>
        <w:tc>
          <w:tcPr>
            <w:tcW w:w="386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2A10827B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0.5</w:t>
            </w:r>
          </w:p>
        </w:tc>
        <w:tc>
          <w:tcPr>
            <w:tcW w:w="633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66A66DF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13.7</w:t>
            </w:r>
          </w:p>
        </w:tc>
        <w:tc>
          <w:tcPr>
            <w:tcW w:w="35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4AF97013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0.5</w:t>
            </w:r>
          </w:p>
        </w:tc>
        <w:tc>
          <w:tcPr>
            <w:tcW w:w="685" w:type="pct"/>
            <w:shd w:val="clear" w:color="auto" w:fill="auto"/>
            <w:noWrap/>
            <w:tcMar>
              <w:top w:w="72" w:type="dxa"/>
              <w:left w:w="72" w:type="dxa"/>
              <w:bottom w:w="72" w:type="dxa"/>
              <w:right w:w="72" w:type="dxa"/>
            </w:tcMar>
            <w:vAlign w:val="bottom"/>
          </w:tcPr>
          <w:p w14:paraId="5E4D546E" w14:textId="77777777" w:rsidR="007E7234" w:rsidRPr="003F7342" w:rsidRDefault="007E7234" w:rsidP="00F51648">
            <w:pPr>
              <w:jc w:val="center"/>
              <w:rPr>
                <w:color w:val="000000"/>
                <w:sz w:val="20"/>
                <w:szCs w:val="20"/>
              </w:rPr>
            </w:pPr>
            <w:r w:rsidRPr="003F7342">
              <w:rPr>
                <w:color w:val="000000"/>
                <w:sz w:val="20"/>
                <w:szCs w:val="20"/>
              </w:rPr>
              <w:t>15.0</w:t>
            </w:r>
          </w:p>
        </w:tc>
      </w:tr>
    </w:tbl>
    <w:p w14:paraId="1DB658F0" w14:textId="77777777" w:rsidR="007E7234" w:rsidRPr="00B93C87" w:rsidRDefault="007E7234" w:rsidP="007E7234">
      <w:r w:rsidRPr="00B93C87">
        <w:t xml:space="preserve"> </w:t>
      </w:r>
    </w:p>
    <w:p w14:paraId="777EC294" w14:textId="77777777" w:rsidR="007E7234" w:rsidRPr="00B93C87" w:rsidRDefault="007E7234" w:rsidP="007E7234">
      <w:pPr>
        <w:rPr>
          <w:b/>
          <w:bCs/>
        </w:rPr>
      </w:pPr>
      <w:r w:rsidRPr="00B93C87">
        <w:br w:type="page"/>
      </w:r>
    </w:p>
    <w:p w14:paraId="54FBAE56" w14:textId="77777777" w:rsidR="007E7234" w:rsidRPr="003F7342" w:rsidRDefault="007E7234" w:rsidP="007E7234">
      <w:r w:rsidRPr="00B93C87">
        <w:rPr>
          <w:b/>
          <w:bCs/>
        </w:rPr>
        <w:lastRenderedPageBreak/>
        <w:t xml:space="preserve">Extended Table 3. Validation of estimated age </w:t>
      </w:r>
      <w:r>
        <w:rPr>
          <w:b/>
          <w:bCs/>
        </w:rPr>
        <w:t xml:space="preserve">at </w:t>
      </w:r>
      <w:r w:rsidRPr="00B93C87">
        <w:rPr>
          <w:b/>
          <w:bCs/>
        </w:rPr>
        <w:t xml:space="preserve">symptom onset. </w:t>
      </w:r>
      <w:r>
        <w:t>Metrics</w:t>
      </w:r>
      <w:r w:rsidRPr="00B93C87">
        <w:t xml:space="preserve"> </w:t>
      </w:r>
      <w:r>
        <w:t xml:space="preserve">are shown for linear models estimating </w:t>
      </w:r>
      <w:r w:rsidRPr="00B93C87">
        <w:t xml:space="preserve">the age </w:t>
      </w:r>
      <w:r>
        <w:t xml:space="preserve">at </w:t>
      </w:r>
      <w:r w:rsidRPr="00B93C87">
        <w:t xml:space="preserve">symptom onset </w:t>
      </w:r>
      <w:r>
        <w:t xml:space="preserve">based on the estimated age at %p-tau217 positivity using either </w:t>
      </w:r>
      <w:r w:rsidRPr="00B93C87">
        <w:t xml:space="preserve">TIRA </w:t>
      </w:r>
      <w:r>
        <w:t xml:space="preserve">or </w:t>
      </w:r>
      <w:r w:rsidRPr="00B93C87">
        <w:t xml:space="preserve">SILA </w:t>
      </w:r>
      <w:r>
        <w:t>clocks. Metrics are shown for internal validation (same model and test cohort) and external validation (different model and test cohort): S</w:t>
      </w:r>
      <w:r w:rsidRPr="00B93C87">
        <w:t>pearman correlation, adjusted R</w:t>
      </w:r>
      <w:r w:rsidRPr="00B93C87">
        <w:rPr>
          <w:vertAlign w:val="superscript"/>
        </w:rPr>
        <w:t>2</w:t>
      </w:r>
      <w:r w:rsidRPr="00B93C87">
        <w:t xml:space="preserve">, non-parametric concordance correlation coefficient (CCC), root mean squared error (RMSE), mean absolute error (MAE), </w:t>
      </w:r>
      <w:r>
        <w:t xml:space="preserve">and </w:t>
      </w:r>
      <w:r w:rsidRPr="00B93C87">
        <w:t>median absolute error (MdAE)</w:t>
      </w:r>
      <w:r>
        <w:t>.</w:t>
      </w:r>
    </w:p>
    <w:p w14:paraId="565BFBC6" w14:textId="77777777" w:rsidR="007E7234" w:rsidRPr="00B93C87" w:rsidRDefault="007E7234" w:rsidP="007E7234">
      <w:pPr>
        <w:rPr>
          <w:b/>
          <w:bCs/>
        </w:rPr>
      </w:pPr>
    </w:p>
    <w:tbl>
      <w:tblPr>
        <w:tblStyle w:val="TableGrid"/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345"/>
        <w:gridCol w:w="810"/>
        <w:gridCol w:w="810"/>
        <w:gridCol w:w="900"/>
        <w:gridCol w:w="1170"/>
        <w:gridCol w:w="1260"/>
        <w:gridCol w:w="1080"/>
        <w:gridCol w:w="810"/>
        <w:gridCol w:w="900"/>
        <w:gridCol w:w="810"/>
        <w:gridCol w:w="895"/>
      </w:tblGrid>
      <w:tr w:rsidR="007E7234" w:rsidRPr="005E2BD4" w14:paraId="141AA483" w14:textId="77777777" w:rsidTr="00F51648">
        <w:trPr>
          <w:trHeight w:val="432"/>
          <w:jc w:val="center"/>
        </w:trPr>
        <w:tc>
          <w:tcPr>
            <w:tcW w:w="1345" w:type="dxa"/>
            <w:vAlign w:val="center"/>
            <w:hideMark/>
          </w:tcPr>
          <w:p w14:paraId="21D6AF4D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Check Type</w:t>
            </w:r>
          </w:p>
        </w:tc>
        <w:tc>
          <w:tcPr>
            <w:tcW w:w="810" w:type="dxa"/>
            <w:vAlign w:val="center"/>
            <w:hideMark/>
          </w:tcPr>
          <w:p w14:paraId="440FE4AE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Model</w:t>
            </w:r>
          </w:p>
          <w:p w14:paraId="30C4BA88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810" w:type="dxa"/>
            <w:vAlign w:val="center"/>
            <w:hideMark/>
          </w:tcPr>
          <w:p w14:paraId="0634CCA6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Test</w:t>
            </w:r>
          </w:p>
          <w:p w14:paraId="329BBC98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cohort</w:t>
            </w:r>
          </w:p>
        </w:tc>
        <w:tc>
          <w:tcPr>
            <w:tcW w:w="900" w:type="dxa"/>
            <w:vAlign w:val="center"/>
            <w:hideMark/>
          </w:tcPr>
          <w:p w14:paraId="1B9EE737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Method</w:t>
            </w:r>
          </w:p>
        </w:tc>
        <w:tc>
          <w:tcPr>
            <w:tcW w:w="1170" w:type="dxa"/>
            <w:vAlign w:val="center"/>
            <w:hideMark/>
          </w:tcPr>
          <w:p w14:paraId="3A18F436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No. of</w:t>
            </w:r>
          </w:p>
          <w:p w14:paraId="6A5D7D2D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converters</w:t>
            </w:r>
          </w:p>
        </w:tc>
        <w:tc>
          <w:tcPr>
            <w:tcW w:w="1260" w:type="dxa"/>
            <w:vAlign w:val="center"/>
          </w:tcPr>
          <w:p w14:paraId="1F982514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Spearman</w:t>
            </w:r>
          </w:p>
          <w:p w14:paraId="2AD3422A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</w:t>
            </w:r>
            <w:r w:rsidRPr="0002426C">
              <w:rPr>
                <w:b/>
                <w:bCs/>
                <w:sz w:val="20"/>
                <w:szCs w:val="20"/>
              </w:rPr>
              <w:t>orrelation</w:t>
            </w:r>
          </w:p>
        </w:tc>
        <w:tc>
          <w:tcPr>
            <w:tcW w:w="1080" w:type="dxa"/>
            <w:vAlign w:val="center"/>
          </w:tcPr>
          <w:p w14:paraId="059E0D31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Adjusted R</w:t>
            </w:r>
            <w:r w:rsidRPr="0002426C">
              <w:rPr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10" w:type="dxa"/>
            <w:vAlign w:val="center"/>
          </w:tcPr>
          <w:p w14:paraId="1B6CD2AA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CCC</w:t>
            </w:r>
          </w:p>
        </w:tc>
        <w:tc>
          <w:tcPr>
            <w:tcW w:w="900" w:type="dxa"/>
            <w:vAlign w:val="center"/>
            <w:hideMark/>
          </w:tcPr>
          <w:p w14:paraId="38DA90A3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RMSE</w:t>
            </w:r>
          </w:p>
        </w:tc>
        <w:tc>
          <w:tcPr>
            <w:tcW w:w="810" w:type="dxa"/>
            <w:vAlign w:val="center"/>
            <w:hideMark/>
          </w:tcPr>
          <w:p w14:paraId="33EB7EA1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MAE</w:t>
            </w:r>
          </w:p>
        </w:tc>
        <w:tc>
          <w:tcPr>
            <w:tcW w:w="895" w:type="dxa"/>
            <w:vAlign w:val="center"/>
            <w:hideMark/>
          </w:tcPr>
          <w:p w14:paraId="6C65AFEA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MdAE</w:t>
            </w:r>
          </w:p>
        </w:tc>
      </w:tr>
      <w:tr w:rsidR="007E7234" w:rsidRPr="005E2BD4" w14:paraId="00009192" w14:textId="77777777" w:rsidTr="00F51648">
        <w:trPr>
          <w:trHeight w:val="432"/>
          <w:jc w:val="center"/>
        </w:trPr>
        <w:tc>
          <w:tcPr>
            <w:tcW w:w="1345" w:type="dxa"/>
            <w:vMerge w:val="restart"/>
            <w:vAlign w:val="center"/>
            <w:hideMark/>
          </w:tcPr>
          <w:p w14:paraId="5D25FCD8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Internal</w:t>
            </w:r>
            <w:r>
              <w:rPr>
                <w:b/>
                <w:bCs/>
                <w:sz w:val="20"/>
                <w:szCs w:val="20"/>
              </w:rPr>
              <w:t xml:space="preserve"> validation</w:t>
            </w:r>
            <w:r w:rsidRPr="0002426C">
              <w:rPr>
                <w:b/>
                <w:bCs/>
                <w:sz w:val="20"/>
                <w:szCs w:val="20"/>
              </w:rPr>
              <w:t xml:space="preserve"> (within cohort)</w:t>
            </w:r>
          </w:p>
        </w:tc>
        <w:tc>
          <w:tcPr>
            <w:tcW w:w="810" w:type="dxa"/>
            <w:vAlign w:val="center"/>
            <w:hideMark/>
          </w:tcPr>
          <w:p w14:paraId="1561E0B5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Knight ADRC</w:t>
            </w:r>
          </w:p>
        </w:tc>
        <w:tc>
          <w:tcPr>
            <w:tcW w:w="810" w:type="dxa"/>
            <w:vAlign w:val="center"/>
            <w:hideMark/>
          </w:tcPr>
          <w:p w14:paraId="66F64B5B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Knight ADRC</w:t>
            </w:r>
          </w:p>
        </w:tc>
        <w:tc>
          <w:tcPr>
            <w:tcW w:w="900" w:type="dxa"/>
            <w:vAlign w:val="center"/>
            <w:hideMark/>
          </w:tcPr>
          <w:p w14:paraId="11B5C677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TIRA</w:t>
            </w:r>
          </w:p>
        </w:tc>
        <w:tc>
          <w:tcPr>
            <w:tcW w:w="1170" w:type="dxa"/>
            <w:vAlign w:val="center"/>
            <w:hideMark/>
          </w:tcPr>
          <w:p w14:paraId="058B85FF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59</w:t>
            </w:r>
          </w:p>
        </w:tc>
        <w:tc>
          <w:tcPr>
            <w:tcW w:w="1260" w:type="dxa"/>
            <w:vAlign w:val="center"/>
          </w:tcPr>
          <w:p w14:paraId="54A0350B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0.752</w:t>
            </w:r>
          </w:p>
        </w:tc>
        <w:tc>
          <w:tcPr>
            <w:tcW w:w="1080" w:type="dxa"/>
            <w:vAlign w:val="center"/>
          </w:tcPr>
          <w:p w14:paraId="211FC3AF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0.599</w:t>
            </w:r>
          </w:p>
        </w:tc>
        <w:tc>
          <w:tcPr>
            <w:tcW w:w="810" w:type="dxa"/>
            <w:vAlign w:val="center"/>
          </w:tcPr>
          <w:p w14:paraId="5AA2DE80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0.839</w:t>
            </w:r>
          </w:p>
        </w:tc>
        <w:tc>
          <w:tcPr>
            <w:tcW w:w="900" w:type="dxa"/>
            <w:vAlign w:val="center"/>
            <w:hideMark/>
          </w:tcPr>
          <w:p w14:paraId="353EAABE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4.3</w:t>
            </w:r>
          </w:p>
        </w:tc>
        <w:tc>
          <w:tcPr>
            <w:tcW w:w="810" w:type="dxa"/>
            <w:vAlign w:val="center"/>
            <w:hideMark/>
          </w:tcPr>
          <w:p w14:paraId="4029177C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3.5</w:t>
            </w:r>
          </w:p>
        </w:tc>
        <w:tc>
          <w:tcPr>
            <w:tcW w:w="895" w:type="dxa"/>
            <w:vAlign w:val="center"/>
            <w:hideMark/>
          </w:tcPr>
          <w:p w14:paraId="0376CF6F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3.1</w:t>
            </w:r>
          </w:p>
        </w:tc>
      </w:tr>
      <w:tr w:rsidR="007E7234" w:rsidRPr="005E2BD4" w14:paraId="42957303" w14:textId="77777777" w:rsidTr="00F51648">
        <w:trPr>
          <w:trHeight w:val="432"/>
          <w:jc w:val="center"/>
        </w:trPr>
        <w:tc>
          <w:tcPr>
            <w:tcW w:w="1345" w:type="dxa"/>
            <w:vMerge/>
            <w:vAlign w:val="center"/>
            <w:hideMark/>
          </w:tcPr>
          <w:p w14:paraId="30DD4304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vAlign w:val="center"/>
            <w:hideMark/>
          </w:tcPr>
          <w:p w14:paraId="3360B40A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Knight ADRC</w:t>
            </w:r>
          </w:p>
        </w:tc>
        <w:tc>
          <w:tcPr>
            <w:tcW w:w="810" w:type="dxa"/>
            <w:vAlign w:val="center"/>
            <w:hideMark/>
          </w:tcPr>
          <w:p w14:paraId="1FE7C51E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Knight ADRC</w:t>
            </w:r>
          </w:p>
        </w:tc>
        <w:tc>
          <w:tcPr>
            <w:tcW w:w="900" w:type="dxa"/>
            <w:vAlign w:val="center"/>
            <w:hideMark/>
          </w:tcPr>
          <w:p w14:paraId="1981CF71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SILA</w:t>
            </w:r>
          </w:p>
        </w:tc>
        <w:tc>
          <w:tcPr>
            <w:tcW w:w="1170" w:type="dxa"/>
            <w:vAlign w:val="center"/>
            <w:hideMark/>
          </w:tcPr>
          <w:p w14:paraId="23FFD6BA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61</w:t>
            </w:r>
          </w:p>
        </w:tc>
        <w:tc>
          <w:tcPr>
            <w:tcW w:w="1260" w:type="dxa"/>
            <w:vAlign w:val="center"/>
          </w:tcPr>
          <w:p w14:paraId="28DD6BA6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0.765</w:t>
            </w:r>
          </w:p>
        </w:tc>
        <w:tc>
          <w:tcPr>
            <w:tcW w:w="1080" w:type="dxa"/>
            <w:vAlign w:val="center"/>
          </w:tcPr>
          <w:p w14:paraId="51777D1F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0.612</w:t>
            </w:r>
          </w:p>
        </w:tc>
        <w:tc>
          <w:tcPr>
            <w:tcW w:w="810" w:type="dxa"/>
            <w:vAlign w:val="center"/>
          </w:tcPr>
          <w:p w14:paraId="7007E27A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0.837</w:t>
            </w:r>
          </w:p>
        </w:tc>
        <w:tc>
          <w:tcPr>
            <w:tcW w:w="900" w:type="dxa"/>
            <w:vAlign w:val="center"/>
            <w:hideMark/>
          </w:tcPr>
          <w:p w14:paraId="798868D0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4.1</w:t>
            </w:r>
          </w:p>
        </w:tc>
        <w:tc>
          <w:tcPr>
            <w:tcW w:w="810" w:type="dxa"/>
            <w:vAlign w:val="center"/>
            <w:hideMark/>
          </w:tcPr>
          <w:p w14:paraId="0129F591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3.4</w:t>
            </w:r>
          </w:p>
        </w:tc>
        <w:tc>
          <w:tcPr>
            <w:tcW w:w="895" w:type="dxa"/>
            <w:vAlign w:val="center"/>
            <w:hideMark/>
          </w:tcPr>
          <w:p w14:paraId="41BE74D9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3.1</w:t>
            </w:r>
          </w:p>
        </w:tc>
      </w:tr>
      <w:tr w:rsidR="007E7234" w:rsidRPr="005E2BD4" w14:paraId="17FECE5F" w14:textId="77777777" w:rsidTr="00F51648">
        <w:trPr>
          <w:trHeight w:val="432"/>
          <w:jc w:val="center"/>
        </w:trPr>
        <w:tc>
          <w:tcPr>
            <w:tcW w:w="1345" w:type="dxa"/>
            <w:vMerge/>
            <w:vAlign w:val="center"/>
            <w:hideMark/>
          </w:tcPr>
          <w:p w14:paraId="7A6A18A5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vAlign w:val="center"/>
            <w:hideMark/>
          </w:tcPr>
          <w:p w14:paraId="53407AFC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ADNI</w:t>
            </w:r>
          </w:p>
        </w:tc>
        <w:tc>
          <w:tcPr>
            <w:tcW w:w="810" w:type="dxa"/>
            <w:vAlign w:val="center"/>
            <w:hideMark/>
          </w:tcPr>
          <w:p w14:paraId="6BBAF7ED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ADNI</w:t>
            </w:r>
          </w:p>
        </w:tc>
        <w:tc>
          <w:tcPr>
            <w:tcW w:w="900" w:type="dxa"/>
            <w:vAlign w:val="center"/>
            <w:hideMark/>
          </w:tcPr>
          <w:p w14:paraId="7EC62BE4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TIRA</w:t>
            </w:r>
          </w:p>
        </w:tc>
        <w:tc>
          <w:tcPr>
            <w:tcW w:w="1170" w:type="dxa"/>
            <w:vAlign w:val="center"/>
            <w:hideMark/>
          </w:tcPr>
          <w:p w14:paraId="138EC025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20</w:t>
            </w:r>
          </w:p>
        </w:tc>
        <w:tc>
          <w:tcPr>
            <w:tcW w:w="1260" w:type="dxa"/>
            <w:vAlign w:val="center"/>
          </w:tcPr>
          <w:p w14:paraId="666DF7B9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0.522</w:t>
            </w:r>
          </w:p>
        </w:tc>
        <w:tc>
          <w:tcPr>
            <w:tcW w:w="1080" w:type="dxa"/>
            <w:vAlign w:val="center"/>
          </w:tcPr>
          <w:p w14:paraId="23C55B76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0.337</w:t>
            </w:r>
          </w:p>
        </w:tc>
        <w:tc>
          <w:tcPr>
            <w:tcW w:w="810" w:type="dxa"/>
            <w:vAlign w:val="center"/>
          </w:tcPr>
          <w:p w14:paraId="65527CE1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0.771</w:t>
            </w:r>
          </w:p>
        </w:tc>
        <w:tc>
          <w:tcPr>
            <w:tcW w:w="900" w:type="dxa"/>
            <w:vAlign w:val="center"/>
            <w:hideMark/>
          </w:tcPr>
          <w:p w14:paraId="288DBABA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4.4</w:t>
            </w:r>
          </w:p>
        </w:tc>
        <w:tc>
          <w:tcPr>
            <w:tcW w:w="810" w:type="dxa"/>
            <w:vAlign w:val="center"/>
            <w:hideMark/>
          </w:tcPr>
          <w:p w14:paraId="60413621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3.8</w:t>
            </w:r>
          </w:p>
        </w:tc>
        <w:tc>
          <w:tcPr>
            <w:tcW w:w="895" w:type="dxa"/>
            <w:vAlign w:val="center"/>
            <w:hideMark/>
          </w:tcPr>
          <w:p w14:paraId="40C6718C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3.5</w:t>
            </w:r>
          </w:p>
        </w:tc>
      </w:tr>
      <w:tr w:rsidR="007E7234" w:rsidRPr="005E2BD4" w14:paraId="0071D33B" w14:textId="77777777" w:rsidTr="00F51648">
        <w:trPr>
          <w:trHeight w:val="432"/>
          <w:jc w:val="center"/>
        </w:trPr>
        <w:tc>
          <w:tcPr>
            <w:tcW w:w="1345" w:type="dxa"/>
            <w:vMerge/>
            <w:vAlign w:val="center"/>
            <w:hideMark/>
          </w:tcPr>
          <w:p w14:paraId="253FC311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10" w:type="dxa"/>
            <w:vAlign w:val="center"/>
            <w:hideMark/>
          </w:tcPr>
          <w:p w14:paraId="1A2B31A1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ADNI</w:t>
            </w:r>
          </w:p>
        </w:tc>
        <w:tc>
          <w:tcPr>
            <w:tcW w:w="810" w:type="dxa"/>
            <w:vAlign w:val="center"/>
            <w:hideMark/>
          </w:tcPr>
          <w:p w14:paraId="061BA7C9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ADNI</w:t>
            </w:r>
          </w:p>
        </w:tc>
        <w:tc>
          <w:tcPr>
            <w:tcW w:w="900" w:type="dxa"/>
            <w:vAlign w:val="center"/>
            <w:hideMark/>
          </w:tcPr>
          <w:p w14:paraId="6E0089A2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SILA</w:t>
            </w:r>
          </w:p>
        </w:tc>
        <w:tc>
          <w:tcPr>
            <w:tcW w:w="1170" w:type="dxa"/>
            <w:vAlign w:val="center"/>
            <w:hideMark/>
          </w:tcPr>
          <w:p w14:paraId="25ACEDDC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22</w:t>
            </w:r>
          </w:p>
        </w:tc>
        <w:tc>
          <w:tcPr>
            <w:tcW w:w="1260" w:type="dxa"/>
            <w:vAlign w:val="center"/>
          </w:tcPr>
          <w:p w14:paraId="762DDAE0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0.673</w:t>
            </w:r>
          </w:p>
        </w:tc>
        <w:tc>
          <w:tcPr>
            <w:tcW w:w="1080" w:type="dxa"/>
            <w:vAlign w:val="center"/>
          </w:tcPr>
          <w:p w14:paraId="5832A7ED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0.470</w:t>
            </w:r>
          </w:p>
        </w:tc>
        <w:tc>
          <w:tcPr>
            <w:tcW w:w="810" w:type="dxa"/>
            <w:vAlign w:val="center"/>
          </w:tcPr>
          <w:p w14:paraId="2A61264F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0.814</w:t>
            </w:r>
          </w:p>
        </w:tc>
        <w:tc>
          <w:tcPr>
            <w:tcW w:w="900" w:type="dxa"/>
            <w:vAlign w:val="center"/>
            <w:hideMark/>
          </w:tcPr>
          <w:p w14:paraId="6C077E29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3.7</w:t>
            </w:r>
          </w:p>
        </w:tc>
        <w:tc>
          <w:tcPr>
            <w:tcW w:w="810" w:type="dxa"/>
            <w:vAlign w:val="center"/>
            <w:hideMark/>
          </w:tcPr>
          <w:p w14:paraId="767FE673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3.2</w:t>
            </w:r>
          </w:p>
        </w:tc>
        <w:tc>
          <w:tcPr>
            <w:tcW w:w="895" w:type="dxa"/>
            <w:vAlign w:val="center"/>
            <w:hideMark/>
          </w:tcPr>
          <w:p w14:paraId="23B8B7D9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3.0</w:t>
            </w:r>
          </w:p>
        </w:tc>
      </w:tr>
      <w:tr w:rsidR="007E7234" w:rsidRPr="005E2BD4" w14:paraId="39C4744D" w14:textId="77777777" w:rsidTr="00F51648">
        <w:trPr>
          <w:trHeight w:val="432"/>
          <w:jc w:val="center"/>
        </w:trPr>
        <w:tc>
          <w:tcPr>
            <w:tcW w:w="1345" w:type="dxa"/>
            <w:vMerge w:val="restart"/>
            <w:vAlign w:val="center"/>
            <w:hideMark/>
          </w:tcPr>
          <w:p w14:paraId="29C13848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External</w:t>
            </w:r>
            <w:r>
              <w:rPr>
                <w:b/>
                <w:bCs/>
                <w:sz w:val="20"/>
                <w:szCs w:val="20"/>
              </w:rPr>
              <w:t xml:space="preserve"> validation</w:t>
            </w:r>
          </w:p>
          <w:p w14:paraId="7498DE52" w14:textId="77777777" w:rsidR="007E7234" w:rsidRPr="0002426C" w:rsidRDefault="007E7234" w:rsidP="00F51648">
            <w:pPr>
              <w:jc w:val="center"/>
              <w:rPr>
                <w:b/>
                <w:bCs/>
                <w:sz w:val="20"/>
                <w:szCs w:val="20"/>
              </w:rPr>
            </w:pPr>
            <w:r w:rsidRPr="0002426C">
              <w:rPr>
                <w:b/>
                <w:bCs/>
                <w:sz w:val="20"/>
                <w:szCs w:val="20"/>
              </w:rPr>
              <w:t>(independent cohort)</w:t>
            </w:r>
          </w:p>
        </w:tc>
        <w:tc>
          <w:tcPr>
            <w:tcW w:w="810" w:type="dxa"/>
            <w:vAlign w:val="center"/>
            <w:hideMark/>
          </w:tcPr>
          <w:p w14:paraId="2795F606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Knight ADRC</w:t>
            </w:r>
          </w:p>
        </w:tc>
        <w:tc>
          <w:tcPr>
            <w:tcW w:w="810" w:type="dxa"/>
            <w:vAlign w:val="center"/>
            <w:hideMark/>
          </w:tcPr>
          <w:p w14:paraId="3F0C1A93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ADNI</w:t>
            </w:r>
          </w:p>
        </w:tc>
        <w:tc>
          <w:tcPr>
            <w:tcW w:w="900" w:type="dxa"/>
            <w:vAlign w:val="center"/>
            <w:hideMark/>
          </w:tcPr>
          <w:p w14:paraId="4E643D70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TIRA</w:t>
            </w:r>
          </w:p>
        </w:tc>
        <w:tc>
          <w:tcPr>
            <w:tcW w:w="1170" w:type="dxa"/>
            <w:vAlign w:val="center"/>
            <w:hideMark/>
          </w:tcPr>
          <w:p w14:paraId="7695C8D3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20</w:t>
            </w:r>
          </w:p>
        </w:tc>
        <w:tc>
          <w:tcPr>
            <w:tcW w:w="1260" w:type="dxa"/>
            <w:vAlign w:val="center"/>
          </w:tcPr>
          <w:p w14:paraId="6B46505E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0.595</w:t>
            </w:r>
          </w:p>
        </w:tc>
        <w:tc>
          <w:tcPr>
            <w:tcW w:w="1080" w:type="dxa"/>
            <w:vAlign w:val="center"/>
          </w:tcPr>
          <w:p w14:paraId="038620F6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0.467</w:t>
            </w:r>
          </w:p>
        </w:tc>
        <w:tc>
          <w:tcPr>
            <w:tcW w:w="810" w:type="dxa"/>
            <w:vAlign w:val="center"/>
          </w:tcPr>
          <w:p w14:paraId="4BAB25C1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0.805</w:t>
            </w:r>
          </w:p>
        </w:tc>
        <w:tc>
          <w:tcPr>
            <w:tcW w:w="900" w:type="dxa"/>
            <w:vAlign w:val="center"/>
            <w:hideMark/>
          </w:tcPr>
          <w:p w14:paraId="7FD43347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4.0</w:t>
            </w:r>
          </w:p>
        </w:tc>
        <w:tc>
          <w:tcPr>
            <w:tcW w:w="810" w:type="dxa"/>
            <w:vAlign w:val="center"/>
            <w:hideMark/>
          </w:tcPr>
          <w:p w14:paraId="0AC026A7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3.3</w:t>
            </w:r>
          </w:p>
        </w:tc>
        <w:tc>
          <w:tcPr>
            <w:tcW w:w="895" w:type="dxa"/>
            <w:vAlign w:val="center"/>
            <w:hideMark/>
          </w:tcPr>
          <w:p w14:paraId="089791E3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3.0</w:t>
            </w:r>
          </w:p>
        </w:tc>
      </w:tr>
      <w:tr w:rsidR="007E7234" w:rsidRPr="005E2BD4" w14:paraId="299155F1" w14:textId="77777777" w:rsidTr="00F51648">
        <w:trPr>
          <w:trHeight w:val="432"/>
          <w:jc w:val="center"/>
        </w:trPr>
        <w:tc>
          <w:tcPr>
            <w:tcW w:w="1345" w:type="dxa"/>
            <w:vMerge/>
            <w:vAlign w:val="center"/>
            <w:hideMark/>
          </w:tcPr>
          <w:p w14:paraId="40AE88B6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  <w:hideMark/>
          </w:tcPr>
          <w:p w14:paraId="02BF86B0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Knight ADRC</w:t>
            </w:r>
          </w:p>
        </w:tc>
        <w:tc>
          <w:tcPr>
            <w:tcW w:w="810" w:type="dxa"/>
            <w:vAlign w:val="center"/>
            <w:hideMark/>
          </w:tcPr>
          <w:p w14:paraId="089EB5E1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ADNI</w:t>
            </w:r>
          </w:p>
        </w:tc>
        <w:tc>
          <w:tcPr>
            <w:tcW w:w="900" w:type="dxa"/>
            <w:vAlign w:val="center"/>
            <w:hideMark/>
          </w:tcPr>
          <w:p w14:paraId="4BB42519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SILA</w:t>
            </w:r>
          </w:p>
        </w:tc>
        <w:tc>
          <w:tcPr>
            <w:tcW w:w="1170" w:type="dxa"/>
            <w:vAlign w:val="center"/>
            <w:hideMark/>
          </w:tcPr>
          <w:p w14:paraId="59000EEE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22</w:t>
            </w:r>
          </w:p>
        </w:tc>
        <w:tc>
          <w:tcPr>
            <w:tcW w:w="1260" w:type="dxa"/>
            <w:vAlign w:val="center"/>
          </w:tcPr>
          <w:p w14:paraId="7249AFBA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0.611</w:t>
            </w:r>
          </w:p>
        </w:tc>
        <w:tc>
          <w:tcPr>
            <w:tcW w:w="1080" w:type="dxa"/>
            <w:vAlign w:val="center"/>
          </w:tcPr>
          <w:p w14:paraId="0FE768A9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0.463</w:t>
            </w:r>
          </w:p>
        </w:tc>
        <w:tc>
          <w:tcPr>
            <w:tcW w:w="810" w:type="dxa"/>
            <w:vAlign w:val="center"/>
          </w:tcPr>
          <w:p w14:paraId="3BA6D910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0.801</w:t>
            </w:r>
          </w:p>
        </w:tc>
        <w:tc>
          <w:tcPr>
            <w:tcW w:w="900" w:type="dxa"/>
            <w:vAlign w:val="center"/>
            <w:hideMark/>
          </w:tcPr>
          <w:p w14:paraId="0AE20119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4.0</w:t>
            </w:r>
          </w:p>
        </w:tc>
        <w:tc>
          <w:tcPr>
            <w:tcW w:w="810" w:type="dxa"/>
            <w:vAlign w:val="center"/>
            <w:hideMark/>
          </w:tcPr>
          <w:p w14:paraId="1B50DE19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3.5</w:t>
            </w:r>
          </w:p>
        </w:tc>
        <w:tc>
          <w:tcPr>
            <w:tcW w:w="895" w:type="dxa"/>
            <w:vAlign w:val="center"/>
            <w:hideMark/>
          </w:tcPr>
          <w:p w14:paraId="08651989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3.2</w:t>
            </w:r>
          </w:p>
        </w:tc>
      </w:tr>
      <w:tr w:rsidR="007E7234" w:rsidRPr="005E2BD4" w14:paraId="02967648" w14:textId="77777777" w:rsidTr="00F51648">
        <w:trPr>
          <w:trHeight w:val="432"/>
          <w:jc w:val="center"/>
        </w:trPr>
        <w:tc>
          <w:tcPr>
            <w:tcW w:w="1345" w:type="dxa"/>
            <w:vMerge/>
            <w:vAlign w:val="center"/>
            <w:hideMark/>
          </w:tcPr>
          <w:p w14:paraId="479AC8BB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  <w:hideMark/>
          </w:tcPr>
          <w:p w14:paraId="18138108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ADNI</w:t>
            </w:r>
          </w:p>
        </w:tc>
        <w:tc>
          <w:tcPr>
            <w:tcW w:w="810" w:type="dxa"/>
            <w:vAlign w:val="center"/>
            <w:hideMark/>
          </w:tcPr>
          <w:p w14:paraId="3F49D43E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Knight ADRC</w:t>
            </w:r>
          </w:p>
        </w:tc>
        <w:tc>
          <w:tcPr>
            <w:tcW w:w="900" w:type="dxa"/>
            <w:vAlign w:val="center"/>
            <w:hideMark/>
          </w:tcPr>
          <w:p w14:paraId="0E601B2E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TIRA</w:t>
            </w:r>
          </w:p>
        </w:tc>
        <w:tc>
          <w:tcPr>
            <w:tcW w:w="1170" w:type="dxa"/>
            <w:vAlign w:val="center"/>
            <w:hideMark/>
          </w:tcPr>
          <w:p w14:paraId="17FF6039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59</w:t>
            </w:r>
          </w:p>
        </w:tc>
        <w:tc>
          <w:tcPr>
            <w:tcW w:w="1260" w:type="dxa"/>
            <w:vAlign w:val="center"/>
          </w:tcPr>
          <w:p w14:paraId="3B1B1A23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0.669</w:t>
            </w:r>
          </w:p>
        </w:tc>
        <w:tc>
          <w:tcPr>
            <w:tcW w:w="1080" w:type="dxa"/>
            <w:vAlign w:val="center"/>
          </w:tcPr>
          <w:p w14:paraId="19C689BB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0.509</w:t>
            </w:r>
          </w:p>
        </w:tc>
        <w:tc>
          <w:tcPr>
            <w:tcW w:w="810" w:type="dxa"/>
            <w:vAlign w:val="center"/>
          </w:tcPr>
          <w:p w14:paraId="709E9CAD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0.808</w:t>
            </w:r>
          </w:p>
        </w:tc>
        <w:tc>
          <w:tcPr>
            <w:tcW w:w="900" w:type="dxa"/>
            <w:vAlign w:val="center"/>
            <w:hideMark/>
          </w:tcPr>
          <w:p w14:paraId="0FED9F92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4.9</w:t>
            </w:r>
          </w:p>
        </w:tc>
        <w:tc>
          <w:tcPr>
            <w:tcW w:w="810" w:type="dxa"/>
            <w:vAlign w:val="center"/>
            <w:hideMark/>
          </w:tcPr>
          <w:p w14:paraId="2A0F6E4B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4.0</w:t>
            </w:r>
          </w:p>
        </w:tc>
        <w:tc>
          <w:tcPr>
            <w:tcW w:w="895" w:type="dxa"/>
            <w:vAlign w:val="center"/>
            <w:hideMark/>
          </w:tcPr>
          <w:p w14:paraId="2D070D50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3.6</w:t>
            </w:r>
          </w:p>
        </w:tc>
      </w:tr>
      <w:tr w:rsidR="007E7234" w:rsidRPr="005E2BD4" w14:paraId="16A91C77" w14:textId="77777777" w:rsidTr="00F51648">
        <w:trPr>
          <w:trHeight w:val="432"/>
          <w:jc w:val="center"/>
        </w:trPr>
        <w:tc>
          <w:tcPr>
            <w:tcW w:w="1345" w:type="dxa"/>
            <w:vMerge/>
            <w:vAlign w:val="center"/>
            <w:hideMark/>
          </w:tcPr>
          <w:p w14:paraId="61444ED1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10" w:type="dxa"/>
            <w:vAlign w:val="center"/>
            <w:hideMark/>
          </w:tcPr>
          <w:p w14:paraId="14909DA5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ADNI</w:t>
            </w:r>
          </w:p>
        </w:tc>
        <w:tc>
          <w:tcPr>
            <w:tcW w:w="810" w:type="dxa"/>
            <w:vAlign w:val="center"/>
            <w:hideMark/>
          </w:tcPr>
          <w:p w14:paraId="0AFC74C6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Knight ADRC</w:t>
            </w:r>
          </w:p>
        </w:tc>
        <w:tc>
          <w:tcPr>
            <w:tcW w:w="900" w:type="dxa"/>
            <w:vAlign w:val="center"/>
            <w:hideMark/>
          </w:tcPr>
          <w:p w14:paraId="12187B64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SILA</w:t>
            </w:r>
          </w:p>
        </w:tc>
        <w:tc>
          <w:tcPr>
            <w:tcW w:w="1170" w:type="dxa"/>
            <w:vAlign w:val="center"/>
            <w:hideMark/>
          </w:tcPr>
          <w:p w14:paraId="50426C4A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62</w:t>
            </w:r>
          </w:p>
        </w:tc>
        <w:tc>
          <w:tcPr>
            <w:tcW w:w="1260" w:type="dxa"/>
            <w:vAlign w:val="center"/>
          </w:tcPr>
          <w:p w14:paraId="1F413F3B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0.736</w:t>
            </w:r>
          </w:p>
        </w:tc>
        <w:tc>
          <w:tcPr>
            <w:tcW w:w="1080" w:type="dxa"/>
            <w:vAlign w:val="center"/>
          </w:tcPr>
          <w:p w14:paraId="252386F0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0.577</w:t>
            </w:r>
          </w:p>
        </w:tc>
        <w:tc>
          <w:tcPr>
            <w:tcW w:w="810" w:type="dxa"/>
            <w:vAlign w:val="center"/>
          </w:tcPr>
          <w:p w14:paraId="5EFC6A1F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0.820</w:t>
            </w:r>
          </w:p>
        </w:tc>
        <w:tc>
          <w:tcPr>
            <w:tcW w:w="900" w:type="dxa"/>
            <w:vAlign w:val="center"/>
            <w:hideMark/>
          </w:tcPr>
          <w:p w14:paraId="1480054D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4.5</w:t>
            </w:r>
          </w:p>
        </w:tc>
        <w:tc>
          <w:tcPr>
            <w:tcW w:w="810" w:type="dxa"/>
            <w:vAlign w:val="center"/>
            <w:hideMark/>
          </w:tcPr>
          <w:p w14:paraId="0E580CE1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3.8</w:t>
            </w:r>
          </w:p>
        </w:tc>
        <w:tc>
          <w:tcPr>
            <w:tcW w:w="895" w:type="dxa"/>
            <w:vAlign w:val="center"/>
            <w:hideMark/>
          </w:tcPr>
          <w:p w14:paraId="62F2C62A" w14:textId="77777777" w:rsidR="007E7234" w:rsidRPr="0002426C" w:rsidRDefault="007E7234" w:rsidP="00F51648">
            <w:pPr>
              <w:jc w:val="center"/>
              <w:rPr>
                <w:sz w:val="20"/>
                <w:szCs w:val="20"/>
              </w:rPr>
            </w:pPr>
            <w:r w:rsidRPr="0002426C">
              <w:rPr>
                <w:sz w:val="20"/>
                <w:szCs w:val="20"/>
              </w:rPr>
              <w:t>3.7</w:t>
            </w:r>
          </w:p>
        </w:tc>
      </w:tr>
    </w:tbl>
    <w:p w14:paraId="70B5C796" w14:textId="77777777" w:rsidR="007E7234" w:rsidRPr="00B93C87" w:rsidRDefault="007E7234" w:rsidP="007E7234">
      <w:pPr>
        <w:rPr>
          <w:b/>
          <w:bCs/>
        </w:rPr>
      </w:pPr>
      <w:r w:rsidRPr="00B93C87">
        <w:rPr>
          <w:b/>
          <w:bCs/>
        </w:rPr>
        <w:t xml:space="preserve"> </w:t>
      </w:r>
    </w:p>
    <w:p w14:paraId="08B6B4D7" w14:textId="77777777" w:rsidR="007E7234" w:rsidRPr="00B93C87" w:rsidRDefault="007E7234" w:rsidP="007E7234">
      <w:pPr>
        <w:rPr>
          <w:b/>
          <w:bCs/>
          <w:highlight w:val="yellow"/>
        </w:rPr>
      </w:pPr>
      <w:r w:rsidRPr="00B93C87">
        <w:rPr>
          <w:b/>
          <w:bCs/>
          <w:highlight w:val="yellow"/>
        </w:rPr>
        <w:br w:type="page"/>
      </w:r>
    </w:p>
    <w:p w14:paraId="64444C95" w14:textId="77777777" w:rsidR="007E7234" w:rsidRPr="00B93C87" w:rsidRDefault="007E7234" w:rsidP="007E7234">
      <w:pPr>
        <w:rPr>
          <w:rFonts w:eastAsiaTheme="majorEastAsia"/>
          <w:color w:val="000000" w:themeColor="text1"/>
        </w:rPr>
      </w:pPr>
      <w:r w:rsidRPr="00B93C87">
        <w:rPr>
          <w:rFonts w:eastAsiaTheme="majorEastAsia"/>
          <w:b/>
          <w:bCs/>
          <w:color w:val="000000" w:themeColor="text1"/>
        </w:rPr>
        <w:lastRenderedPageBreak/>
        <w:t>Extended Figure 1. Relationship between estimated age at plasma %p-tau217 positivity and age of observed conversion to %p-tau217 positive.</w:t>
      </w:r>
      <w:r w:rsidRPr="00B93C87">
        <w:rPr>
          <w:rFonts w:eastAsiaTheme="majorEastAsia"/>
          <w:color w:val="000000" w:themeColor="text1"/>
        </w:rPr>
        <w:t xml:space="preserve"> The estimated age at plasma %p-tau217 positivity based on clock models is shown as a function of the observed conversion age, which is the average of the age at last negative and first positive %p-tau217. Clock models in the Knight ADRC (</w:t>
      </w:r>
      <w:r w:rsidRPr="00B93C87">
        <w:rPr>
          <w:rFonts w:eastAsiaTheme="majorEastAsia"/>
          <w:b/>
          <w:bCs/>
          <w:color w:val="000000" w:themeColor="text1"/>
        </w:rPr>
        <w:t>A, B</w:t>
      </w:r>
      <w:r w:rsidRPr="00B93C87">
        <w:rPr>
          <w:rFonts w:eastAsiaTheme="majorEastAsia"/>
          <w:color w:val="000000" w:themeColor="text1"/>
        </w:rPr>
        <w:t>) and ADNI cohorts (</w:t>
      </w:r>
      <w:r w:rsidRPr="00B93C87">
        <w:rPr>
          <w:rFonts w:eastAsiaTheme="majorEastAsia"/>
          <w:b/>
          <w:bCs/>
          <w:color w:val="000000" w:themeColor="text1"/>
        </w:rPr>
        <w:t>C, D</w:t>
      </w:r>
      <w:r w:rsidRPr="00B93C87">
        <w:rPr>
          <w:rFonts w:eastAsiaTheme="majorEastAsia"/>
          <w:color w:val="000000" w:themeColor="text1"/>
        </w:rPr>
        <w:t>) were created with the TIRA (</w:t>
      </w:r>
      <w:r w:rsidRPr="00B93C87">
        <w:rPr>
          <w:rFonts w:eastAsiaTheme="majorEastAsia"/>
          <w:b/>
          <w:bCs/>
          <w:color w:val="000000" w:themeColor="text1"/>
        </w:rPr>
        <w:t>A, C</w:t>
      </w:r>
      <w:r w:rsidRPr="00B93C87">
        <w:rPr>
          <w:rFonts w:eastAsiaTheme="majorEastAsia"/>
          <w:color w:val="000000" w:themeColor="text1"/>
        </w:rPr>
        <w:t>) and SILA (</w:t>
      </w:r>
      <w:r w:rsidRPr="00B93C87">
        <w:rPr>
          <w:rFonts w:eastAsiaTheme="majorEastAsia"/>
          <w:b/>
          <w:bCs/>
          <w:color w:val="000000" w:themeColor="text1"/>
        </w:rPr>
        <w:t>B, D</w:t>
      </w:r>
      <w:r w:rsidRPr="00B93C87">
        <w:rPr>
          <w:rFonts w:eastAsiaTheme="majorEastAsia"/>
          <w:color w:val="000000" w:themeColor="text1"/>
        </w:rPr>
        <w:t xml:space="preserve">) approaches.  </w:t>
      </w:r>
    </w:p>
    <w:p w14:paraId="2B3ADDFA" w14:textId="77777777" w:rsidR="007E7234" w:rsidRPr="00B93C87" w:rsidRDefault="007E7234" w:rsidP="007E7234">
      <w:pPr>
        <w:rPr>
          <w:rFonts w:eastAsiaTheme="majorEastAsia"/>
          <w:color w:val="000000" w:themeColor="text1"/>
        </w:rPr>
      </w:pPr>
    </w:p>
    <w:p w14:paraId="0C627E3D" w14:textId="77777777" w:rsidR="007E7234" w:rsidRPr="00B93C87" w:rsidRDefault="007E7234" w:rsidP="007E7234">
      <w:pPr>
        <w:jc w:val="center"/>
        <w:rPr>
          <w:rFonts w:eastAsiaTheme="majorEastAsia"/>
          <w:b/>
          <w:bCs/>
          <w:color w:val="000000" w:themeColor="text1"/>
        </w:rPr>
      </w:pPr>
      <w:r w:rsidRPr="00B93C87">
        <w:rPr>
          <w:rFonts w:eastAsiaTheme="majorEastAsia"/>
          <w:b/>
          <w:bCs/>
          <w:noProof/>
          <w:color w:val="000000" w:themeColor="text1"/>
        </w:rPr>
        <w:drawing>
          <wp:inline distT="0" distB="0" distL="0" distR="0" wp14:anchorId="66A97D52" wp14:editId="0F39B265">
            <wp:extent cx="6858000" cy="6858000"/>
            <wp:effectExtent l="0" t="0" r="0" b="0"/>
            <wp:docPr id="236283310" name="Picture 43" descr="A graph of different sizes of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283310" name="Picture 43" descr="A graph of different sizes of number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685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1A966" w14:textId="77777777" w:rsidR="007E7234" w:rsidRPr="00B93C87" w:rsidRDefault="007E7234" w:rsidP="007E7234">
      <w:pPr>
        <w:rPr>
          <w:rFonts w:eastAsiaTheme="majorEastAsia"/>
          <w:color w:val="000000" w:themeColor="text1"/>
        </w:rPr>
      </w:pPr>
      <w:r w:rsidRPr="00B93C87">
        <w:t xml:space="preserve"> </w:t>
      </w:r>
    </w:p>
    <w:p w14:paraId="241C9396" w14:textId="77777777" w:rsidR="007E7234" w:rsidRPr="00B93C87" w:rsidRDefault="007E7234" w:rsidP="007E7234">
      <w:pPr>
        <w:jc w:val="center"/>
        <w:rPr>
          <w:rFonts w:eastAsiaTheme="majorEastAsia"/>
          <w:color w:val="000000" w:themeColor="text1"/>
        </w:rPr>
      </w:pPr>
    </w:p>
    <w:p w14:paraId="775699AF" w14:textId="77777777" w:rsidR="007E7234" w:rsidRPr="00B93C87" w:rsidRDefault="007E7234" w:rsidP="007E7234">
      <w:pPr>
        <w:rPr>
          <w:b/>
          <w:bCs/>
          <w:highlight w:val="yellow"/>
        </w:rPr>
      </w:pPr>
      <w:r w:rsidRPr="00B93C87">
        <w:rPr>
          <w:b/>
          <w:bCs/>
          <w:highlight w:val="yellow"/>
        </w:rPr>
        <w:br w:type="page"/>
      </w:r>
    </w:p>
    <w:p w14:paraId="5052D79E" w14:textId="77777777" w:rsidR="007E7234" w:rsidRPr="00B93C87" w:rsidRDefault="007E7234" w:rsidP="007E7234">
      <w:pPr>
        <w:rPr>
          <w:b/>
          <w:bCs/>
        </w:rPr>
      </w:pPr>
      <w:r>
        <w:rPr>
          <w:b/>
          <w:bCs/>
        </w:rPr>
        <w:lastRenderedPageBreak/>
        <w:t>Extended</w:t>
      </w:r>
      <w:r w:rsidRPr="00B93C87">
        <w:rPr>
          <w:b/>
          <w:bCs/>
        </w:rPr>
        <w:t xml:space="preserve"> Figure </w:t>
      </w:r>
      <w:r>
        <w:rPr>
          <w:b/>
          <w:bCs/>
        </w:rPr>
        <w:t>2</w:t>
      </w:r>
      <w:r w:rsidRPr="00B93C87">
        <w:rPr>
          <w:b/>
          <w:bCs/>
        </w:rPr>
        <w:t xml:space="preserve">. </w:t>
      </w:r>
      <w:r>
        <w:rPr>
          <w:b/>
          <w:bCs/>
        </w:rPr>
        <w:t>Probability of remaining cognitively unimpaired from AD</w:t>
      </w:r>
      <w:r w:rsidRPr="003C5260">
        <w:rPr>
          <w:b/>
          <w:bCs/>
        </w:rPr>
        <w:t xml:space="preserve"> </w:t>
      </w:r>
      <w:r>
        <w:rPr>
          <w:b/>
          <w:bCs/>
        </w:rPr>
        <w:t xml:space="preserve">is related to age at plasma %p-tau217 positivity. </w:t>
      </w:r>
      <w:r w:rsidRPr="003C5260">
        <w:t>For individuals who were cognitively unimpaired</w:t>
      </w:r>
      <w:r>
        <w:t xml:space="preserve"> at baseline in the Knight ADRC (</w:t>
      </w:r>
      <w:r w:rsidRPr="003C5260">
        <w:rPr>
          <w:b/>
          <w:bCs/>
        </w:rPr>
        <w:t>A, B</w:t>
      </w:r>
      <w:r>
        <w:t>) or ADNI (</w:t>
      </w:r>
      <w:r w:rsidRPr="003C5260">
        <w:rPr>
          <w:b/>
          <w:bCs/>
        </w:rPr>
        <w:t>C, D</w:t>
      </w:r>
      <w:r>
        <w:t>) cohorts, Cox models evaluated the probability of remaining cognitively unimpaired from AD as a function of age, stratified by the age at %p-tau217 positivity based on TIRA (</w:t>
      </w:r>
      <w:r>
        <w:rPr>
          <w:b/>
          <w:bCs/>
        </w:rPr>
        <w:t>A, C</w:t>
      </w:r>
      <w:r>
        <w:t>) or SILA (</w:t>
      </w:r>
      <w:r w:rsidRPr="003C5260">
        <w:rPr>
          <w:b/>
          <w:bCs/>
        </w:rPr>
        <w:t>B, D</w:t>
      </w:r>
      <w:r>
        <w:t xml:space="preserve">). </w:t>
      </w:r>
    </w:p>
    <w:p w14:paraId="1526AAC8" w14:textId="77777777" w:rsidR="007E7234" w:rsidRPr="00B93C87" w:rsidRDefault="007E7234" w:rsidP="007E7234">
      <w:pPr>
        <w:rPr>
          <w:b/>
          <w:bCs/>
        </w:rPr>
      </w:pPr>
    </w:p>
    <w:p w14:paraId="07728118" w14:textId="77777777" w:rsidR="007E7234" w:rsidRDefault="007E7234" w:rsidP="007E7234">
      <w:pPr>
        <w:rPr>
          <w:b/>
          <w:bCs/>
        </w:rPr>
      </w:pPr>
      <w:r w:rsidRPr="00B93C87">
        <w:rPr>
          <w:b/>
          <w:bCs/>
          <w:noProof/>
        </w:rPr>
        <w:drawing>
          <wp:inline distT="0" distB="0" distL="0" distR="0" wp14:anchorId="337D8CFB" wp14:editId="72964D2D">
            <wp:extent cx="6858000" cy="5943600"/>
            <wp:effectExtent l="0" t="0" r="0" b="0"/>
            <wp:docPr id="1078807294" name="Picture 52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807294" name="Picture 52" descr="A graph of different colored lines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F1F4E" w14:textId="77777777" w:rsidR="007E7234" w:rsidRDefault="007E7234" w:rsidP="007E7234">
      <w:pPr>
        <w:rPr>
          <w:b/>
          <w:bCs/>
        </w:rPr>
      </w:pPr>
      <w:r>
        <w:rPr>
          <w:b/>
          <w:bCs/>
        </w:rPr>
        <w:br w:type="page"/>
      </w:r>
    </w:p>
    <w:p w14:paraId="7AF0C5E7" w14:textId="77777777" w:rsidR="007E7234" w:rsidRPr="00B93C87" w:rsidRDefault="007E7234" w:rsidP="007E7234">
      <w:r w:rsidRPr="00B93C87">
        <w:rPr>
          <w:b/>
          <w:bCs/>
        </w:rPr>
        <w:lastRenderedPageBreak/>
        <w:t xml:space="preserve">Extended Figure </w:t>
      </w:r>
      <w:r>
        <w:rPr>
          <w:b/>
          <w:bCs/>
        </w:rPr>
        <w:t>3</w:t>
      </w:r>
      <w:r w:rsidRPr="00B93C87">
        <w:rPr>
          <w:b/>
          <w:bCs/>
        </w:rPr>
        <w:t xml:space="preserve">. Clinical diagnosis as a function of estimated age at plasma %p-tau217 positivity and years from %p-tau217 positivity. </w:t>
      </w:r>
      <w:r w:rsidRPr="00B93C87">
        <w:t>Fo</w:t>
      </w:r>
      <w:r>
        <w:t>r</w:t>
      </w:r>
      <w:r w:rsidRPr="003C5260">
        <w:t xml:space="preserve"> individuals</w:t>
      </w:r>
      <w:r>
        <w:t xml:space="preserve"> </w:t>
      </w:r>
      <w:r w:rsidRPr="00B93C87">
        <w:t>in the Knight ADRC (</w:t>
      </w:r>
      <w:r w:rsidRPr="00B93C87">
        <w:rPr>
          <w:b/>
          <w:bCs/>
        </w:rPr>
        <w:t>A, B</w:t>
      </w:r>
      <w:r w:rsidRPr="00B93C87">
        <w:t>) and ADNI (</w:t>
      </w:r>
      <w:r w:rsidRPr="00B93C87">
        <w:rPr>
          <w:b/>
          <w:bCs/>
        </w:rPr>
        <w:t>C, D</w:t>
      </w:r>
      <w:r w:rsidRPr="00B93C87">
        <w:t>) cohorts, age at plasma %p-tau217 positivity was estimated using either the TIRA (</w:t>
      </w:r>
      <w:r w:rsidRPr="00B93C87">
        <w:rPr>
          <w:b/>
          <w:bCs/>
        </w:rPr>
        <w:t>A, C</w:t>
      </w:r>
      <w:r w:rsidRPr="00B93C87">
        <w:t>) or SILA (</w:t>
      </w:r>
      <w:r w:rsidRPr="00B93C87">
        <w:rPr>
          <w:b/>
          <w:bCs/>
        </w:rPr>
        <w:t>B, D</w:t>
      </w:r>
      <w:r w:rsidRPr="00B93C87">
        <w:t xml:space="preserve">) models. Each row represents </w:t>
      </w:r>
      <w:r>
        <w:t xml:space="preserve">the longitudinal </w:t>
      </w:r>
      <w:r w:rsidRPr="00B93C87">
        <w:t>clinical diagnos</w:t>
      </w:r>
      <w:r>
        <w:t>e</w:t>
      </w:r>
      <w:r w:rsidRPr="00B93C87">
        <w:t>s for one individual by estimated years from %p-tau217 positivity (x-axis). Individuals are sorted vertically by estimated age at %p-tau217 positivity (y-axis). The point color denotes the clinical diagnosis: blue was cognitively unimpaired at the assessment; red (AD syndrome/biomarker positive) was cognitively impaired at the assessment</w:t>
      </w:r>
      <w:r w:rsidRPr="003108E9">
        <w:t xml:space="preserve"> </w:t>
      </w:r>
      <w:r w:rsidRPr="00B93C87">
        <w:t>and had a diagnosis of symptomatic AD at their last assessment</w:t>
      </w:r>
      <w:r>
        <w:t xml:space="preserve"> with symptoms starting after %p-tau217 positivity</w:t>
      </w:r>
      <w:r w:rsidRPr="00B93C87">
        <w:t>; purple (AD syndrome/biomarker negative) was cognitively impaired at the assessment and had a diagnosis of symptomatic AD at their last assessment</w:t>
      </w:r>
      <w:r>
        <w:t xml:space="preserve"> with symptoms starting before %p-tau217 positivity</w:t>
      </w:r>
      <w:r w:rsidRPr="00B93C87">
        <w:t>;</w:t>
      </w:r>
      <w:r>
        <w:t xml:space="preserve"> </w:t>
      </w:r>
      <w:r w:rsidRPr="00B93C87">
        <w:t xml:space="preserve">orange (non-AD syndrome) was cognitively impaired </w:t>
      </w:r>
      <w:r>
        <w:t xml:space="preserve">and </w:t>
      </w:r>
      <w:r w:rsidRPr="00B93C87">
        <w:t>had a non-AD diagnosis at their last assessment.</w:t>
      </w:r>
      <w:r>
        <w:t xml:space="preserve"> V</w:t>
      </w:r>
      <w:r w:rsidRPr="00B93C87">
        <w:t>ertical dashed line</w:t>
      </w:r>
      <w:r>
        <w:t>s</w:t>
      </w:r>
      <w:r w:rsidRPr="00B93C87">
        <w:t xml:space="preserve"> at 0 represent the estimated time of %p-tau217 positivity. </w:t>
      </w:r>
      <w:r>
        <w:t>B</w:t>
      </w:r>
      <w:r w:rsidRPr="00B93C87">
        <w:t>rown line</w:t>
      </w:r>
      <w:r>
        <w:t>s</w:t>
      </w:r>
      <w:r w:rsidRPr="00B93C87">
        <w:t xml:space="preserve"> indicate the estimated relationship between %p-tau217 positivity age and predicted symptom onset based on the </w:t>
      </w:r>
      <w:r>
        <w:t xml:space="preserve">Knight ADRC </w:t>
      </w:r>
      <w:r w:rsidRPr="00B93C87">
        <w:t>model</w:t>
      </w:r>
      <w:r>
        <w:t>s</w:t>
      </w:r>
      <w:r w:rsidRPr="00B93C87">
        <w:t xml:space="preserve"> in </w:t>
      </w:r>
      <w:r w:rsidRPr="00B93C87">
        <w:rPr>
          <w:b/>
          <w:bCs/>
        </w:rPr>
        <w:t xml:space="preserve">Figure </w:t>
      </w:r>
      <w:r>
        <w:rPr>
          <w:b/>
          <w:bCs/>
        </w:rPr>
        <w:t>4</w:t>
      </w:r>
      <w:r w:rsidRPr="00B93C87">
        <w:t>.</w:t>
      </w:r>
    </w:p>
    <w:p w14:paraId="01E53591" w14:textId="77777777" w:rsidR="007E7234" w:rsidRPr="00B93C87" w:rsidRDefault="007E7234" w:rsidP="007E7234"/>
    <w:p w14:paraId="5144BEE3" w14:textId="77777777" w:rsidR="007E7234" w:rsidRPr="00B93C87" w:rsidRDefault="007E7234" w:rsidP="007E7234">
      <w:pPr>
        <w:jc w:val="center"/>
        <w:rPr>
          <w:b/>
          <w:bCs/>
          <w:highlight w:val="yellow"/>
        </w:rPr>
      </w:pPr>
      <w:r w:rsidRPr="00B93C87">
        <w:rPr>
          <w:b/>
          <w:bCs/>
          <w:noProof/>
        </w:rPr>
        <w:drawing>
          <wp:inline distT="0" distB="0" distL="0" distR="0" wp14:anchorId="0B1BA8F1" wp14:editId="3F2CE71D">
            <wp:extent cx="3777894" cy="5813946"/>
            <wp:effectExtent l="0" t="0" r="0" b="0"/>
            <wp:docPr id="28688685" name="Picture 12" descr="A diagram of different types of dat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88685" name="Picture 12" descr="A diagram of different types of data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1708" cy="5865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BE1AF" w14:textId="77777777" w:rsidR="007E7234" w:rsidRDefault="007E7234" w:rsidP="007E7234">
      <w:pPr>
        <w:rPr>
          <w:b/>
          <w:bCs/>
        </w:rPr>
      </w:pPr>
      <w:r>
        <w:rPr>
          <w:b/>
          <w:bCs/>
        </w:rPr>
        <w:br w:type="page"/>
      </w:r>
    </w:p>
    <w:p w14:paraId="40EDD18A" w14:textId="77777777" w:rsidR="007E7234" w:rsidRPr="00B93C87" w:rsidRDefault="007E7234" w:rsidP="007E7234">
      <w:r w:rsidRPr="00B93C87">
        <w:rPr>
          <w:b/>
          <w:bCs/>
        </w:rPr>
        <w:lastRenderedPageBreak/>
        <w:t xml:space="preserve">Extended Figure </w:t>
      </w:r>
      <w:r>
        <w:rPr>
          <w:b/>
          <w:bCs/>
        </w:rPr>
        <w:t>4</w:t>
      </w:r>
      <w:r w:rsidRPr="00B93C87">
        <w:rPr>
          <w:b/>
          <w:bCs/>
        </w:rPr>
        <w:t xml:space="preserve">. Plasma %p-tau217 level, estimated years since %p-tau217 positivity, and years since estimated symptom onset across amyloid and tau PET-defined stages. </w:t>
      </w:r>
      <w:r w:rsidRPr="003F7342">
        <w:t xml:space="preserve">Using data from ADNI, </w:t>
      </w:r>
      <w:r w:rsidRPr="00C2788B">
        <w:t>raincloud plots show plasma %p-tau217 levels (</w:t>
      </w:r>
      <w:r w:rsidRPr="00FE32F6">
        <w:rPr>
          <w:b/>
          <w:bCs/>
        </w:rPr>
        <w:t>A</w:t>
      </w:r>
      <w:r w:rsidRPr="00C2788B">
        <w:t>), estimated years since %p-tau217 positivity by TIRA (</w:t>
      </w:r>
      <w:r w:rsidRPr="00FE32F6">
        <w:rPr>
          <w:b/>
          <w:bCs/>
        </w:rPr>
        <w:t>B</w:t>
      </w:r>
      <w:r w:rsidRPr="00C2788B">
        <w:t>) and SILA (</w:t>
      </w:r>
      <w:r w:rsidRPr="00FE32F6">
        <w:rPr>
          <w:b/>
          <w:bCs/>
        </w:rPr>
        <w:t>C</w:t>
      </w:r>
      <w:r w:rsidRPr="00C2788B">
        <w:t>), and years since estimated symptom onset by TIRA (</w:t>
      </w:r>
      <w:r w:rsidRPr="00FE32F6">
        <w:rPr>
          <w:b/>
          <w:bCs/>
        </w:rPr>
        <w:t>D</w:t>
      </w:r>
      <w:r w:rsidRPr="00C2788B">
        <w:t>) and SILA (</w:t>
      </w:r>
      <w:r w:rsidRPr="00FE32F6">
        <w:rPr>
          <w:b/>
          <w:bCs/>
        </w:rPr>
        <w:t>E</w:t>
      </w:r>
      <w:r w:rsidRPr="00C2788B">
        <w:t>) stratified by amyloid and tau PET-defined groups:  amyloid-negative (A− T</w:t>
      </w:r>
      <w:r w:rsidRPr="00C2788B">
        <w:rPr>
          <w:vertAlign w:val="subscript"/>
        </w:rPr>
        <w:t>early</w:t>
      </w:r>
      <w:r w:rsidRPr="00C2788B">
        <w:t>−T</w:t>
      </w:r>
      <w:r w:rsidRPr="00C2788B">
        <w:rPr>
          <w:vertAlign w:val="subscript"/>
        </w:rPr>
        <w:t>late</w:t>
      </w:r>
      <w:r w:rsidRPr="00C2788B">
        <w:t>−), amyloid-positive and early tau-negative (A+T</w:t>
      </w:r>
      <w:r w:rsidRPr="00C2788B">
        <w:rPr>
          <w:vertAlign w:val="subscript"/>
        </w:rPr>
        <w:t>early</w:t>
      </w:r>
      <w:r w:rsidRPr="00C2788B">
        <w:t>−T</w:t>
      </w:r>
      <w:r w:rsidRPr="00C2788B">
        <w:rPr>
          <w:vertAlign w:val="subscript"/>
        </w:rPr>
        <w:t>late</w:t>
      </w:r>
      <w:r w:rsidRPr="00C2788B">
        <w:t>−), amyloid-positive and early tau-positive but late tau-negative (A+T</w:t>
      </w:r>
      <w:r w:rsidRPr="00C2788B">
        <w:rPr>
          <w:vertAlign w:val="subscript"/>
        </w:rPr>
        <w:t>early</w:t>
      </w:r>
      <w:r w:rsidRPr="00C2788B">
        <w:t>+T</w:t>
      </w:r>
      <w:r w:rsidRPr="00C2788B">
        <w:rPr>
          <w:vertAlign w:val="subscript"/>
        </w:rPr>
        <w:t>late</w:t>
      </w:r>
      <w:r w:rsidRPr="00C2788B">
        <w:t>−), and amyloid-positive with both early and late tau positivity (A+T</w:t>
      </w:r>
      <w:r w:rsidRPr="00C2788B">
        <w:rPr>
          <w:vertAlign w:val="subscript"/>
        </w:rPr>
        <w:t>early</w:t>
      </w:r>
      <w:r w:rsidRPr="00C2788B">
        <w:t>+T</w:t>
      </w:r>
      <w:r w:rsidRPr="00C2788B">
        <w:rPr>
          <w:vertAlign w:val="subscript"/>
        </w:rPr>
        <w:t>late</w:t>
      </w:r>
      <w:r w:rsidRPr="00C2788B">
        <w:t>+). Individual data points, distributions, and group means with 95% confidence intervals are shown. Significant group differences are indicated by asterisks (*p&lt;0.05, **p&lt;0.01, ***p&lt;0.001).</w:t>
      </w:r>
      <w:r w:rsidRPr="00B93C87">
        <w:t xml:space="preserve"> </w:t>
      </w:r>
    </w:p>
    <w:p w14:paraId="7E8C623C" w14:textId="77777777" w:rsidR="007E7234" w:rsidRPr="00B93C87" w:rsidRDefault="007E7234" w:rsidP="007E7234"/>
    <w:p w14:paraId="6AA1A675" w14:textId="77777777" w:rsidR="007E7234" w:rsidRPr="00B93C87" w:rsidRDefault="007E7234" w:rsidP="007E7234">
      <w:pPr>
        <w:jc w:val="center"/>
        <w:rPr>
          <w:b/>
          <w:bCs/>
        </w:rPr>
      </w:pPr>
    </w:p>
    <w:p w14:paraId="567BD0B6" w14:textId="77777777" w:rsidR="007E7234" w:rsidRPr="00B93C87" w:rsidRDefault="007E7234" w:rsidP="007E7234">
      <w:pPr>
        <w:jc w:val="center"/>
        <w:rPr>
          <w:b/>
          <w:bCs/>
        </w:rPr>
      </w:pPr>
      <w:r w:rsidRPr="00B93C87">
        <w:rPr>
          <w:b/>
          <w:bCs/>
          <w:noProof/>
        </w:rPr>
        <w:drawing>
          <wp:inline distT="0" distB="0" distL="0" distR="0" wp14:anchorId="38AB1AE7" wp14:editId="1733E1D1">
            <wp:extent cx="5571858" cy="6374102"/>
            <wp:effectExtent l="0" t="0" r="3810" b="1905"/>
            <wp:docPr id="1839997045" name="Picture 10" descr="A diagram of different colored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997045" name="Picture 10" descr="A diagram of different colored shapes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4630" cy="63887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3C87">
        <w:rPr>
          <w:b/>
          <w:bCs/>
        </w:rPr>
        <w:br w:type="page"/>
      </w:r>
    </w:p>
    <w:p w14:paraId="6702B9C5" w14:textId="77777777" w:rsidR="007E7234" w:rsidRPr="00B93C87" w:rsidRDefault="007E7234" w:rsidP="007E7234">
      <w:r w:rsidRPr="009B3F5E">
        <w:rPr>
          <w:b/>
          <w:bCs/>
        </w:rPr>
        <w:lastRenderedPageBreak/>
        <w:t xml:space="preserve">Extended Figure </w:t>
      </w:r>
      <w:r>
        <w:rPr>
          <w:b/>
          <w:bCs/>
        </w:rPr>
        <w:t>5</w:t>
      </w:r>
      <w:r w:rsidRPr="009B3F5E">
        <w:rPr>
          <w:b/>
          <w:bCs/>
        </w:rPr>
        <w:t xml:space="preserve">. </w:t>
      </w:r>
      <w:r w:rsidRPr="003C5260">
        <w:rPr>
          <w:b/>
          <w:bCs/>
        </w:rPr>
        <w:t xml:space="preserve">Fujirebio Diagnostics’ Lumipulse plasma p-tau217/Aβ42 </w:t>
      </w:r>
      <w:r>
        <w:rPr>
          <w:b/>
          <w:bCs/>
        </w:rPr>
        <w:t>clock and symptom onset models based on</w:t>
      </w:r>
      <w:r w:rsidRPr="003C5260">
        <w:rPr>
          <w:b/>
          <w:bCs/>
        </w:rPr>
        <w:t xml:space="preserve"> estimated years from p-tau217/Aβ42 positivity.</w:t>
      </w:r>
      <w:r w:rsidRPr="00B93C87">
        <w:t xml:space="preserve"> Longitudinal plasma p-tau217/Aβ42</w:t>
      </w:r>
      <w:r>
        <w:t xml:space="preserve"> </w:t>
      </w:r>
      <w:r w:rsidRPr="00B93C87">
        <w:t>data from ADNI is shown as a function of age (</w:t>
      </w:r>
      <w:r w:rsidRPr="00B93C87">
        <w:rPr>
          <w:b/>
          <w:bCs/>
        </w:rPr>
        <w:t>A</w:t>
      </w:r>
      <w:r w:rsidRPr="00B93C87">
        <w:t>) or estimated years from p-tau217/Aβ42</w:t>
      </w:r>
      <w:r>
        <w:t xml:space="preserve"> positivity </w:t>
      </w:r>
      <w:r w:rsidRPr="00B93C87">
        <w:t>by TIRA (</w:t>
      </w:r>
      <w:r w:rsidRPr="00B93C87">
        <w:rPr>
          <w:b/>
          <w:bCs/>
        </w:rPr>
        <w:t>B</w:t>
      </w:r>
      <w:r w:rsidRPr="00B93C87">
        <w:t>) or SILA clock models (</w:t>
      </w:r>
      <w:r w:rsidRPr="00B93C87">
        <w:rPr>
          <w:b/>
          <w:bCs/>
        </w:rPr>
        <w:t>C</w:t>
      </w:r>
      <w:r w:rsidRPr="00B93C87">
        <w:t xml:space="preserve">). </w:t>
      </w:r>
      <w:r>
        <w:t>T</w:t>
      </w:r>
      <w:r w:rsidRPr="00B93C87">
        <w:t>hick black lines represent the clock models</w:t>
      </w:r>
      <w:r>
        <w:t>, r</w:t>
      </w:r>
      <w:r w:rsidRPr="00B93C87">
        <w:t>ed lines represent individuals with at least one plasma p-tau217/Aβ42&gt;0.006312, and grey lines represent individuals with no plasma p-</w:t>
      </w:r>
      <w:r w:rsidRPr="003864E8">
        <w:t>tau217/Aβ42&gt;0.006312. The horizontal black dashed lines represent the plasma p-tau217/Aβ42 threshold of 0.006312</w:t>
      </w:r>
      <w:r w:rsidRPr="003F7342">
        <w:rPr>
          <w:vertAlign w:val="superscript"/>
        </w:rPr>
        <w:t>1</w:t>
      </w:r>
      <w:r w:rsidRPr="003864E8">
        <w:t xml:space="preserve">. </w:t>
      </w:r>
      <w:r w:rsidRPr="003F7342">
        <w:t xml:space="preserve">Models for age at symptom onset </w:t>
      </w:r>
      <w:r w:rsidRPr="003864E8">
        <w:t>included individuals who were initially cognitively unimpaired but had a typical AD syndrome at their last assessment and developed symptoms after estimated plasma p-tau217/Aβ42 positivity. Age at p-tau217/Aβ42 positivity was estimated using TIRA (</w:t>
      </w:r>
      <w:r w:rsidRPr="003864E8">
        <w:rPr>
          <w:b/>
          <w:bCs/>
        </w:rPr>
        <w:t>D</w:t>
      </w:r>
      <w:r w:rsidRPr="003864E8">
        <w:t>) or SILA (</w:t>
      </w:r>
      <w:r w:rsidRPr="003864E8">
        <w:rPr>
          <w:b/>
          <w:bCs/>
        </w:rPr>
        <w:t>E</w:t>
      </w:r>
      <w:r w:rsidRPr="003864E8">
        <w:t>) models.</w:t>
      </w:r>
      <w:r w:rsidRPr="00B93C87">
        <w:t xml:space="preserve"> Linear regression lines with 95% confidence intervals are shown</w:t>
      </w:r>
      <w:r>
        <w:t>.</w:t>
      </w:r>
      <w:r w:rsidRPr="00B93C87">
        <w:t xml:space="preserve"> </w:t>
      </w:r>
    </w:p>
    <w:p w14:paraId="6E9DAABB" w14:textId="77777777" w:rsidR="007E7234" w:rsidRPr="00B93C87" w:rsidRDefault="007E7234" w:rsidP="007E7234">
      <w:pPr>
        <w:rPr>
          <w:b/>
          <w:bCs/>
        </w:rPr>
      </w:pPr>
    </w:p>
    <w:p w14:paraId="31ABC4EA" w14:textId="77777777" w:rsidR="007E7234" w:rsidRPr="00B93C87" w:rsidRDefault="007E7234" w:rsidP="007E7234">
      <w:pPr>
        <w:jc w:val="center"/>
        <w:rPr>
          <w:b/>
          <w:bCs/>
        </w:rPr>
      </w:pPr>
      <w:r w:rsidRPr="00B93C87">
        <w:rPr>
          <w:b/>
          <w:bCs/>
          <w:noProof/>
        </w:rPr>
        <w:drawing>
          <wp:inline distT="0" distB="0" distL="0" distR="0" wp14:anchorId="3C6AD6DC" wp14:editId="69C177C8">
            <wp:extent cx="6793865" cy="5201709"/>
            <wp:effectExtent l="0" t="0" r="6985" b="0"/>
            <wp:docPr id="2093695170" name="Picture 44" descr="A collage of graphs and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695170" name="Picture 44" descr="A collage of graphs and diagrams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17464" cy="52197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93C87">
        <w:rPr>
          <w:b/>
          <w:bCs/>
        </w:rPr>
        <w:br w:type="page"/>
      </w:r>
    </w:p>
    <w:p w14:paraId="25AE1DF3" w14:textId="77777777" w:rsidR="007E7234" w:rsidRDefault="007E7234" w:rsidP="007E7234">
      <w:r w:rsidRPr="009B3F5E">
        <w:rPr>
          <w:b/>
          <w:bCs/>
        </w:rPr>
        <w:lastRenderedPageBreak/>
        <w:t xml:space="preserve">Extended </w:t>
      </w:r>
      <w:r w:rsidRPr="00B93C87">
        <w:rPr>
          <w:b/>
          <w:bCs/>
        </w:rPr>
        <w:t xml:space="preserve">Figure </w:t>
      </w:r>
      <w:r>
        <w:rPr>
          <w:b/>
          <w:bCs/>
        </w:rPr>
        <w:t>6</w:t>
      </w:r>
      <w:r w:rsidRPr="00B93C87">
        <w:rPr>
          <w:b/>
          <w:bCs/>
        </w:rPr>
        <w:t xml:space="preserve">. Janssen’s LucentAD Quanterix plasma p-tau217 </w:t>
      </w:r>
      <w:r>
        <w:rPr>
          <w:b/>
          <w:bCs/>
        </w:rPr>
        <w:t>and symptom onset models based on</w:t>
      </w:r>
      <w:r w:rsidRPr="003C5260">
        <w:rPr>
          <w:b/>
          <w:bCs/>
        </w:rPr>
        <w:t xml:space="preserve"> estimated years from p-tau217 positivity.</w:t>
      </w:r>
      <w:r w:rsidRPr="00B93C87">
        <w:t xml:space="preserve"> Longitudinal plasma p-tau217</w:t>
      </w:r>
      <w:r>
        <w:t xml:space="preserve"> </w:t>
      </w:r>
      <w:r w:rsidRPr="00B93C87">
        <w:t>data from ADNI is shown as a function of age (</w:t>
      </w:r>
      <w:r w:rsidRPr="00B93C87">
        <w:rPr>
          <w:b/>
          <w:bCs/>
        </w:rPr>
        <w:t>A</w:t>
      </w:r>
      <w:r w:rsidRPr="00B93C87">
        <w:t>) or estimated years from p-tau217</w:t>
      </w:r>
      <w:r>
        <w:t xml:space="preserve"> positivity </w:t>
      </w:r>
      <w:r w:rsidRPr="00B93C87">
        <w:t>by TIRA (</w:t>
      </w:r>
      <w:r w:rsidRPr="00B93C87">
        <w:rPr>
          <w:b/>
          <w:bCs/>
        </w:rPr>
        <w:t>B</w:t>
      </w:r>
      <w:r w:rsidRPr="00B93C87">
        <w:t>) or SILA clock models (</w:t>
      </w:r>
      <w:r w:rsidRPr="00B93C87">
        <w:rPr>
          <w:b/>
          <w:bCs/>
        </w:rPr>
        <w:t>C</w:t>
      </w:r>
      <w:r w:rsidRPr="00B93C87">
        <w:t xml:space="preserve">). </w:t>
      </w:r>
      <w:r>
        <w:t>T</w:t>
      </w:r>
      <w:r w:rsidRPr="00B93C87">
        <w:t>hick black lines represent the clock models</w:t>
      </w:r>
      <w:r>
        <w:t>; r</w:t>
      </w:r>
      <w:r w:rsidRPr="00B93C87">
        <w:t>ed lines represent individuals with at least one plasma p-tau217&gt;0.0615 pg/ml and grey lines represent individuals with no plasma p-tau217&gt;0.0615 pg/ml</w:t>
      </w:r>
      <w:r w:rsidRPr="003864E8">
        <w:t xml:space="preserve">. The horizontal black dashed lines represent the plasma p-tau217 threshold of </w:t>
      </w:r>
      <w:r w:rsidRPr="00B93C87">
        <w:t>0.0615 pg/ml</w:t>
      </w:r>
      <w:r w:rsidRPr="003C5260">
        <w:rPr>
          <w:vertAlign w:val="superscript"/>
        </w:rPr>
        <w:t>1</w:t>
      </w:r>
      <w:r w:rsidRPr="003864E8">
        <w:t xml:space="preserve">. </w:t>
      </w:r>
      <w:r w:rsidRPr="003C5260">
        <w:t xml:space="preserve">Models for age at symptom onset </w:t>
      </w:r>
      <w:r w:rsidRPr="003864E8">
        <w:t>included individuals who were initially cognitively unimpaired but had a typical AD syndrome at their last assessment and developed symptoms after estimated plasma p-tau217 positivity. Age at p-tau217 positivity was estimated using TIRA (</w:t>
      </w:r>
      <w:r w:rsidRPr="003864E8">
        <w:rPr>
          <w:b/>
          <w:bCs/>
        </w:rPr>
        <w:t>D</w:t>
      </w:r>
      <w:r w:rsidRPr="003864E8">
        <w:t>) or SILA (</w:t>
      </w:r>
      <w:r w:rsidRPr="003864E8">
        <w:rPr>
          <w:b/>
          <w:bCs/>
        </w:rPr>
        <w:t>E</w:t>
      </w:r>
      <w:r w:rsidRPr="003864E8">
        <w:t>) models.</w:t>
      </w:r>
      <w:r w:rsidRPr="00B93C87">
        <w:t xml:space="preserve"> Linear regression lines with 95% confidence intervals are shown</w:t>
      </w:r>
      <w:r>
        <w:t>.</w:t>
      </w:r>
      <w:r w:rsidRPr="00B93C87">
        <w:t xml:space="preserve"> </w:t>
      </w:r>
    </w:p>
    <w:p w14:paraId="23BFBE0F" w14:textId="77777777" w:rsidR="007E7234" w:rsidRPr="003C5260" w:rsidRDefault="007E7234" w:rsidP="007E7234">
      <w:pPr>
        <w:rPr>
          <w:color w:val="000000" w:themeColor="text1"/>
        </w:rPr>
      </w:pPr>
    </w:p>
    <w:p w14:paraId="0DEB0391" w14:textId="77777777" w:rsidR="007E7234" w:rsidRPr="00B93C87" w:rsidRDefault="007E7234" w:rsidP="007E7234">
      <w:pPr>
        <w:jc w:val="center"/>
        <w:rPr>
          <w:b/>
          <w:bCs/>
        </w:rPr>
      </w:pPr>
      <w:r w:rsidRPr="00B93C87">
        <w:rPr>
          <w:b/>
          <w:bCs/>
          <w:noProof/>
        </w:rPr>
        <w:drawing>
          <wp:inline distT="0" distB="0" distL="0" distR="0" wp14:anchorId="3E1D26E5" wp14:editId="7F6A06F7">
            <wp:extent cx="6858000" cy="5257800"/>
            <wp:effectExtent l="0" t="0" r="0" b="0"/>
            <wp:docPr id="693946178" name="Picture 1" descr="A collage of graphs and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2950956" name="Picture 1" descr="A collage of graphs and diagrams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49B69" w14:textId="77777777" w:rsidR="007E7234" w:rsidRPr="00B93C87" w:rsidRDefault="007E7234" w:rsidP="007E7234">
      <w:pPr>
        <w:rPr>
          <w:b/>
          <w:bCs/>
        </w:rPr>
      </w:pPr>
      <w:r w:rsidRPr="00B93C87">
        <w:rPr>
          <w:b/>
          <w:bCs/>
        </w:rPr>
        <w:br w:type="page"/>
      </w:r>
    </w:p>
    <w:p w14:paraId="41FAB46E" w14:textId="77777777" w:rsidR="007E7234" w:rsidRDefault="007E7234" w:rsidP="007E7234">
      <w:r w:rsidRPr="009B3F5E">
        <w:rPr>
          <w:b/>
          <w:bCs/>
        </w:rPr>
        <w:lastRenderedPageBreak/>
        <w:t xml:space="preserve">Extended </w:t>
      </w:r>
      <w:r w:rsidRPr="00B93C87">
        <w:rPr>
          <w:b/>
          <w:bCs/>
        </w:rPr>
        <w:t xml:space="preserve">Figure </w:t>
      </w:r>
      <w:r>
        <w:rPr>
          <w:b/>
          <w:bCs/>
        </w:rPr>
        <w:t>7</w:t>
      </w:r>
      <w:r w:rsidRPr="00B93C87">
        <w:rPr>
          <w:b/>
          <w:bCs/>
        </w:rPr>
        <w:t xml:space="preserve">. ALZpath’s Quanterix plasma p-tau217 </w:t>
      </w:r>
      <w:r>
        <w:rPr>
          <w:b/>
          <w:bCs/>
        </w:rPr>
        <w:t>and symptom onset models based on</w:t>
      </w:r>
      <w:r w:rsidRPr="003C5260">
        <w:rPr>
          <w:b/>
          <w:bCs/>
        </w:rPr>
        <w:t xml:space="preserve"> estimated years from p-tau217 positivity.</w:t>
      </w:r>
      <w:r w:rsidRPr="00B93C87">
        <w:t xml:space="preserve"> Longitudinal plasma p-tau217</w:t>
      </w:r>
      <w:r>
        <w:t xml:space="preserve"> </w:t>
      </w:r>
      <w:r w:rsidRPr="00B93C87">
        <w:t>data from ADNI is shown as a function of age (</w:t>
      </w:r>
      <w:r w:rsidRPr="00B93C87">
        <w:rPr>
          <w:b/>
          <w:bCs/>
        </w:rPr>
        <w:t>A</w:t>
      </w:r>
      <w:r w:rsidRPr="00B93C87">
        <w:t>) or estimated years from p-tau217</w:t>
      </w:r>
      <w:r>
        <w:t xml:space="preserve"> positivity </w:t>
      </w:r>
      <w:r w:rsidRPr="00B93C87">
        <w:t>by TIRA (</w:t>
      </w:r>
      <w:r w:rsidRPr="00B93C87">
        <w:rPr>
          <w:b/>
          <w:bCs/>
        </w:rPr>
        <w:t>B</w:t>
      </w:r>
      <w:r w:rsidRPr="00B93C87">
        <w:t>) or SILA clock models (</w:t>
      </w:r>
      <w:r w:rsidRPr="00B93C87">
        <w:rPr>
          <w:b/>
          <w:bCs/>
        </w:rPr>
        <w:t>C</w:t>
      </w:r>
      <w:r w:rsidRPr="00B93C87">
        <w:t xml:space="preserve">). </w:t>
      </w:r>
      <w:r>
        <w:t>T</w:t>
      </w:r>
      <w:r w:rsidRPr="00B93C87">
        <w:t>hick black lines represent the clock models</w:t>
      </w:r>
      <w:r>
        <w:t>; r</w:t>
      </w:r>
      <w:r w:rsidRPr="00B93C87">
        <w:t>ed lines represent individuals with at least one plasma p-tau217&gt;0.444 pg/ml and grey lines represent individuals with no plasma p-tau217&gt;0.444 pg/ml</w:t>
      </w:r>
      <w:r w:rsidRPr="003864E8">
        <w:t xml:space="preserve">. The horizontal black dashed lines represent the plasma p-tau217 threshold of </w:t>
      </w:r>
      <w:r w:rsidRPr="00B93C87">
        <w:t>0.444 pg/ml</w:t>
      </w:r>
      <w:r w:rsidRPr="003C5260">
        <w:rPr>
          <w:vertAlign w:val="superscript"/>
        </w:rPr>
        <w:t>1</w:t>
      </w:r>
      <w:r w:rsidRPr="003864E8">
        <w:t xml:space="preserve">. </w:t>
      </w:r>
      <w:r w:rsidRPr="003C5260">
        <w:t xml:space="preserve">Models for age at symptom onset </w:t>
      </w:r>
      <w:r w:rsidRPr="003864E8">
        <w:t>included individuals who were initially cognitively unimpaired but had a typical AD syndrome at their last assessment and developed symptoms after estimated plasma p-tau217 positivity. Age at p-tau217 positivity was estimated using TIRA (</w:t>
      </w:r>
      <w:r w:rsidRPr="003864E8">
        <w:rPr>
          <w:b/>
          <w:bCs/>
        </w:rPr>
        <w:t>D</w:t>
      </w:r>
      <w:r w:rsidRPr="003864E8">
        <w:t>) or SILA (</w:t>
      </w:r>
      <w:r w:rsidRPr="003864E8">
        <w:rPr>
          <w:b/>
          <w:bCs/>
        </w:rPr>
        <w:t>E</w:t>
      </w:r>
      <w:r w:rsidRPr="003864E8">
        <w:t>) models.</w:t>
      </w:r>
      <w:r w:rsidRPr="00B93C87">
        <w:t xml:space="preserve"> Linear regression lines with 95% confidence intervals are shown</w:t>
      </w:r>
      <w:r>
        <w:t>.</w:t>
      </w:r>
      <w:r w:rsidRPr="00B93C87">
        <w:t xml:space="preserve"> </w:t>
      </w:r>
    </w:p>
    <w:p w14:paraId="49E8BD06" w14:textId="77777777" w:rsidR="007E7234" w:rsidRPr="003C5260" w:rsidRDefault="007E7234" w:rsidP="007E7234">
      <w:pPr>
        <w:rPr>
          <w:color w:val="000000" w:themeColor="text1"/>
        </w:rPr>
      </w:pPr>
    </w:p>
    <w:p w14:paraId="00A85996" w14:textId="77777777" w:rsidR="007E7234" w:rsidRPr="003C5260" w:rsidRDefault="007E7234" w:rsidP="007E7234">
      <w:pPr>
        <w:jc w:val="center"/>
        <w:rPr>
          <w:color w:val="000000" w:themeColor="text1"/>
        </w:rPr>
      </w:pPr>
      <w:r w:rsidRPr="003C5260">
        <w:rPr>
          <w:noProof/>
          <w:color w:val="000000" w:themeColor="text1"/>
        </w:rPr>
        <w:drawing>
          <wp:inline distT="0" distB="0" distL="0" distR="0" wp14:anchorId="219A2187" wp14:editId="3104EBD2">
            <wp:extent cx="6858000" cy="5286375"/>
            <wp:effectExtent l="0" t="0" r="0" b="0"/>
            <wp:docPr id="500710705" name="Picture 35" descr="A collage of graphs and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049437" name="Picture 35" descr="A collage of graphs and diagram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28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19121" w14:textId="77777777" w:rsidR="007E7234" w:rsidRPr="00F67872" w:rsidRDefault="007E7234" w:rsidP="007E7234">
      <w:pPr>
        <w:rPr>
          <w:b/>
          <w:bCs/>
        </w:rPr>
      </w:pPr>
    </w:p>
    <w:p w14:paraId="6DC20CA6" w14:textId="77777777" w:rsidR="00865217" w:rsidRDefault="00865217"/>
    <w:sectPr w:rsidR="00865217" w:rsidSect="007E7234">
      <w:headerReference w:type="even" r:id="rId11"/>
      <w:headerReference w:type="default" r:id="rId12"/>
      <w:pgSz w:w="12240" w:h="15840"/>
      <w:pgMar w:top="1449" w:right="720" w:bottom="75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607531588"/>
      <w:docPartObj>
        <w:docPartGallery w:val="Page Numbers (Top of Page)"/>
        <w:docPartUnique/>
      </w:docPartObj>
    </w:sdtPr>
    <w:sdtContent>
      <w:p w14:paraId="24D79E79" w14:textId="77777777" w:rsidR="00000000" w:rsidRDefault="00000000" w:rsidP="008D049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EE750DC" w14:textId="77777777" w:rsidR="00000000" w:rsidRDefault="00000000" w:rsidP="002801C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660308071"/>
      <w:docPartObj>
        <w:docPartGallery w:val="Page Numbers (Top of Page)"/>
        <w:docPartUnique/>
      </w:docPartObj>
    </w:sdtPr>
    <w:sdtContent>
      <w:p w14:paraId="65BE76C1" w14:textId="77777777" w:rsidR="00000000" w:rsidRDefault="00000000" w:rsidP="008D0497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56DEB6C2" w14:textId="77777777" w:rsidR="00000000" w:rsidRPr="002801C6" w:rsidRDefault="00000000" w:rsidP="006D5119">
    <w:pPr>
      <w:pStyle w:val="Header"/>
      <w:ind w:right="360"/>
      <w:rPr>
        <w:rFonts w:ascii="Arial" w:hAnsi="Arial" w:cs="Arial"/>
        <w:sz w:val="22"/>
        <w:szCs w:val="22"/>
      </w:rPr>
    </w:pPr>
    <w:r w:rsidRPr="006D5119">
      <w:rPr>
        <w:color w:val="212121"/>
        <w:sz w:val="22"/>
        <w:szCs w:val="22"/>
      </w:rPr>
      <w:t xml:space="preserve">Predicting </w:t>
    </w:r>
    <w:r>
      <w:rPr>
        <w:color w:val="212121"/>
        <w:sz w:val="22"/>
        <w:szCs w:val="22"/>
      </w:rPr>
      <w:t>onset of symptomatic Alzheimer disease</w:t>
    </w:r>
    <w:r w:rsidRPr="006D5119">
      <w:rPr>
        <w:color w:val="212121"/>
        <w:sz w:val="22"/>
        <w:szCs w:val="2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234"/>
    <w:rsid w:val="002E281E"/>
    <w:rsid w:val="003201BB"/>
    <w:rsid w:val="003E2C47"/>
    <w:rsid w:val="007E7234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33FB4"/>
  <w15:chartTrackingRefBased/>
  <w15:docId w15:val="{CB6F8F67-FC4C-49D6-B04C-DBE4E1BBC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7234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723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723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723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723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723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723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723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723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723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72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72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72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72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72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72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72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72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72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72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72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723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72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723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72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723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72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72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72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723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E723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E723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7234"/>
    <w:rPr>
      <w:rFonts w:ascii="Times New Roman" w:eastAsia="Times New Roman" w:hAnsi="Times New Roman" w:cs="Times New Roman"/>
      <w:kern w:val="0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7E72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eader" Target="header1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1460</Words>
  <Characters>8322</Characters>
  <Application>Microsoft Office Word</Application>
  <DocSecurity>0</DocSecurity>
  <Lines>69</Lines>
  <Paragraphs>19</Paragraphs>
  <ScaleCrop>false</ScaleCrop>
  <Company>Springer Nature</Company>
  <LinksUpToDate>false</LinksUpToDate>
  <CharactersWithSpaces>9763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2025-07-08T10:49:00Z</dcterms:created>
  <dcterms:modified xsi:type="dcterms:W3CDTF">2025-07-08T10:49:00Z</dcterms:modified>
</cp:coreProperties>
</file>