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54AB">
      <w:pPr>
        <w:pStyle w:val="52"/>
        <w:spacing w:line="480" w:lineRule="auto"/>
        <w:rPr>
          <w:rFonts w:hint="default" w:ascii="Times New Roman" w:hAnsi="Times New Roman" w:cs="Times New Roman"/>
          <w:b w:val="0"/>
          <w:sz w:val="20"/>
          <w:szCs w:val="20"/>
        </w:rPr>
      </w:pPr>
      <w:r>
        <w:rPr>
          <w:rFonts w:hint="default" w:ascii="Times New Roman" w:hAnsi="Times New Roman" w:cs="Times New Roman"/>
          <w:sz w:val="20"/>
          <w:szCs w:val="20"/>
        </w:rPr>
        <w:t>Supplementary Material</w:t>
      </w:r>
    </w:p>
    <w:p w14:paraId="59BF35D4">
      <w:pPr>
        <w:pStyle w:val="4"/>
        <w:numPr>
          <w:ilvl w:val="0"/>
          <w:numId w:val="3"/>
        </w:numPr>
        <w:spacing w:line="480" w:lineRule="auto"/>
        <w:ind w:leftChars="0"/>
        <w:rPr>
          <w:rFonts w:hint="default" w:ascii="Times New Roman" w:hAnsi="Times New Roman" w:cs="Times New Roman"/>
          <w:sz w:val="20"/>
          <w:szCs w:val="20"/>
        </w:rPr>
      </w:pPr>
      <w:r>
        <w:rPr>
          <w:rFonts w:hint="default" w:ascii="Times New Roman" w:hAnsi="Times New Roman" w:cs="Times New Roman"/>
          <w:sz w:val="20"/>
          <w:szCs w:val="20"/>
        </w:rPr>
        <w:t>Supplementary Figures</w:t>
      </w:r>
    </w:p>
    <w:p w14:paraId="3C336FEC">
      <w:pPr>
        <w:spacing w:line="48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drawing>
          <wp:inline distT="0" distB="0" distL="114300" distR="114300">
            <wp:extent cx="4695190" cy="5873750"/>
            <wp:effectExtent l="0" t="0" r="13970" b="8890"/>
            <wp:docPr id="2" name="图片 2" descr="临床路径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临床路径英文"/>
                    <pic:cNvPicPr>
                      <a:picLocks noChangeAspect="1"/>
                    </pic:cNvPicPr>
                  </pic:nvPicPr>
                  <pic:blipFill>
                    <a:blip r:embed="rId10"/>
                    <a:stretch>
                      <a:fillRect/>
                    </a:stretch>
                  </pic:blipFill>
                  <pic:spPr>
                    <a:xfrm>
                      <a:off x="0" y="0"/>
                      <a:ext cx="4695190" cy="5873750"/>
                    </a:xfrm>
                    <a:prstGeom prst="rect">
                      <a:avLst/>
                    </a:prstGeom>
                  </pic:spPr>
                </pic:pic>
              </a:graphicData>
            </a:graphic>
          </wp:inline>
        </w:drawing>
      </w:r>
    </w:p>
    <w:p w14:paraId="0265ABDB">
      <w:pPr>
        <w:keepNext w:val="0"/>
        <w:keepLines w:val="0"/>
        <w:widowControl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lang w:val="en-US"/>
        </w:rPr>
      </w:pPr>
    </w:p>
    <w:p w14:paraId="5187CA9A">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宋体" w:cs="Times New Roman"/>
          <w:sz w:val="20"/>
          <w:szCs w:val="20"/>
          <w:lang w:val="en-US"/>
        </w:rPr>
      </w:pPr>
      <w:r>
        <w:rPr>
          <w:rFonts w:hint="default" w:ascii="Times New Roman" w:hAnsi="Times New Roman" w:eastAsia="宋体" w:cs="Times New Roman"/>
          <w:b/>
          <w:bCs/>
          <w:kern w:val="2"/>
          <w:sz w:val="20"/>
          <w:szCs w:val="20"/>
          <w:lang w:val="en-US" w:eastAsia="zh-CN" w:bidi="ar"/>
        </w:rPr>
        <w:t>Supplementary Figure 1.</w:t>
      </w:r>
      <w:r>
        <w:rPr>
          <w:rFonts w:hint="default" w:ascii="Times New Roman" w:hAnsi="Times New Roman" w:eastAsia="宋体" w:cs="Times New Roman"/>
          <w:kern w:val="2"/>
          <w:sz w:val="20"/>
          <w:szCs w:val="20"/>
          <w:lang w:val="en-US" w:eastAsia="zh-CN" w:bidi="ar"/>
        </w:rPr>
        <w:t xml:space="preserve"> The Clinical Pathway for VTE Prevention Management in the Perioperative Period of Orthopedic Surgery.</w:t>
      </w:r>
    </w:p>
    <w:p w14:paraId="012CCD93">
      <w:pPr>
        <w:spacing w:line="480" w:lineRule="auto"/>
        <w:rPr>
          <w:rFonts w:hint="default" w:ascii="Times New Roman" w:hAnsi="Times New Roman" w:cs="Times New Roman"/>
          <w:sz w:val="20"/>
          <w:szCs w:val="20"/>
        </w:rPr>
      </w:pPr>
    </w:p>
    <w:p w14:paraId="5773C2E1">
      <w:pPr>
        <w:keepNext w:val="0"/>
        <w:keepLines w:val="0"/>
        <w:widowControl/>
        <w:suppressLineNumbers w:val="0"/>
        <w:adjustRightInd w:val="0"/>
        <w:spacing w:before="0" w:beforeAutospacing="0" w:after="0" w:afterAutospacing="0" w:line="480" w:lineRule="auto"/>
        <w:ind w:left="0" w:right="0"/>
        <w:contextualSpacing/>
        <w:jc w:val="center"/>
        <w:rPr>
          <w:rFonts w:hint="default" w:ascii="Times New Roman" w:hAnsi="Times New Roman" w:eastAsia="等线" w:cs="Times New Roman"/>
          <w:snapToGrid w:val="0"/>
          <w:color w:val="000000"/>
          <w:sz w:val="20"/>
          <w:szCs w:val="20"/>
          <w:lang w:val="en-US" w:eastAsia="zh-CN" w:bidi="en-US"/>
        </w:rPr>
      </w:pPr>
      <w:r>
        <w:rPr>
          <w:rFonts w:hint="default" w:ascii="Times New Roman" w:hAnsi="Times New Roman" w:eastAsia="Times New Roman" w:cs="Times New Roman"/>
          <w:color w:val="000000"/>
          <w:kern w:val="0"/>
          <w:sz w:val="20"/>
          <w:szCs w:val="20"/>
          <w:lang w:val="en-US" w:eastAsia="zh-CN" w:bidi="ar"/>
        </w:rPr>
        <w:drawing>
          <wp:inline distT="0" distB="0" distL="114300" distR="114300">
            <wp:extent cx="3494405" cy="6325235"/>
            <wp:effectExtent l="0" t="0" r="10795"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rcRect l="1961" t="2950" b="5042"/>
                    <a:stretch>
                      <a:fillRect/>
                    </a:stretch>
                  </pic:blipFill>
                  <pic:spPr>
                    <a:xfrm>
                      <a:off x="0" y="0"/>
                      <a:ext cx="3494405" cy="6325235"/>
                    </a:xfrm>
                    <a:prstGeom prst="rect">
                      <a:avLst/>
                    </a:prstGeom>
                    <a:noFill/>
                    <a:ln>
                      <a:noFill/>
                    </a:ln>
                  </pic:spPr>
                </pic:pic>
              </a:graphicData>
            </a:graphic>
          </wp:inline>
        </w:drawing>
      </w:r>
    </w:p>
    <w:p w14:paraId="483AC9E2">
      <w:pPr>
        <w:keepNext w:val="0"/>
        <w:keepLines w:val="0"/>
        <w:widowControl/>
        <w:suppressLineNumbers w:val="0"/>
        <w:adjustRightInd w:val="0"/>
        <w:spacing w:before="0" w:beforeAutospacing="0" w:after="0" w:afterAutospacing="0" w:line="480" w:lineRule="auto"/>
        <w:ind w:left="0" w:right="0"/>
        <w:contextualSpacing/>
        <w:jc w:val="both"/>
        <w:rPr>
          <w:rFonts w:hint="default" w:ascii="Times New Roman" w:hAnsi="Times New Roman" w:eastAsia="Times New Roman" w:cs="Times New Roman"/>
          <w:bCs/>
          <w:color w:val="000000"/>
          <w:sz w:val="20"/>
          <w:szCs w:val="20"/>
          <w:lang w:val="en-US" w:eastAsia="de" w:bidi="en-US"/>
        </w:rPr>
      </w:pPr>
      <w:r>
        <w:rPr>
          <w:rFonts w:hint="default" w:ascii="Times New Roman" w:hAnsi="Times New Roman" w:eastAsia="Times New Roman" w:cs="Times New Roman"/>
          <w:b/>
          <w:bCs w:val="0"/>
          <w:color w:val="000000"/>
          <w:kern w:val="0"/>
          <w:sz w:val="20"/>
          <w:szCs w:val="20"/>
          <w:lang w:val="en-US" w:eastAsia="de" w:bidi="en-US"/>
        </w:rPr>
        <w:t xml:space="preserve">Supplemental Figure </w:t>
      </w:r>
      <w:r>
        <w:rPr>
          <w:rFonts w:hint="default" w:ascii="Times New Roman" w:hAnsi="Times New Roman" w:eastAsia="等线" w:cs="Times New Roman"/>
          <w:b/>
          <w:bCs w:val="0"/>
          <w:color w:val="000000"/>
          <w:kern w:val="0"/>
          <w:sz w:val="20"/>
          <w:szCs w:val="20"/>
          <w:lang w:val="en-US" w:eastAsia="zh-CN" w:bidi="en-US"/>
        </w:rPr>
        <w:t>2</w:t>
      </w:r>
      <w:r>
        <w:rPr>
          <w:rFonts w:hint="default" w:ascii="Times New Roman" w:hAnsi="Times New Roman" w:eastAsia="Times New Roman" w:cs="Times New Roman"/>
          <w:b/>
          <w:bCs w:val="0"/>
          <w:color w:val="000000"/>
          <w:kern w:val="0"/>
          <w:sz w:val="20"/>
          <w:szCs w:val="20"/>
          <w:lang w:val="en-US" w:eastAsia="de" w:bidi="en-US"/>
        </w:rPr>
        <w:t>.</w:t>
      </w:r>
      <w:r>
        <w:rPr>
          <w:rFonts w:hint="default" w:ascii="Times New Roman" w:hAnsi="Times New Roman" w:eastAsia="Times New Roman" w:cs="Times New Roman"/>
          <w:bCs/>
          <w:color w:val="000000"/>
          <w:kern w:val="0"/>
          <w:sz w:val="20"/>
          <w:szCs w:val="20"/>
          <w:lang w:val="en-US" w:eastAsia="de" w:bidi="en-US"/>
        </w:rPr>
        <w:t xml:space="preserve"> Standardized mean differences (SMDs) between the no VTE-CPC group and the VTE-CPC group before and after propensity score matching (PSM).</w:t>
      </w:r>
    </w:p>
    <w:p w14:paraId="45066C03">
      <w:pPr>
        <w:keepNext w:val="0"/>
        <w:keepLines w:val="0"/>
        <w:widowControl/>
        <w:suppressLineNumbers w:val="0"/>
        <w:adjustRightInd w:val="0"/>
        <w:spacing w:before="0" w:beforeAutospacing="0" w:after="0" w:afterAutospacing="0" w:line="480" w:lineRule="auto"/>
        <w:ind w:left="0" w:right="0"/>
        <w:contextualSpacing/>
        <w:jc w:val="both"/>
        <w:rPr>
          <w:rFonts w:hint="default" w:ascii="Times New Roman" w:hAnsi="Times New Roman" w:cs="Times New Roman"/>
          <w:sz w:val="20"/>
          <w:szCs w:val="20"/>
        </w:rPr>
      </w:pPr>
      <w:r>
        <w:rPr>
          <w:rFonts w:hint="default" w:ascii="Times New Roman" w:hAnsi="Times New Roman" w:eastAsia="等线" w:cs="Times New Roman"/>
          <w:bCs/>
          <w:color w:val="000000"/>
          <w:kern w:val="0"/>
          <w:sz w:val="20"/>
          <w:szCs w:val="20"/>
          <w:lang w:val="en-US" w:eastAsia="zh-CN" w:bidi="en-US"/>
        </w:rPr>
        <w:t xml:space="preserve">VTE-CPC, </w:t>
      </w:r>
      <w:r>
        <w:rPr>
          <w:rFonts w:hint="default" w:ascii="Times New Roman" w:hAnsi="Times New Roman" w:eastAsia="Times New Roman" w:cs="Times New Roman"/>
          <w:color w:val="000000"/>
          <w:kern w:val="0"/>
          <w:sz w:val="20"/>
          <w:szCs w:val="20"/>
          <w:lang w:val="en-US" w:eastAsia="de" w:bidi="en-US"/>
        </w:rPr>
        <w:t>Venous thromboembolism</w:t>
      </w:r>
      <w:r>
        <w:rPr>
          <w:rFonts w:hint="default" w:ascii="Times New Roman" w:hAnsi="Times New Roman" w:eastAsia="等线" w:cs="Times New Roman"/>
          <w:bCs/>
          <w:color w:val="000000"/>
          <w:kern w:val="0"/>
          <w:sz w:val="20"/>
          <w:szCs w:val="20"/>
          <w:lang w:val="en-US" w:eastAsia="zh-CN" w:bidi="en-US"/>
        </w:rPr>
        <w:t xml:space="preserve"> clinical pharmaceutical care; IQR, interquartile range; BMI, body mass index; VTE, </w:t>
      </w:r>
      <w:r>
        <w:rPr>
          <w:rFonts w:hint="default" w:ascii="Times New Roman" w:hAnsi="Times New Roman" w:eastAsia="Times New Roman" w:cs="Times New Roman"/>
          <w:color w:val="000000"/>
          <w:kern w:val="0"/>
          <w:sz w:val="20"/>
          <w:szCs w:val="20"/>
          <w:lang w:val="en-US" w:eastAsia="de" w:bidi="en-US"/>
        </w:rPr>
        <w:t>Venous thromboembolism</w:t>
      </w:r>
      <w:r>
        <w:rPr>
          <w:rFonts w:hint="default" w:ascii="Times New Roman" w:hAnsi="Times New Roman" w:eastAsia="等线" w:cs="Times New Roman"/>
          <w:color w:val="000000"/>
          <w:kern w:val="0"/>
          <w:sz w:val="20"/>
          <w:szCs w:val="20"/>
          <w:lang w:val="en-US" w:eastAsia="zh-CN" w:bidi="en-US"/>
        </w:rPr>
        <w:t>;</w:t>
      </w:r>
      <w:r>
        <w:rPr>
          <w:rFonts w:hint="default" w:ascii="Times New Roman" w:hAnsi="Times New Roman" w:eastAsia="等线" w:cs="Times New Roman"/>
          <w:bCs/>
          <w:color w:val="000000"/>
          <w:kern w:val="0"/>
          <w:sz w:val="20"/>
          <w:szCs w:val="20"/>
          <w:lang w:val="en-US" w:eastAsia="zh-CN" w:bidi="en-US"/>
        </w:rPr>
        <w:t xml:space="preserve"> PVP, percutaneous vertebroplasty; THA, Hip Arthroplasty; TKA, Total knee arthroplasty.</w:t>
      </w:r>
    </w:p>
    <w:tbl>
      <w:tblPr>
        <w:tblStyle w:val="21"/>
        <w:tblW w:w="10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6667"/>
        <w:gridCol w:w="299"/>
      </w:tblGrid>
      <w:tr w14:paraId="6630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1" w:type="dxa"/>
            <w:gridSpan w:val="3"/>
            <w:tcBorders>
              <w:top w:val="nil"/>
              <w:left w:val="nil"/>
              <w:bottom w:val="nil"/>
              <w:right w:val="nil"/>
            </w:tcBorders>
          </w:tcPr>
          <w:p w14:paraId="33BFBDC0">
            <w:pPr>
              <w:pStyle w:val="4"/>
              <w:numPr>
                <w:ilvl w:val="0"/>
                <w:numId w:val="3"/>
              </w:numPr>
              <w:spacing w:line="480" w:lineRule="auto"/>
              <w:ind w:left="567" w:leftChars="0" w:hanging="567" w:firstLineChars="0"/>
              <w:rPr>
                <w:rFonts w:hint="default" w:ascii="Times New Roman" w:hAnsi="Times New Roman" w:cs="Times New Roman"/>
                <w:sz w:val="20"/>
                <w:szCs w:val="20"/>
              </w:rPr>
            </w:pPr>
            <w:r>
              <w:rPr>
                <w:rFonts w:hint="default" w:ascii="Times New Roman" w:hAnsi="Times New Roman" w:cs="Times New Roman"/>
                <w:sz w:val="20"/>
                <w:szCs w:val="20"/>
              </w:rPr>
              <w:t xml:space="preserve">Supplementary </w:t>
            </w:r>
            <w:r>
              <w:rPr>
                <w:rFonts w:hint="default" w:ascii="Times New Roman" w:hAnsi="Times New Roman" w:eastAsia="宋体" w:cs="Times New Roman"/>
                <w:sz w:val="20"/>
                <w:szCs w:val="20"/>
                <w:lang w:val="en-US" w:eastAsia="zh-CN"/>
              </w:rPr>
              <w:t>Tables</w:t>
            </w:r>
          </w:p>
          <w:p w14:paraId="139214B0">
            <w:pPr>
              <w:keepNext w:val="0"/>
              <w:keepLines w:val="0"/>
              <w:pageBreakBefore w:val="0"/>
              <w:widowControl w:val="0"/>
              <w:suppressLineNumbers w:val="0"/>
              <w:kinsoku/>
              <w:wordWrap/>
              <w:overflowPunct/>
              <w:topLinePunct w:val="0"/>
              <w:autoSpaceDE/>
              <w:autoSpaceDN/>
              <w:bidi w:val="0"/>
              <w:adjustRightInd/>
              <w:snapToGrid/>
              <w:spacing w:before="120" w:beforeAutospacing="0" w:after="120" w:afterAutospacing="0" w:line="480" w:lineRule="auto"/>
              <w:ind w:left="0" w:right="0"/>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rPr>
              <w:br w:type="page"/>
            </w:r>
            <w:r>
              <w:rPr>
                <w:rFonts w:hint="default" w:ascii="Times New Roman" w:hAnsi="Times New Roman" w:cs="Times New Roman"/>
                <w:sz w:val="20"/>
                <w:szCs w:val="20"/>
              </w:rPr>
              <w:br w:type="page"/>
            </w:r>
            <w:r>
              <w:rPr>
                <w:rFonts w:hint="default" w:ascii="Times New Roman" w:hAnsi="Times New Roman" w:cs="Times New Roman"/>
                <w:b/>
                <w:sz w:val="20"/>
                <w:szCs w:val="20"/>
              </w:rPr>
              <w:t>Supplementary Table</w:t>
            </w:r>
            <w:r>
              <w:rPr>
                <w:rFonts w:hint="default" w:ascii="Times New Roman" w:hAnsi="Times New Roman" w:cs="Times New Roman"/>
                <w:b/>
                <w:sz w:val="20"/>
                <w:szCs w:val="20"/>
              </w:rPr>
              <w:t xml:space="preserve"> </w:t>
            </w:r>
            <w:r>
              <w:rPr>
                <w:rFonts w:hint="default" w:ascii="Times New Roman" w:hAnsi="Times New Roman" w:cs="Times New Roman"/>
                <w:b/>
                <w:sz w:val="20"/>
                <w:szCs w:val="20"/>
              </w:rPr>
              <w:t>1</w:t>
            </w:r>
            <w:r>
              <w:rPr>
                <w:rFonts w:hint="default" w:ascii="Times New Roman" w:hAnsi="Times New Roman" w:cs="Times New Roman"/>
                <w:b/>
                <w:sz w:val="20"/>
                <w:szCs w:val="20"/>
              </w:rPr>
              <w:t xml:space="preserve">. </w:t>
            </w:r>
            <w:r>
              <w:rPr>
                <w:rFonts w:hint="default" w:ascii="Times New Roman" w:hAnsi="Times New Roman" w:cs="Times New Roman"/>
                <w:b w:val="0"/>
                <w:bCs/>
                <w:sz w:val="20"/>
                <w:szCs w:val="20"/>
                <w:lang w:val="en-US" w:eastAsia="zh-CN"/>
              </w:rPr>
              <w:t>Contraindications for Anticoagulant Medication</w:t>
            </w:r>
          </w:p>
        </w:tc>
      </w:tr>
      <w:tr w14:paraId="1885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Pr>
        <w:tc>
          <w:tcPr>
            <w:tcW w:w="3295" w:type="dxa"/>
          </w:tcPr>
          <w:p w14:paraId="498AED42">
            <w:pPr>
              <w:keepNext w:val="0"/>
              <w:keepLines w:val="0"/>
              <w:widowControl/>
              <w:suppressLineNumbers w:val="0"/>
              <w:spacing w:before="0" w:beforeAutospacing="1" w:after="0" w:afterAutospacing="1" w:line="480" w:lineRule="auto"/>
              <w:ind w:left="0" w:right="0"/>
              <w:jc w:val="left"/>
              <w:rPr>
                <w:rFonts w:hint="default" w:ascii="Times New Roman" w:hAnsi="Times New Roman" w:cs="Times New Roman"/>
                <w:sz w:val="20"/>
                <w:szCs w:val="20"/>
                <w:vertAlign w:val="superscript"/>
                <w:lang w:val="en-US"/>
              </w:rPr>
            </w:pPr>
            <w:r>
              <w:rPr>
                <w:rFonts w:hint="default" w:ascii="Times New Roman" w:hAnsi="Times New Roman" w:eastAsia="宋体" w:cs="Times New Roman"/>
                <w:sz w:val="20"/>
                <w:szCs w:val="20"/>
                <w:vertAlign w:val="baseline"/>
                <w:lang w:eastAsia="zh-CN" w:bidi="ar"/>
              </w:rPr>
              <w:t xml:space="preserve">Contraindications for </w:t>
            </w:r>
            <w:r>
              <w:rPr>
                <w:rFonts w:hint="default" w:ascii="Times New Roman" w:hAnsi="Times New Roman" w:eastAsia="宋体" w:cs="Times New Roman"/>
                <w:b w:val="0"/>
                <w:bCs/>
                <w:kern w:val="2"/>
                <w:sz w:val="20"/>
                <w:szCs w:val="20"/>
                <w:lang w:val="en-US" w:eastAsia="zh-CN" w:bidi="ar"/>
              </w:rPr>
              <w:t>Anticoagulant Medication</w:t>
            </w:r>
            <w:r>
              <w:rPr>
                <w:rFonts w:hint="default" w:ascii="Times New Roman" w:hAnsi="Times New Roman" w:eastAsia="宋体" w:cs="Times New Roman"/>
                <w:b w:val="0"/>
                <w:bCs/>
                <w:kern w:val="2"/>
                <w:sz w:val="20"/>
                <w:szCs w:val="20"/>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p w14:paraId="246E1D40">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eastAsia="zh-CN" w:bidi="ar"/>
              </w:rPr>
            </w:pPr>
          </w:p>
        </w:tc>
        <w:tc>
          <w:tcPr>
            <w:tcW w:w="6667" w:type="dxa"/>
          </w:tcPr>
          <w:p w14:paraId="01DA2BB7">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1. Recent active bleeding and coagulation disorders;</w:t>
            </w:r>
          </w:p>
          <w:p w14:paraId="223A6936">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2. Compartment syndrome;</w:t>
            </w:r>
          </w:p>
          <w:p w14:paraId="0704FAA5">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3. Severe head trauma or acute spinal cord injury;</w:t>
            </w:r>
          </w:p>
          <w:p w14:paraId="10F3CDFA">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4. Platelet count &lt; 20×10^9/L;</w:t>
            </w:r>
          </w:p>
          <w:p w14:paraId="5B74C6C6">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5. History of heparin-induced thrombocytopenia, contraindicated for heparin and low molecular weight heparin;</w:t>
            </w:r>
          </w:p>
          <w:p w14:paraId="3FBAADB2">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6. Warfarin is teratogenic, contraindicated in pregnant women.</w:t>
            </w:r>
          </w:p>
        </w:tc>
      </w:tr>
      <w:tr w14:paraId="4595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Pr>
        <w:tc>
          <w:tcPr>
            <w:tcW w:w="3295" w:type="dxa"/>
          </w:tcPr>
          <w:p w14:paraId="32A9DF57">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eastAsia="zh-CN" w:bidi="ar"/>
              </w:rPr>
              <w:t>Relative Contraindications</w:t>
            </w:r>
            <w:r>
              <w:rPr>
                <w:rFonts w:hint="default" w:ascii="Times New Roman" w:hAnsi="Times New Roman" w:eastAsia="宋体" w:cs="Times New Roman"/>
                <w:sz w:val="20"/>
                <w:szCs w:val="20"/>
                <w:vertAlign w:val="baseline"/>
                <w:lang w:val="en-US" w:eastAsia="zh-CN" w:bidi="ar"/>
              </w:rPr>
              <w:t xml:space="preserve"> for Anticoagulant Medication</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6667" w:type="dxa"/>
          </w:tcPr>
          <w:p w14:paraId="6C9E250B">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1. Recent history of intracranial or gastrointestinal bleeding;</w:t>
            </w:r>
          </w:p>
          <w:p w14:paraId="0218AE4F">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2. Acute intracranial injury or tumor;</w:t>
            </w:r>
          </w:p>
          <w:p w14:paraId="4CD07033">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3. Thrombocytopenia with platelet count reduced to 20×10^9/L to 100×10^9/L;</w:t>
            </w:r>
          </w:p>
          <w:p w14:paraId="7F71266A">
            <w:pPr>
              <w:keepNext w:val="0"/>
              <w:keepLines w:val="0"/>
              <w:suppressLineNumbers w:val="0"/>
              <w:spacing w:before="0" w:beforeAutospacing="0" w:after="0" w:afterAutospacing="0" w:line="480" w:lineRule="auto"/>
              <w:ind w:left="0" w:right="0"/>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sz w:val="20"/>
                <w:szCs w:val="20"/>
                <w:vertAlign w:val="baseline"/>
                <w:lang w:eastAsia="zh-CN" w:bidi="ar"/>
              </w:rPr>
              <w:t>4. Rheumatoid retinopathy, with a risk of fundus hemorrhage.</w:t>
            </w:r>
          </w:p>
        </w:tc>
      </w:tr>
    </w:tbl>
    <w:p w14:paraId="688AC3DA">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i/>
          <w:iCs/>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a. </w:t>
      </w:r>
      <w:r>
        <w:rPr>
          <w:rFonts w:hint="default" w:ascii="Times New Roman" w:hAnsi="Times New Roman" w:eastAsia="宋体" w:cs="Times New Roman"/>
          <w:i/>
          <w:iCs/>
          <w:sz w:val="20"/>
          <w:szCs w:val="20"/>
          <w:vertAlign w:val="baseline"/>
          <w:lang w:eastAsia="zh-CN" w:bidi="ar"/>
        </w:rPr>
        <w:t>Falck-Ytter Y, Francis CW, Johanson NA et al. Prevention of VTE in orthopedic surgery patients: Antithrombotic Therapy and Prevention of Thrombosis, 9th ed: American College of Chest Physicians Evidence-Based Clinical Practice Guidelines. Chest 2012; 141: e278S-e325S. DOI: 10.1378/chest.11-2404</w:t>
      </w:r>
    </w:p>
    <w:p w14:paraId="1A592C20">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i/>
          <w:iCs/>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b. </w:t>
      </w:r>
      <w:r>
        <w:rPr>
          <w:rFonts w:hint="default" w:ascii="Times New Roman" w:hAnsi="Times New Roman" w:eastAsia="宋体" w:cs="Times New Roman"/>
          <w:i/>
          <w:iCs/>
          <w:sz w:val="20"/>
          <w:szCs w:val="20"/>
          <w:vertAlign w:val="baseline"/>
          <w:lang w:eastAsia="zh-CN" w:bidi="ar"/>
        </w:rPr>
        <w:t>Uzel K, Azboy İ, Parvizi J. Venous thromboembolism in orthopedic surgery: Global guidelines. Acta orthopaedica et traumatologica turcica 2023; 57: 192-203. DOI: 10.5152/j.aott.2023.23074</w:t>
      </w:r>
    </w:p>
    <w:p w14:paraId="6317CFE7">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c. </w:t>
      </w:r>
      <w:r>
        <w:rPr>
          <w:rFonts w:hint="default" w:ascii="Times New Roman" w:hAnsi="Times New Roman" w:eastAsia="宋体" w:cs="Times New Roman"/>
          <w:i/>
          <w:iCs/>
          <w:sz w:val="20"/>
          <w:szCs w:val="20"/>
          <w:vertAlign w:val="baseline"/>
          <w:lang w:eastAsia="zh-CN" w:bidi="ar"/>
        </w:rPr>
        <w:t xml:space="preserve">Branch CMAO. Prevention of venous thromboembolism after major orthopaedic surgery. Chinese Journal of Orthopaedics 2016; 36: 65-71. </w:t>
      </w:r>
    </w:p>
    <w:p w14:paraId="736D6F1A">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d. </w:t>
      </w:r>
      <w:r>
        <w:rPr>
          <w:rFonts w:hint="default" w:ascii="Times New Roman" w:hAnsi="Times New Roman" w:eastAsia="宋体" w:cs="Times New Roman"/>
          <w:i/>
          <w:iCs/>
          <w:sz w:val="20"/>
          <w:szCs w:val="20"/>
          <w:vertAlign w:val="baseline"/>
          <w:lang w:eastAsia="zh-CN" w:bidi="ar"/>
        </w:rPr>
        <w:t xml:space="preserve">Lin Q, Yang M, Hou ZJCJOT. Guidelines for prevention of perioperative venous thromboembolism in Chinese orthopedic trauma patients (2021). 2021; 23: 185-192. </w:t>
      </w:r>
    </w:p>
    <w:p w14:paraId="29CF1047">
      <w:pPr>
        <w:spacing w:line="480" w:lineRule="auto"/>
        <w:rPr>
          <w:rFonts w:hint="default" w:ascii="Times New Roman" w:hAnsi="Times New Roman" w:eastAsia="宋体" w:cs="Times New Roman"/>
          <w:sz w:val="20"/>
          <w:szCs w:val="20"/>
          <w:lang w:eastAsia="zh-CN" w:bidi="ar"/>
        </w:rPr>
      </w:pPr>
      <w:r>
        <w:rPr>
          <w:rFonts w:hint="default" w:ascii="Times New Roman" w:hAnsi="Times New Roman" w:eastAsia="宋体" w:cs="Times New Roman"/>
          <w:sz w:val="20"/>
          <w:szCs w:val="20"/>
          <w:lang w:eastAsia="zh-CN" w:bidi="ar"/>
        </w:rPr>
        <w:br w:type="page"/>
      </w:r>
    </w:p>
    <w:p w14:paraId="05724F2F">
      <w:pPr>
        <w:keepNext w:val="0"/>
        <w:keepLines w:val="0"/>
        <w:pageBreakBefore w:val="0"/>
        <w:widowControl w:val="0"/>
        <w:suppressLineNumbers w:val="0"/>
        <w:kinsoku/>
        <w:wordWrap/>
        <w:overflowPunct/>
        <w:topLinePunct w:val="0"/>
        <w:autoSpaceDE/>
        <w:autoSpaceDN/>
        <w:bidi w:val="0"/>
        <w:adjustRightInd/>
        <w:snapToGrid/>
        <w:spacing w:before="120" w:beforeAutospacing="0" w:after="120" w:afterAutospacing="0" w:line="480" w:lineRule="auto"/>
        <w:ind w:left="0" w:right="0"/>
        <w:textAlignment w:val="auto"/>
        <w:rPr>
          <w:rFonts w:hint="default" w:ascii="Times New Roman" w:hAnsi="Times New Roman" w:cs="Times New Roman"/>
          <w:b w:val="0"/>
          <w:bCs/>
          <w:sz w:val="20"/>
          <w:szCs w:val="20"/>
          <w:lang w:val="en-US" w:eastAsia="zh-CN"/>
        </w:rPr>
      </w:pPr>
      <w:r>
        <w:rPr>
          <w:rFonts w:hint="default" w:ascii="Times New Roman" w:hAnsi="Times New Roman" w:cs="Times New Roman"/>
          <w:b/>
          <w:bCs w:val="0"/>
          <w:sz w:val="20"/>
          <w:szCs w:val="20"/>
          <w:lang w:val="en-US" w:eastAsia="zh-CN"/>
        </w:rPr>
        <w:t>Supplement Table 2.</w:t>
      </w:r>
      <w:r>
        <w:rPr>
          <w:rFonts w:hint="default" w:ascii="Times New Roman" w:hAnsi="Times New Roman" w:cs="Times New Roman"/>
          <w:b w:val="0"/>
          <w:bCs/>
          <w:sz w:val="20"/>
          <w:szCs w:val="20"/>
          <w:lang w:val="en-US" w:eastAsia="zh-CN"/>
        </w:rPr>
        <w:t xml:space="preserve"> Standard </w:t>
      </w:r>
      <w:r>
        <w:rPr>
          <w:rFonts w:hint="default" w:ascii="Times New Roman" w:hAnsi="Times New Roman" w:cs="Times New Roman"/>
          <w:b w:val="0"/>
          <w:bCs/>
          <w:sz w:val="20"/>
          <w:szCs w:val="20"/>
          <w:lang w:val="en-US" w:eastAsia="zh-CN"/>
        </w:rPr>
        <w:t>P</w:t>
      </w:r>
      <w:r>
        <w:rPr>
          <w:rFonts w:hint="default" w:ascii="Times New Roman" w:hAnsi="Times New Roman" w:cs="Times New Roman"/>
          <w:b w:val="0"/>
          <w:bCs/>
          <w:sz w:val="20"/>
          <w:szCs w:val="20"/>
          <w:lang w:val="en-US" w:eastAsia="zh-CN"/>
        </w:rPr>
        <w:t>rophylaxis Dose of Anticoagulant Medication.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7134"/>
      </w:tblGrid>
      <w:tr w14:paraId="350F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59773CFC">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Anticoagulant M</w:t>
            </w:r>
            <w:r>
              <w:rPr>
                <w:rFonts w:hint="default" w:ascii="Times New Roman" w:hAnsi="Times New Roman" w:eastAsia="宋体" w:cs="Times New Roman"/>
                <w:sz w:val="20"/>
                <w:szCs w:val="20"/>
                <w:vertAlign w:val="baseline"/>
                <w:lang w:val="en-US" w:eastAsia="zh-CN" w:bidi="ar"/>
              </w:rPr>
              <w:t>edication</w:t>
            </w:r>
          </w:p>
        </w:tc>
        <w:tc>
          <w:tcPr>
            <w:tcW w:w="7134" w:type="dxa"/>
          </w:tcPr>
          <w:p w14:paraId="3F9E9DD4">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Standard Prophylaxis Dose</w:t>
            </w:r>
          </w:p>
        </w:tc>
      </w:tr>
      <w:tr w14:paraId="38D2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4D597930">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Enoxaparin</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381C22BA">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4000 IU subcutaneously once daily (qd), starting after hospital admission. Continue with the routine dose until 12 hours before surgery, then discontinue. Resume 12 hours postoperatively (for patients with delayed removal of an epidural catheter, resume 2 to 4 hours after catheter removal).</w:t>
            </w:r>
          </w:p>
        </w:tc>
      </w:tr>
      <w:tr w14:paraId="65B9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2FEEA59A">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Dalteparin</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20475FDE">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5000 IU subcutaneously once daily (qd), starting after hospital admission. Continue with the routine dose until 12 hours before surgery, then discontinue. Resume 12 hours postoperatively (for patients with delayed removal of an epidural catheter, resume 2 to 4 hours after catheter removal).</w:t>
            </w:r>
          </w:p>
        </w:tc>
      </w:tr>
      <w:tr w14:paraId="79BB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5ECFD8D7">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Bemiparin</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1EB3DEF6">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3500 IU subcutaneously once daily (qd), starting after hospital admission. Maintain the routine dose until 12 hours before surgery, at which time it should be discontinued. Resume the medication 12 hours postoperatively (for patients with delayed removal of an epidural catheter, resume 2 to 4 hours after catheter removal).</w:t>
            </w:r>
          </w:p>
        </w:tc>
      </w:tr>
      <w:tr w14:paraId="2D82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26CB4F1D">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Low Molecular Weight Heparin Sodium</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6E6EDD91">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2500-5000 IU subcutaneously once daily (qd), starting after hospital admission. Maintain the routine dose until 12 hours before surgery, at which time it should be discontinued. Resume the medication 12 hours postoperatively (for patients with delayed removal of an epidural catheter, resume 2 to 4 hours after catheter removal).</w:t>
            </w:r>
          </w:p>
        </w:tc>
      </w:tr>
      <w:tr w14:paraId="2BE9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01BB4B5A">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Nadroparin</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6825F4A2">
            <w:pPr>
              <w:pStyle w:val="17"/>
              <w:keepNext w:val="0"/>
              <w:keepLines w:val="0"/>
              <w:widowControl/>
              <w:suppressLineNumbers w:val="0"/>
              <w:spacing w:before="0" w:beforeAutospacing="0" w:after="0" w:afterAutospacing="0" w:line="480" w:lineRule="auto"/>
              <w:ind w:left="0" w:right="0" w:firstLine="0"/>
              <w:jc w:val="left"/>
              <w:rPr>
                <w:rFonts w:hint="default" w:ascii="Times New Roman" w:hAnsi="Times New Roman" w:cs="Times New Roman"/>
                <w:sz w:val="20"/>
                <w:szCs w:val="20"/>
              </w:rPr>
            </w:pPr>
            <w:r>
              <w:rPr>
                <w:rFonts w:hint="default" w:ascii="Times New Roman" w:hAnsi="Times New Roman" w:cs="Times New Roman"/>
                <w:color w:val="000000"/>
                <w:sz w:val="20"/>
                <w:szCs w:val="20"/>
              </w:rPr>
              <w:t>For patients weighing less than 50 kg: 2050 IU subcutaneously once daily (qd).</w:t>
            </w:r>
          </w:p>
          <w:p w14:paraId="34B72F31">
            <w:pPr>
              <w:pStyle w:val="17"/>
              <w:keepNext w:val="0"/>
              <w:keepLines w:val="0"/>
              <w:widowControl/>
              <w:suppressLineNumbers w:val="0"/>
              <w:spacing w:before="0" w:beforeAutospacing="0" w:after="0" w:afterAutospacing="0" w:line="480" w:lineRule="auto"/>
              <w:ind w:left="0" w:right="0" w:firstLine="0"/>
              <w:jc w:val="left"/>
              <w:rPr>
                <w:rFonts w:hint="default" w:ascii="Times New Roman" w:hAnsi="Times New Roman" w:cs="Times New Roman"/>
                <w:sz w:val="20"/>
                <w:szCs w:val="20"/>
              </w:rPr>
            </w:pPr>
            <w:r>
              <w:rPr>
                <w:rFonts w:hint="default" w:ascii="Times New Roman" w:hAnsi="Times New Roman" w:cs="Times New Roman"/>
                <w:color w:val="000000"/>
                <w:sz w:val="20"/>
                <w:szCs w:val="20"/>
              </w:rPr>
              <w:t>For patients weighing between 50 kg and 70 kg: 3075 IU subcutaneously once daily (qd).</w:t>
            </w:r>
          </w:p>
          <w:p w14:paraId="5C1683FB">
            <w:pPr>
              <w:pStyle w:val="17"/>
              <w:keepNext w:val="0"/>
              <w:keepLines w:val="0"/>
              <w:widowControl/>
              <w:suppressLineNumbers w:val="0"/>
              <w:spacing w:before="0" w:beforeAutospacing="0" w:after="0" w:afterAutospacing="0" w:line="480" w:lineRule="auto"/>
              <w:ind w:left="0" w:right="0" w:firstLine="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cs="Times New Roman"/>
                <w:color w:val="000000"/>
                <w:sz w:val="20"/>
                <w:szCs w:val="20"/>
              </w:rPr>
              <w:t>For patients weighing 70 kg or more: 4100 IU subcutaneously once daily (qd).</w:t>
            </w:r>
          </w:p>
        </w:tc>
      </w:tr>
      <w:tr w14:paraId="6633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08364AB4">
            <w:pPr>
              <w:pStyle w:val="17"/>
              <w:keepNext w:val="0"/>
              <w:keepLines w:val="0"/>
              <w:widowControl/>
              <w:suppressLineNumbers w:val="0"/>
              <w:spacing w:before="0" w:beforeAutospacing="0" w:after="0" w:afterAutospacing="0" w:line="480" w:lineRule="auto"/>
              <w:ind w:left="0" w:right="0" w:firstLine="0"/>
              <w:jc w:val="left"/>
              <w:rPr>
                <w:rFonts w:hint="default" w:ascii="Times New Roman" w:hAnsi="Times New Roman" w:cs="Times New Roman"/>
                <w:sz w:val="20"/>
                <w:szCs w:val="20"/>
              </w:rPr>
            </w:pPr>
            <w:r>
              <w:rPr>
                <w:rFonts w:hint="default" w:ascii="Times New Roman" w:hAnsi="Times New Roman" w:cs="Times New Roman"/>
                <w:color w:val="000000"/>
                <w:sz w:val="20"/>
                <w:szCs w:val="20"/>
              </w:rPr>
              <w:t>Apixaban</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b w:val="0"/>
                <w:bCs/>
                <w:kern w:val="2"/>
                <w:sz w:val="20"/>
                <w:szCs w:val="20"/>
                <w:vertAlign w:val="superscript"/>
                <w:lang w:val="en-US" w:eastAsia="zh-CN" w:bidi="ar"/>
              </w:rPr>
              <w:t>a,b,c,d</w:t>
            </w:r>
          </w:p>
          <w:p w14:paraId="01C670EA">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p>
        </w:tc>
        <w:tc>
          <w:tcPr>
            <w:tcW w:w="7134" w:type="dxa"/>
          </w:tcPr>
          <w:p w14:paraId="0D094150">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Take 2.5 mg by mouth twice a day (bid).</w:t>
            </w:r>
          </w:p>
          <w:p w14:paraId="42364CC7">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Administer the medication 12 to 24 hours after surgery (5 hours after removal of the epidural catheter).</w:t>
            </w:r>
          </w:p>
        </w:tc>
      </w:tr>
      <w:tr w14:paraId="552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4B4D516C">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Rivaroxaban</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64AE22DD">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T</w:t>
            </w:r>
            <w:r>
              <w:rPr>
                <w:rFonts w:hint="default" w:ascii="Times New Roman" w:hAnsi="Times New Roman" w:eastAsia="宋体" w:cs="Times New Roman"/>
                <w:sz w:val="20"/>
                <w:szCs w:val="20"/>
                <w:vertAlign w:val="baseline"/>
                <w:lang w:val="en-US" w:eastAsia="zh-CN" w:bidi="ar"/>
              </w:rPr>
              <w:t>ake 10 mg by mouth once daily (qd).</w:t>
            </w:r>
          </w:p>
          <w:p w14:paraId="1F293851">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Start the medication 6 to 10 hours after surgery (6 hours after removal of the epidural catheter).</w:t>
            </w:r>
          </w:p>
        </w:tc>
      </w:tr>
      <w:tr w14:paraId="658E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2B3B6943">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Fondaparinux Sodium</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038E4BA0">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Administer 2.5 mg subcutaneously once daily (qd).</w:t>
            </w:r>
          </w:p>
          <w:p w14:paraId="3BC951CA">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Start the medication 6 to 24 hours after surgery.</w:t>
            </w:r>
          </w:p>
          <w:p w14:paraId="357596D6">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For patients with delayed removal of the epidural catheter, start the medication 2 to 4 hours after catheter removal.</w:t>
            </w:r>
          </w:p>
        </w:tc>
      </w:tr>
      <w:tr w14:paraId="0AE5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3C15DB9B">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Warfarin</w:t>
            </w:r>
            <w:r>
              <w:rPr>
                <w:rFonts w:hint="default" w:ascii="Times New Roman" w:hAnsi="Times New Roman" w:eastAsia="宋体" w:cs="Times New Roman"/>
                <w:sz w:val="20"/>
                <w:szCs w:val="20"/>
                <w:vertAlign w:val="baseline"/>
                <w:lang w:val="en-US" w:eastAsia="zh-CN" w:bidi="ar"/>
              </w:rPr>
              <w:t xml:space="preserve"> </w:t>
            </w:r>
            <w:r>
              <w:rPr>
                <w:rFonts w:hint="default" w:ascii="Times New Roman" w:hAnsi="Times New Roman" w:eastAsia="宋体" w:cs="Times New Roman"/>
                <w:b w:val="0"/>
                <w:bCs/>
                <w:kern w:val="2"/>
                <w:sz w:val="20"/>
                <w:szCs w:val="20"/>
                <w:vertAlign w:val="superscript"/>
                <w:lang w:val="en-US" w:eastAsia="zh-CN" w:bidi="ar"/>
              </w:rPr>
              <w:t>a,b,c,d</w:t>
            </w:r>
          </w:p>
        </w:tc>
        <w:tc>
          <w:tcPr>
            <w:tcW w:w="7134" w:type="dxa"/>
          </w:tcPr>
          <w:p w14:paraId="04F8BB4C">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val="en-US" w:eastAsia="zh-CN" w:bidi="ar"/>
              </w:rPr>
            </w:pPr>
            <w:r>
              <w:rPr>
                <w:rFonts w:hint="default" w:ascii="Times New Roman" w:hAnsi="Times New Roman" w:eastAsia="宋体" w:cs="Times New Roman"/>
                <w:sz w:val="20"/>
                <w:szCs w:val="20"/>
                <w:vertAlign w:val="baseline"/>
                <w:lang w:val="en-US" w:eastAsia="zh-CN" w:bidi="ar"/>
              </w:rPr>
              <w:t>Oral administration, monitor INR, with a target of 2.5, and maintain the range between 2.0 to 3.0.</w:t>
            </w:r>
          </w:p>
        </w:tc>
      </w:tr>
    </w:tbl>
    <w:p w14:paraId="7949F8D1">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i/>
          <w:iCs/>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a. </w:t>
      </w:r>
      <w:r>
        <w:rPr>
          <w:rFonts w:hint="default" w:ascii="Times New Roman" w:hAnsi="Times New Roman" w:eastAsia="宋体" w:cs="Times New Roman"/>
          <w:i/>
          <w:iCs/>
          <w:sz w:val="20"/>
          <w:szCs w:val="20"/>
          <w:vertAlign w:val="baseline"/>
          <w:lang w:eastAsia="zh-CN" w:bidi="ar"/>
        </w:rPr>
        <w:t>Falck-Ytter Y, Francis CW, Johanson NA et al. Prevention of VTE in orthopedic surgery patients: Antithrombotic Therapy and Prevention of Thrombosis, 9th ed: American College of Chest Physicians Evidence-Based Clinical Practice Guidelines. Chest 2012; 141: e278S-e325S. DOI: 10.1378/chest.11-2404</w:t>
      </w:r>
    </w:p>
    <w:p w14:paraId="116C4EDE">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i/>
          <w:iCs/>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b. </w:t>
      </w:r>
      <w:r>
        <w:rPr>
          <w:rFonts w:hint="default" w:ascii="Times New Roman" w:hAnsi="Times New Roman" w:eastAsia="宋体" w:cs="Times New Roman"/>
          <w:i/>
          <w:iCs/>
          <w:sz w:val="20"/>
          <w:szCs w:val="20"/>
          <w:vertAlign w:val="baseline"/>
          <w:lang w:eastAsia="zh-CN" w:bidi="ar"/>
        </w:rPr>
        <w:t>Uzel K, Azboy İ, Parvizi J. Venous thromboembolism in orthopedic surgery: Global guidelines. Acta orthopaedica et traumatologica turcica 2023; 57: 192-203. DOI: 10.5152/j.aott.2023.23074</w:t>
      </w:r>
    </w:p>
    <w:p w14:paraId="3C243982">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c. </w:t>
      </w:r>
      <w:r>
        <w:rPr>
          <w:rFonts w:hint="default" w:ascii="Times New Roman" w:hAnsi="Times New Roman" w:eastAsia="宋体" w:cs="Times New Roman"/>
          <w:i/>
          <w:iCs/>
          <w:sz w:val="20"/>
          <w:szCs w:val="20"/>
          <w:vertAlign w:val="baseline"/>
          <w:lang w:eastAsia="zh-CN" w:bidi="ar"/>
        </w:rPr>
        <w:t xml:space="preserve">Branch CMAO. Prevention of venous thromboembolism after major orthopaedic surgery. Chinese Journal of Orthopaedics 2016; 36: 65-71. </w:t>
      </w:r>
    </w:p>
    <w:p w14:paraId="6D58B546">
      <w:pPr>
        <w:keepNext w:val="0"/>
        <w:keepLines w:val="0"/>
        <w:suppressLineNumbers w:val="0"/>
        <w:spacing w:before="0" w:beforeAutospacing="0" w:after="0" w:afterAutospacing="0" w:line="480" w:lineRule="auto"/>
        <w:ind w:left="0" w:right="0"/>
        <w:jc w:val="left"/>
        <w:rPr>
          <w:rFonts w:hint="default" w:ascii="Times New Roman" w:hAnsi="Times New Roman" w:eastAsia="宋体" w:cs="Times New Roman"/>
          <w:i/>
          <w:iCs/>
          <w:sz w:val="20"/>
          <w:szCs w:val="20"/>
          <w:vertAlign w:val="baseline"/>
          <w:lang w:eastAsia="zh-CN" w:bidi="ar"/>
        </w:rPr>
      </w:pPr>
      <w:r>
        <w:rPr>
          <w:rFonts w:hint="default" w:ascii="Times New Roman" w:hAnsi="Times New Roman" w:eastAsia="宋体" w:cs="Times New Roman"/>
          <w:b/>
          <w:bCs/>
          <w:sz w:val="20"/>
          <w:szCs w:val="20"/>
          <w:vertAlign w:val="baseline"/>
          <w:lang w:val="en-US" w:eastAsia="zh-CN" w:bidi="ar"/>
        </w:rPr>
        <w:t xml:space="preserve">d. </w:t>
      </w:r>
      <w:r>
        <w:rPr>
          <w:rFonts w:hint="default" w:ascii="Times New Roman" w:hAnsi="Times New Roman" w:eastAsia="宋体" w:cs="Times New Roman"/>
          <w:i/>
          <w:iCs/>
          <w:sz w:val="20"/>
          <w:szCs w:val="20"/>
          <w:vertAlign w:val="baseline"/>
          <w:lang w:eastAsia="zh-CN" w:bidi="ar"/>
        </w:rPr>
        <w:t>Lin Q, Yang M, Hou ZJCJOT. Guidelines for prevention of perioperative venous thromboembolism in Chinese orthopedic trauma patients (2021). 2021; 23: 185</w:t>
      </w:r>
    </w:p>
    <w:p w14:paraId="3C272141">
      <w:pPr>
        <w:rPr>
          <w:rFonts w:hint="default" w:ascii="Times New Roman" w:hAnsi="Times New Roman" w:eastAsia="宋体" w:cs="Times New Roman"/>
          <w:i/>
          <w:iCs/>
          <w:sz w:val="20"/>
          <w:szCs w:val="20"/>
          <w:vertAlign w:val="baseline"/>
          <w:lang w:eastAsia="zh-CN" w:bidi="ar"/>
        </w:rPr>
      </w:pPr>
      <w:r>
        <w:rPr>
          <w:rFonts w:hint="default" w:ascii="Times New Roman" w:hAnsi="Times New Roman" w:eastAsia="宋体" w:cs="Times New Roman"/>
          <w:i/>
          <w:iCs/>
          <w:sz w:val="20"/>
          <w:szCs w:val="20"/>
          <w:vertAlign w:val="baseline"/>
          <w:lang w:eastAsia="zh-CN" w:bidi="ar"/>
        </w:rPr>
        <w:br w:type="page"/>
      </w:r>
    </w:p>
    <w:p w14:paraId="4834EF45">
      <w:pPr>
        <w:keepNext w:val="0"/>
        <w:keepLines w:val="0"/>
        <w:widowControl/>
        <w:suppressLineNumbers w:val="0"/>
        <w:adjustRightInd w:val="0"/>
        <w:spacing w:before="0" w:beforeAutospacing="0" w:after="240" w:afterAutospacing="0" w:line="480" w:lineRule="auto"/>
        <w:ind w:left="0" w:right="0"/>
        <w:contextualSpacing/>
        <w:jc w:val="both"/>
        <w:rPr>
          <w:rFonts w:hint="default" w:ascii="Times New Roman" w:hAnsi="Times New Roman" w:eastAsia="等线" w:cs="Times New Roman"/>
          <w:bCs/>
          <w:color w:val="000000"/>
          <w:sz w:val="20"/>
          <w:szCs w:val="20"/>
          <w:lang w:val="en-US" w:eastAsia="zh-CN" w:bidi="en-US"/>
        </w:rPr>
      </w:pPr>
      <w:bookmarkStart w:id="1" w:name="_GoBack"/>
      <w:bookmarkEnd w:id="1"/>
      <w:r>
        <w:rPr>
          <w:rFonts w:hint="default" w:ascii="Times New Roman" w:hAnsi="Times New Roman" w:eastAsia="Times New Roman" w:cs="Times New Roman"/>
          <w:b/>
          <w:bCs w:val="0"/>
          <w:color w:val="000000"/>
          <w:kern w:val="0"/>
          <w:sz w:val="20"/>
          <w:szCs w:val="20"/>
          <w:lang w:val="en-US" w:eastAsia="de" w:bidi="en-US"/>
        </w:rPr>
        <w:t xml:space="preserve">Supplemental Table </w:t>
      </w:r>
      <w:r>
        <w:rPr>
          <w:rFonts w:hint="default" w:ascii="Times New Roman" w:hAnsi="Times New Roman" w:eastAsia="宋体" w:cs="Times New Roman"/>
          <w:b/>
          <w:bCs w:val="0"/>
          <w:color w:val="000000"/>
          <w:kern w:val="0"/>
          <w:sz w:val="20"/>
          <w:szCs w:val="20"/>
          <w:lang w:val="en-US" w:eastAsia="zh-CN" w:bidi="en-US"/>
        </w:rPr>
        <w:t>3</w:t>
      </w:r>
      <w:r>
        <w:rPr>
          <w:rFonts w:hint="default" w:ascii="Times New Roman" w:hAnsi="Times New Roman" w:eastAsia="Times New Roman" w:cs="Times New Roman"/>
          <w:b/>
          <w:bCs w:val="0"/>
          <w:color w:val="000000"/>
          <w:kern w:val="0"/>
          <w:sz w:val="20"/>
          <w:szCs w:val="20"/>
          <w:lang w:val="en-US" w:eastAsia="de" w:bidi="en-US"/>
        </w:rPr>
        <w:t xml:space="preserve">. </w:t>
      </w:r>
      <w:r>
        <w:rPr>
          <w:rFonts w:hint="default" w:ascii="Times New Roman" w:hAnsi="Times New Roman" w:eastAsia="Times New Roman" w:cs="Times New Roman"/>
          <w:bCs/>
          <w:color w:val="000000"/>
          <w:kern w:val="0"/>
          <w:sz w:val="20"/>
          <w:szCs w:val="20"/>
          <w:lang w:val="en-US" w:eastAsia="de" w:bidi="en-US"/>
        </w:rPr>
        <w:t>Comparison of adverse events in the propensity score-matched cohort</w:t>
      </w:r>
    </w:p>
    <w:tbl>
      <w:tblPr>
        <w:tblStyle w:val="54"/>
        <w:tblpPr w:leftFromText="180" w:rightFromText="180" w:vertAnchor="text" w:horzAnchor="page" w:tblpX="1375" w:tblpY="50"/>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505"/>
        <w:gridCol w:w="1844"/>
        <w:gridCol w:w="2126"/>
        <w:gridCol w:w="1984"/>
        <w:gridCol w:w="973"/>
      </w:tblGrid>
      <w:tr w14:paraId="1CB1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505" w:type="dxa"/>
            <w:tcBorders>
              <w:top w:val="single" w:color="auto" w:sz="4" w:space="0"/>
              <w:left w:val="nil"/>
              <w:bottom w:val="single" w:color="auto" w:sz="4" w:space="0"/>
              <w:right w:val="nil"/>
            </w:tcBorders>
            <w:shd w:val="clear"/>
            <w:vAlign w:val="top"/>
          </w:tcPr>
          <w:p w14:paraId="55860FA3">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b/>
                <w:bCs/>
                <w:color w:val="000000"/>
                <w:sz w:val="20"/>
                <w:szCs w:val="20"/>
                <w:bdr w:val="none" w:color="auto" w:sz="0" w:space="0"/>
                <w:lang w:val="en-US" w:eastAsia="zh-CN"/>
              </w:rPr>
            </w:pPr>
            <w:bookmarkStart w:id="0" w:name="_Hlk199162363"/>
          </w:p>
        </w:tc>
        <w:tc>
          <w:tcPr>
            <w:tcW w:w="1844" w:type="dxa"/>
            <w:tcBorders>
              <w:top w:val="single" w:color="auto" w:sz="4" w:space="0"/>
              <w:left w:val="nil"/>
              <w:bottom w:val="single" w:color="auto" w:sz="4" w:space="0"/>
              <w:right w:val="nil"/>
            </w:tcBorders>
            <w:shd w:val="clear"/>
            <w:vAlign w:val="top"/>
          </w:tcPr>
          <w:p w14:paraId="0AF90ABC">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b/>
                <w:bCs/>
                <w:color w:val="000000"/>
                <w:sz w:val="20"/>
                <w:szCs w:val="20"/>
                <w:bdr w:val="none" w:color="auto" w:sz="0" w:space="0"/>
                <w:lang w:val="en-US" w:eastAsia="zh-CN"/>
              </w:rPr>
            </w:pPr>
            <w:r>
              <w:rPr>
                <w:rFonts w:hint="default" w:ascii="Times New Roman" w:hAnsi="Times New Roman" w:eastAsia="宋体" w:cs="Times New Roman"/>
                <w:b/>
                <w:bCs/>
                <w:color w:val="000000"/>
                <w:kern w:val="0"/>
                <w:sz w:val="20"/>
                <w:szCs w:val="20"/>
                <w:bdr w:val="none" w:color="auto" w:sz="0" w:space="0"/>
                <w:lang w:val="en-US" w:eastAsia="zh-CN" w:bidi="ar"/>
              </w:rPr>
              <w:t>Overall</w:t>
            </w:r>
          </w:p>
          <w:p w14:paraId="65683A0E">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b/>
                <w:bCs/>
                <w:color w:val="000000"/>
                <w:sz w:val="20"/>
                <w:szCs w:val="20"/>
                <w:bdr w:val="none" w:color="auto" w:sz="0" w:space="0"/>
                <w:lang w:val="en-US" w:eastAsia="zh-CN"/>
              </w:rPr>
            </w:pPr>
            <w:r>
              <w:rPr>
                <w:rFonts w:hint="default" w:ascii="Times New Roman" w:hAnsi="Times New Roman" w:eastAsia="宋体" w:cs="Times New Roman"/>
                <w:b/>
                <w:bCs/>
                <w:color w:val="000000"/>
                <w:kern w:val="0"/>
                <w:sz w:val="20"/>
                <w:szCs w:val="20"/>
                <w:bdr w:val="none" w:color="auto" w:sz="0" w:space="0"/>
                <w:lang w:val="en-US" w:eastAsia="zh-CN" w:bidi="ar"/>
              </w:rPr>
              <w:t>(n=812)</w:t>
            </w:r>
          </w:p>
        </w:tc>
        <w:tc>
          <w:tcPr>
            <w:tcW w:w="2126" w:type="dxa"/>
            <w:tcBorders>
              <w:top w:val="single" w:color="auto" w:sz="4" w:space="0"/>
              <w:left w:val="nil"/>
              <w:bottom w:val="single" w:color="auto" w:sz="4" w:space="0"/>
              <w:right w:val="nil"/>
            </w:tcBorders>
            <w:shd w:val="clear"/>
            <w:vAlign w:val="top"/>
          </w:tcPr>
          <w:p w14:paraId="21FF010E">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b/>
                <w:bCs/>
                <w:color w:val="000000"/>
                <w:sz w:val="20"/>
                <w:szCs w:val="20"/>
                <w:bdr w:val="none" w:color="auto" w:sz="0" w:space="0"/>
                <w:lang w:eastAsia="zh-CN"/>
              </w:rPr>
            </w:pPr>
            <w:r>
              <w:rPr>
                <w:rFonts w:hint="default" w:ascii="Times New Roman" w:hAnsi="Times New Roman" w:eastAsia="宋体" w:cs="Times New Roman"/>
                <w:b/>
                <w:bCs/>
                <w:color w:val="000000"/>
                <w:kern w:val="0"/>
                <w:sz w:val="20"/>
                <w:szCs w:val="20"/>
                <w:bdr w:val="none" w:color="auto" w:sz="0" w:space="0"/>
                <w:lang w:eastAsia="zh-CN" w:bidi="ar"/>
              </w:rPr>
              <w:t>No VTE-CPC service (n=406)</w:t>
            </w:r>
          </w:p>
        </w:tc>
        <w:tc>
          <w:tcPr>
            <w:tcW w:w="1984" w:type="dxa"/>
            <w:tcBorders>
              <w:top w:val="single" w:color="auto" w:sz="4" w:space="0"/>
              <w:left w:val="nil"/>
              <w:bottom w:val="single" w:color="auto" w:sz="4" w:space="0"/>
              <w:right w:val="nil"/>
            </w:tcBorders>
            <w:shd w:val="clear"/>
            <w:vAlign w:val="top"/>
          </w:tcPr>
          <w:p w14:paraId="46FD91DB">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b/>
                <w:bCs/>
                <w:color w:val="000000"/>
                <w:sz w:val="20"/>
                <w:szCs w:val="20"/>
                <w:bdr w:val="none" w:color="auto" w:sz="0" w:space="0"/>
                <w:lang w:val="en-US" w:eastAsia="zh-CN"/>
              </w:rPr>
            </w:pPr>
            <w:r>
              <w:rPr>
                <w:rFonts w:hint="default" w:ascii="Times New Roman" w:hAnsi="Times New Roman" w:eastAsia="宋体" w:cs="Times New Roman"/>
                <w:b/>
                <w:bCs/>
                <w:color w:val="000000"/>
                <w:kern w:val="0"/>
                <w:sz w:val="20"/>
                <w:szCs w:val="20"/>
                <w:bdr w:val="none" w:color="auto" w:sz="0" w:space="0"/>
                <w:lang w:val="en-US" w:eastAsia="zh-CN" w:bidi="ar"/>
              </w:rPr>
              <w:t>VTE-CPC service (n=406)</w:t>
            </w:r>
          </w:p>
        </w:tc>
        <w:tc>
          <w:tcPr>
            <w:tcW w:w="973" w:type="dxa"/>
            <w:tcBorders>
              <w:top w:val="single" w:color="auto" w:sz="4" w:space="0"/>
              <w:left w:val="nil"/>
              <w:bottom w:val="single" w:color="auto" w:sz="4" w:space="0"/>
              <w:right w:val="nil"/>
            </w:tcBorders>
            <w:shd w:val="clear"/>
            <w:vAlign w:val="top"/>
          </w:tcPr>
          <w:p w14:paraId="2A5A5C3D">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b/>
                <w:bCs/>
                <w:color w:val="000000"/>
                <w:sz w:val="20"/>
                <w:szCs w:val="20"/>
                <w:bdr w:val="none" w:color="auto" w:sz="0" w:space="0"/>
                <w:lang w:val="en-US" w:eastAsia="zh-CN"/>
              </w:rPr>
            </w:pPr>
            <w:r>
              <w:rPr>
                <w:rFonts w:hint="default" w:ascii="Times New Roman" w:hAnsi="Times New Roman" w:eastAsia="宋体" w:cs="Times New Roman"/>
                <w:b/>
                <w:bCs/>
                <w:color w:val="000000"/>
                <w:kern w:val="0"/>
                <w:sz w:val="20"/>
                <w:szCs w:val="20"/>
                <w:bdr w:val="none" w:color="auto" w:sz="0" w:space="0"/>
                <w:lang w:val="en-US" w:eastAsia="zh-CN" w:bidi="ar"/>
              </w:rPr>
              <w:t>P</w:t>
            </w:r>
          </w:p>
        </w:tc>
      </w:tr>
      <w:tr w14:paraId="30EC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505" w:type="dxa"/>
            <w:tcBorders>
              <w:top w:val="single" w:color="auto" w:sz="4" w:space="0"/>
              <w:left w:val="nil"/>
              <w:bottom w:val="nil"/>
              <w:right w:val="nil"/>
            </w:tcBorders>
            <w:shd w:val="clear"/>
            <w:vAlign w:val="top"/>
          </w:tcPr>
          <w:p w14:paraId="2DC17250">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Non-major bleeding event</w:t>
            </w:r>
          </w:p>
        </w:tc>
        <w:tc>
          <w:tcPr>
            <w:tcW w:w="1844" w:type="dxa"/>
            <w:tcBorders>
              <w:top w:val="nil"/>
              <w:left w:val="nil"/>
              <w:bottom w:val="nil"/>
              <w:right w:val="nil"/>
            </w:tcBorders>
            <w:shd w:val="clear"/>
            <w:vAlign w:val="center"/>
          </w:tcPr>
          <w:p w14:paraId="31242087">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 (0.20)</w:t>
            </w:r>
          </w:p>
        </w:tc>
        <w:tc>
          <w:tcPr>
            <w:tcW w:w="2126" w:type="dxa"/>
            <w:tcBorders>
              <w:top w:val="nil"/>
              <w:left w:val="nil"/>
              <w:bottom w:val="nil"/>
              <w:right w:val="nil"/>
            </w:tcBorders>
            <w:shd w:val="clear"/>
            <w:vAlign w:val="center"/>
          </w:tcPr>
          <w:p w14:paraId="12F1CA9B">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0 (0.00)</w:t>
            </w:r>
          </w:p>
        </w:tc>
        <w:tc>
          <w:tcPr>
            <w:tcW w:w="1984" w:type="dxa"/>
            <w:tcBorders>
              <w:top w:val="nil"/>
              <w:left w:val="nil"/>
              <w:bottom w:val="nil"/>
              <w:right w:val="nil"/>
            </w:tcBorders>
            <w:shd w:val="clear"/>
            <w:vAlign w:val="center"/>
          </w:tcPr>
          <w:p w14:paraId="15CD9AAB">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 (0.25)</w:t>
            </w:r>
          </w:p>
        </w:tc>
        <w:tc>
          <w:tcPr>
            <w:tcW w:w="973" w:type="dxa"/>
            <w:tcBorders>
              <w:top w:val="single" w:color="auto" w:sz="4" w:space="0"/>
              <w:left w:val="nil"/>
              <w:bottom w:val="nil"/>
              <w:right w:val="nil"/>
            </w:tcBorders>
            <w:shd w:val="clear"/>
            <w:vAlign w:val="top"/>
          </w:tcPr>
          <w:p w14:paraId="1D6282E3">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&gt;0.999</w:t>
            </w:r>
          </w:p>
        </w:tc>
      </w:tr>
      <w:tr w14:paraId="2B5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505" w:type="dxa"/>
            <w:tcBorders>
              <w:top w:val="nil"/>
              <w:left w:val="nil"/>
              <w:bottom w:val="nil"/>
              <w:right w:val="nil"/>
            </w:tcBorders>
            <w:shd w:val="clear"/>
            <w:vAlign w:val="top"/>
          </w:tcPr>
          <w:p w14:paraId="3BD1F964">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Thrombocytosis</w:t>
            </w:r>
          </w:p>
        </w:tc>
        <w:tc>
          <w:tcPr>
            <w:tcW w:w="1844" w:type="dxa"/>
            <w:tcBorders>
              <w:top w:val="nil"/>
              <w:left w:val="nil"/>
              <w:bottom w:val="nil"/>
              <w:right w:val="nil"/>
            </w:tcBorders>
            <w:shd w:val="clear"/>
            <w:vAlign w:val="center"/>
          </w:tcPr>
          <w:p w14:paraId="779AFDB1">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280 (34.48)</w:t>
            </w:r>
          </w:p>
        </w:tc>
        <w:tc>
          <w:tcPr>
            <w:tcW w:w="2126" w:type="dxa"/>
            <w:tcBorders>
              <w:top w:val="nil"/>
              <w:left w:val="nil"/>
              <w:bottom w:val="nil"/>
              <w:right w:val="nil"/>
            </w:tcBorders>
            <w:shd w:val="clear"/>
            <w:vAlign w:val="center"/>
          </w:tcPr>
          <w:p w14:paraId="1AB9EDD9">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149 (36.70)</w:t>
            </w:r>
          </w:p>
        </w:tc>
        <w:tc>
          <w:tcPr>
            <w:tcW w:w="1984" w:type="dxa"/>
            <w:tcBorders>
              <w:top w:val="nil"/>
              <w:left w:val="nil"/>
              <w:bottom w:val="nil"/>
              <w:right w:val="nil"/>
            </w:tcBorders>
            <w:shd w:val="clear"/>
            <w:vAlign w:val="center"/>
          </w:tcPr>
          <w:p w14:paraId="4FB53496">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131 (32.27)</w:t>
            </w:r>
          </w:p>
        </w:tc>
        <w:tc>
          <w:tcPr>
            <w:tcW w:w="973" w:type="dxa"/>
            <w:tcBorders>
              <w:top w:val="nil"/>
              <w:left w:val="nil"/>
              <w:bottom w:val="nil"/>
              <w:right w:val="nil"/>
            </w:tcBorders>
            <w:shd w:val="clear"/>
            <w:vAlign w:val="center"/>
          </w:tcPr>
          <w:p w14:paraId="2AC2615C">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 xml:space="preserve">0.209 </w:t>
            </w:r>
          </w:p>
        </w:tc>
      </w:tr>
      <w:tr w14:paraId="7B67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Borders>
              <w:top w:val="nil"/>
              <w:left w:val="nil"/>
              <w:bottom w:val="nil"/>
              <w:right w:val="nil"/>
            </w:tcBorders>
            <w:shd w:val="clear"/>
            <w:vAlign w:val="top"/>
          </w:tcPr>
          <w:p w14:paraId="4C9A162C">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Thrombocytopenia</w:t>
            </w:r>
          </w:p>
        </w:tc>
        <w:tc>
          <w:tcPr>
            <w:tcW w:w="1844" w:type="dxa"/>
            <w:tcBorders>
              <w:top w:val="nil"/>
              <w:left w:val="nil"/>
              <w:bottom w:val="nil"/>
              <w:right w:val="nil"/>
            </w:tcBorders>
            <w:shd w:val="clear"/>
            <w:vAlign w:val="center"/>
          </w:tcPr>
          <w:p w14:paraId="681834E9">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14 (1.72)</w:t>
            </w:r>
          </w:p>
        </w:tc>
        <w:tc>
          <w:tcPr>
            <w:tcW w:w="2126" w:type="dxa"/>
            <w:tcBorders>
              <w:top w:val="nil"/>
              <w:left w:val="nil"/>
              <w:bottom w:val="nil"/>
              <w:right w:val="nil"/>
            </w:tcBorders>
            <w:shd w:val="clear"/>
            <w:vAlign w:val="center"/>
          </w:tcPr>
          <w:p w14:paraId="6461DA89">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6 (1.48)</w:t>
            </w:r>
          </w:p>
        </w:tc>
        <w:tc>
          <w:tcPr>
            <w:tcW w:w="1984" w:type="dxa"/>
            <w:tcBorders>
              <w:top w:val="nil"/>
              <w:left w:val="nil"/>
              <w:bottom w:val="nil"/>
              <w:right w:val="nil"/>
            </w:tcBorders>
            <w:shd w:val="clear"/>
            <w:vAlign w:val="center"/>
          </w:tcPr>
          <w:p w14:paraId="5ECF1EE4">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8 (1.97)</w:t>
            </w:r>
          </w:p>
        </w:tc>
        <w:tc>
          <w:tcPr>
            <w:tcW w:w="973" w:type="dxa"/>
            <w:tcBorders>
              <w:top w:val="nil"/>
              <w:left w:val="nil"/>
              <w:bottom w:val="nil"/>
              <w:right w:val="nil"/>
            </w:tcBorders>
            <w:shd w:val="clear"/>
            <w:vAlign w:val="top"/>
          </w:tcPr>
          <w:p w14:paraId="02B1DFDA">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0.788</w:t>
            </w:r>
          </w:p>
        </w:tc>
      </w:tr>
      <w:tr w14:paraId="1CB7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505" w:type="dxa"/>
            <w:tcBorders>
              <w:top w:val="nil"/>
              <w:left w:val="nil"/>
              <w:bottom w:val="nil"/>
              <w:right w:val="nil"/>
            </w:tcBorders>
            <w:shd w:val="clear"/>
            <w:vAlign w:val="top"/>
          </w:tcPr>
          <w:p w14:paraId="0F937CC1">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Anemia</w:t>
            </w:r>
          </w:p>
        </w:tc>
        <w:tc>
          <w:tcPr>
            <w:tcW w:w="1844" w:type="dxa"/>
            <w:tcBorders>
              <w:top w:val="nil"/>
              <w:left w:val="nil"/>
              <w:bottom w:val="nil"/>
              <w:right w:val="nil"/>
            </w:tcBorders>
            <w:shd w:val="clear"/>
            <w:vAlign w:val="center"/>
          </w:tcPr>
          <w:p w14:paraId="426C7259">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343 (42.24)</w:t>
            </w:r>
          </w:p>
        </w:tc>
        <w:tc>
          <w:tcPr>
            <w:tcW w:w="2126" w:type="dxa"/>
            <w:tcBorders>
              <w:top w:val="nil"/>
              <w:left w:val="nil"/>
              <w:bottom w:val="nil"/>
              <w:right w:val="nil"/>
            </w:tcBorders>
            <w:shd w:val="clear"/>
            <w:vAlign w:val="center"/>
          </w:tcPr>
          <w:p w14:paraId="2EFE5C03">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177 (43.60)</w:t>
            </w:r>
          </w:p>
        </w:tc>
        <w:tc>
          <w:tcPr>
            <w:tcW w:w="1984" w:type="dxa"/>
            <w:tcBorders>
              <w:top w:val="nil"/>
              <w:left w:val="nil"/>
              <w:bottom w:val="nil"/>
              <w:right w:val="nil"/>
            </w:tcBorders>
            <w:shd w:val="clear"/>
            <w:vAlign w:val="center"/>
          </w:tcPr>
          <w:p w14:paraId="7F94E053">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166 (40.89)</w:t>
            </w:r>
          </w:p>
        </w:tc>
        <w:tc>
          <w:tcPr>
            <w:tcW w:w="973" w:type="dxa"/>
            <w:tcBorders>
              <w:top w:val="nil"/>
              <w:left w:val="nil"/>
              <w:bottom w:val="nil"/>
              <w:right w:val="nil"/>
            </w:tcBorders>
            <w:shd w:val="clear"/>
            <w:vAlign w:val="center"/>
          </w:tcPr>
          <w:p w14:paraId="6C8BB83A">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0.477</w:t>
            </w:r>
          </w:p>
        </w:tc>
      </w:tr>
      <w:tr w14:paraId="6752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505" w:type="dxa"/>
            <w:tcBorders>
              <w:top w:val="nil"/>
              <w:left w:val="nil"/>
              <w:bottom w:val="nil"/>
              <w:right w:val="nil"/>
            </w:tcBorders>
            <w:shd w:val="clear"/>
            <w:vAlign w:val="top"/>
          </w:tcPr>
          <w:p w14:paraId="48B3FFE2">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Elevated ALT</w:t>
            </w:r>
          </w:p>
        </w:tc>
        <w:tc>
          <w:tcPr>
            <w:tcW w:w="1844" w:type="dxa"/>
            <w:tcBorders>
              <w:top w:val="nil"/>
              <w:left w:val="nil"/>
              <w:bottom w:val="nil"/>
              <w:right w:val="nil"/>
            </w:tcBorders>
            <w:shd w:val="clear"/>
            <w:vAlign w:val="center"/>
          </w:tcPr>
          <w:p w14:paraId="0A3CCF69">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115 (14.16)</w:t>
            </w:r>
          </w:p>
        </w:tc>
        <w:tc>
          <w:tcPr>
            <w:tcW w:w="2126" w:type="dxa"/>
            <w:tcBorders>
              <w:top w:val="nil"/>
              <w:left w:val="nil"/>
              <w:bottom w:val="nil"/>
              <w:right w:val="nil"/>
            </w:tcBorders>
            <w:shd w:val="clear"/>
            <w:vAlign w:val="center"/>
          </w:tcPr>
          <w:p w14:paraId="5202CDDD">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64 (15.76)</w:t>
            </w:r>
          </w:p>
        </w:tc>
        <w:tc>
          <w:tcPr>
            <w:tcW w:w="1984" w:type="dxa"/>
            <w:tcBorders>
              <w:top w:val="nil"/>
              <w:left w:val="nil"/>
              <w:bottom w:val="nil"/>
              <w:right w:val="nil"/>
            </w:tcBorders>
            <w:shd w:val="clear"/>
            <w:vAlign w:val="center"/>
          </w:tcPr>
          <w:p w14:paraId="702F919F">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51 (12.56)</w:t>
            </w:r>
          </w:p>
        </w:tc>
        <w:tc>
          <w:tcPr>
            <w:tcW w:w="973" w:type="dxa"/>
            <w:tcBorders>
              <w:top w:val="nil"/>
              <w:left w:val="nil"/>
              <w:bottom w:val="nil"/>
              <w:right w:val="nil"/>
            </w:tcBorders>
            <w:shd w:val="clear"/>
            <w:vAlign w:val="top"/>
          </w:tcPr>
          <w:p w14:paraId="2F3EF4FF">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0.227</w:t>
            </w:r>
          </w:p>
        </w:tc>
      </w:tr>
      <w:tr w14:paraId="311D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505" w:type="dxa"/>
            <w:tcBorders>
              <w:top w:val="nil"/>
              <w:left w:val="nil"/>
              <w:bottom w:val="nil"/>
              <w:right w:val="nil"/>
            </w:tcBorders>
            <w:shd w:val="clear"/>
            <w:vAlign w:val="top"/>
          </w:tcPr>
          <w:p w14:paraId="1889315F">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Elevated AST</w:t>
            </w:r>
          </w:p>
        </w:tc>
        <w:tc>
          <w:tcPr>
            <w:tcW w:w="1844" w:type="dxa"/>
            <w:tcBorders>
              <w:top w:val="nil"/>
              <w:left w:val="nil"/>
              <w:bottom w:val="nil"/>
              <w:right w:val="nil"/>
            </w:tcBorders>
            <w:shd w:val="clear"/>
            <w:vAlign w:val="center"/>
          </w:tcPr>
          <w:p w14:paraId="1AA6372B">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123 (15.15)</w:t>
            </w:r>
          </w:p>
        </w:tc>
        <w:tc>
          <w:tcPr>
            <w:tcW w:w="2126" w:type="dxa"/>
            <w:tcBorders>
              <w:top w:val="nil"/>
              <w:left w:val="nil"/>
              <w:bottom w:val="nil"/>
              <w:right w:val="nil"/>
            </w:tcBorders>
            <w:shd w:val="clear"/>
            <w:vAlign w:val="center"/>
          </w:tcPr>
          <w:p w14:paraId="782E31B1">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65 (16.01)</w:t>
            </w:r>
          </w:p>
        </w:tc>
        <w:tc>
          <w:tcPr>
            <w:tcW w:w="1984" w:type="dxa"/>
            <w:tcBorders>
              <w:top w:val="nil"/>
              <w:left w:val="nil"/>
              <w:bottom w:val="nil"/>
              <w:right w:val="nil"/>
            </w:tcBorders>
            <w:shd w:val="clear"/>
            <w:vAlign w:val="center"/>
          </w:tcPr>
          <w:p w14:paraId="70FE47F3">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58 (14.29)</w:t>
            </w:r>
          </w:p>
        </w:tc>
        <w:tc>
          <w:tcPr>
            <w:tcW w:w="973" w:type="dxa"/>
            <w:tcBorders>
              <w:top w:val="nil"/>
              <w:left w:val="nil"/>
              <w:bottom w:val="nil"/>
              <w:right w:val="nil"/>
            </w:tcBorders>
            <w:shd w:val="clear"/>
            <w:vAlign w:val="top"/>
          </w:tcPr>
          <w:p w14:paraId="319F99BF">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0.557</w:t>
            </w:r>
          </w:p>
        </w:tc>
      </w:tr>
      <w:tr w14:paraId="74F2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Borders>
              <w:top w:val="nil"/>
              <w:left w:val="nil"/>
              <w:bottom w:val="single" w:color="auto" w:sz="4" w:space="0"/>
              <w:right w:val="nil"/>
            </w:tcBorders>
            <w:shd w:val="clear"/>
            <w:vAlign w:val="top"/>
          </w:tcPr>
          <w:p w14:paraId="7F599C6F">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Elevated serum creatinine</w:t>
            </w:r>
          </w:p>
        </w:tc>
        <w:tc>
          <w:tcPr>
            <w:tcW w:w="1844" w:type="dxa"/>
            <w:tcBorders>
              <w:top w:val="nil"/>
              <w:left w:val="nil"/>
              <w:bottom w:val="single" w:color="auto" w:sz="4" w:space="0"/>
              <w:right w:val="nil"/>
            </w:tcBorders>
            <w:shd w:val="clear"/>
            <w:vAlign w:val="center"/>
          </w:tcPr>
          <w:p w14:paraId="618898C3">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110 (13.55)</w:t>
            </w:r>
          </w:p>
        </w:tc>
        <w:tc>
          <w:tcPr>
            <w:tcW w:w="2126" w:type="dxa"/>
            <w:tcBorders>
              <w:top w:val="nil"/>
              <w:left w:val="nil"/>
              <w:bottom w:val="single" w:color="auto" w:sz="4" w:space="0"/>
              <w:right w:val="nil"/>
            </w:tcBorders>
            <w:shd w:val="clear"/>
            <w:vAlign w:val="center"/>
          </w:tcPr>
          <w:p w14:paraId="722E1847">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63 (15.52)</w:t>
            </w:r>
          </w:p>
        </w:tc>
        <w:tc>
          <w:tcPr>
            <w:tcW w:w="1984" w:type="dxa"/>
            <w:tcBorders>
              <w:top w:val="nil"/>
              <w:left w:val="nil"/>
              <w:bottom w:val="single" w:color="auto" w:sz="4" w:space="0"/>
              <w:right w:val="nil"/>
            </w:tcBorders>
            <w:shd w:val="clear"/>
            <w:vAlign w:val="center"/>
          </w:tcPr>
          <w:p w14:paraId="6DFC41FB">
            <w:pPr>
              <w:keepNext w:val="0"/>
              <w:keepLines w:val="0"/>
              <w:widowControl/>
              <w:suppressLineNumbers w:val="0"/>
              <w:adjustRightInd w:val="0"/>
              <w:spacing w:before="0" w:beforeAutospacing="0" w:after="0" w:afterAutospacing="0" w:line="480" w:lineRule="auto"/>
              <w:ind w:left="0" w:right="0"/>
              <w:contextualSpacing w:val="0"/>
              <w:jc w:val="left"/>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47 (11.58)</w:t>
            </w:r>
          </w:p>
        </w:tc>
        <w:tc>
          <w:tcPr>
            <w:tcW w:w="973" w:type="dxa"/>
            <w:tcBorders>
              <w:top w:val="nil"/>
              <w:left w:val="nil"/>
              <w:bottom w:val="single" w:color="auto" w:sz="4" w:space="0"/>
              <w:right w:val="nil"/>
            </w:tcBorders>
            <w:shd w:val="clear"/>
            <w:vAlign w:val="top"/>
          </w:tcPr>
          <w:p w14:paraId="014C982C">
            <w:pPr>
              <w:keepNext w:val="0"/>
              <w:keepLines w:val="0"/>
              <w:widowControl/>
              <w:suppressLineNumbers w:val="0"/>
              <w:adjustRightInd w:val="0"/>
              <w:spacing w:before="0" w:beforeAutospacing="0" w:after="0" w:afterAutospacing="0" w:line="480" w:lineRule="auto"/>
              <w:ind w:left="0" w:right="0"/>
              <w:contextualSpacing w:val="0"/>
              <w:jc w:val="both"/>
              <w:outlineLvl w:val="0"/>
              <w:rPr>
                <w:rFonts w:hint="default" w:ascii="Times New Roman" w:hAnsi="Times New Roman" w:eastAsia="宋体" w:cs="Times New Roman"/>
                <w:color w:val="000000"/>
                <w:sz w:val="20"/>
                <w:szCs w:val="20"/>
                <w:bdr w:val="none" w:color="auto" w:sz="0" w:space="0"/>
                <w:lang w:val="en-US" w:eastAsia="zh-CN"/>
              </w:rPr>
            </w:pPr>
            <w:r>
              <w:rPr>
                <w:rFonts w:hint="default" w:ascii="Times New Roman" w:hAnsi="Times New Roman" w:eastAsia="宋体" w:cs="Times New Roman"/>
                <w:color w:val="000000"/>
                <w:kern w:val="0"/>
                <w:sz w:val="20"/>
                <w:szCs w:val="20"/>
                <w:bdr w:val="none" w:color="auto" w:sz="0" w:space="0"/>
                <w:lang w:val="en-US" w:eastAsia="zh-CN" w:bidi="ar"/>
              </w:rPr>
              <w:t>0.124</w:t>
            </w:r>
          </w:p>
        </w:tc>
      </w:tr>
      <w:bookmarkEnd w:id="0"/>
    </w:tbl>
    <w:p w14:paraId="1C3A8764">
      <w:pPr>
        <w:keepNext w:val="0"/>
        <w:keepLines w:val="0"/>
        <w:widowControl/>
        <w:suppressLineNumbers w:val="0"/>
        <w:adjustRightInd w:val="0"/>
        <w:spacing w:before="0" w:beforeAutospacing="0" w:after="0" w:afterAutospacing="0" w:line="480" w:lineRule="auto"/>
        <w:ind w:left="0" w:right="0"/>
        <w:contextualSpacing/>
        <w:jc w:val="both"/>
        <w:rPr>
          <w:rFonts w:hint="default" w:ascii="Times New Roman" w:hAnsi="Times New Roman" w:eastAsia="等线" w:cs="Times New Roman"/>
          <w:bCs/>
          <w:color w:val="000000"/>
          <w:sz w:val="20"/>
          <w:szCs w:val="20"/>
          <w:lang w:val="en-US" w:eastAsia="zh-CN" w:bidi="en-US"/>
        </w:rPr>
      </w:pPr>
      <w:r>
        <w:rPr>
          <w:rFonts w:hint="default" w:ascii="Times New Roman" w:hAnsi="Times New Roman" w:eastAsia="Times New Roman" w:cs="Times New Roman"/>
          <w:bCs/>
          <w:color w:val="000000"/>
          <w:kern w:val="0"/>
          <w:sz w:val="20"/>
          <w:szCs w:val="20"/>
          <w:lang w:val="en-US" w:eastAsia="de" w:bidi="en-US"/>
        </w:rPr>
        <w:t>VTE-CPC: v</w:t>
      </w:r>
      <w:r>
        <w:rPr>
          <w:rFonts w:hint="default" w:ascii="Times New Roman" w:hAnsi="Times New Roman" w:eastAsia="Times New Roman" w:cs="Times New Roman"/>
          <w:color w:val="000000"/>
          <w:kern w:val="0"/>
          <w:sz w:val="20"/>
          <w:szCs w:val="20"/>
          <w:lang w:val="en-US" w:eastAsia="de" w:bidi="en-US"/>
        </w:rPr>
        <w:t>enous thromboembolism</w:t>
      </w:r>
      <w:r>
        <w:rPr>
          <w:rFonts w:hint="default" w:ascii="Times New Roman" w:hAnsi="Times New Roman" w:eastAsia="Times New Roman" w:cs="Times New Roman"/>
          <w:bCs/>
          <w:color w:val="000000"/>
          <w:kern w:val="0"/>
          <w:sz w:val="20"/>
          <w:szCs w:val="20"/>
          <w:lang w:val="en-US" w:eastAsia="de" w:bidi="en-US"/>
        </w:rPr>
        <w:t xml:space="preserve"> clinical pharmaceutical care, ALT: alanine aminotransferase; AST: aspartate aminotransferase.</w:t>
      </w:r>
    </w:p>
    <w:p w14:paraId="4A094ADC">
      <w:pPr>
        <w:keepNext w:val="0"/>
        <w:keepLines w:val="0"/>
        <w:widowControl/>
        <w:suppressLineNumbers w:val="0"/>
        <w:tabs>
          <w:tab w:val="left" w:pos="2372"/>
        </w:tabs>
        <w:spacing w:before="0" w:beforeAutospacing="0" w:after="0" w:afterAutospacing="0" w:line="480" w:lineRule="auto"/>
        <w:ind w:left="0" w:right="0"/>
        <w:contextualSpacing/>
        <w:jc w:val="both"/>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kern w:val="0"/>
          <w:sz w:val="20"/>
          <w:szCs w:val="20"/>
          <w:lang w:val="en-US" w:eastAsia="zh-CN" w:bidi="ar"/>
        </w:rPr>
        <w:tab/>
      </w:r>
    </w:p>
    <w:p w14:paraId="58F1AED1">
      <w:pPr>
        <w:spacing w:before="240" w:line="480" w:lineRule="auto"/>
        <w:rPr>
          <w:rFonts w:hint="default" w:ascii="Times New Roman" w:hAnsi="Times New Roman" w:cs="Times New Roman"/>
          <w:sz w:val="20"/>
          <w:szCs w:val="20"/>
        </w:rPr>
      </w:pPr>
    </w:p>
    <w:sectPr>
      <w:headerReference r:id="rId6" w:type="first"/>
      <w:footerReference r:id="rId7" w:type="default"/>
      <w:headerReference r:id="rId5" w:type="even"/>
      <w:footerReference r:id="rId8" w:type="even"/>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auto"/>
    <w:pitch w:val="variable"/>
    <w:sig w:usb0="E0000287" w:usb1="40000013" w:usb2="00000000" w:usb3="00000000" w:csb0="2000019F" w:csb1="00000000"/>
  </w:font>
  <w:font w:name="@宋体">
    <w:panose1 w:val="02010600030101010101"/>
    <w:charset w:val="86"/>
    <w:family w:val="auto"/>
    <w:pitch w:val="variable"/>
    <w:sig w:usb0="00000203" w:usb1="288F0000" w:usb2="00000006" w:usb3="00000000" w:csb0="00040001" w:csb1="00000000"/>
  </w:font>
  <w:font w:name="Cambria">
    <w:panose1 w:val="02040503050406030204"/>
    <w:charset w:val="86"/>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F27">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AB28">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EDBA">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1A5B">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6BB36"/>
    <w:multiLevelType w:val="singleLevel"/>
    <w:tmpl w:val="8E76BB36"/>
    <w:lvl w:ilvl="0" w:tentative="0">
      <w:start w:val="1"/>
      <w:numFmt w:val="decimal"/>
      <w:suff w:val="space"/>
      <w:lvlText w:val="%1."/>
      <w:lvlJc w:val="left"/>
    </w:lvl>
  </w:abstractNum>
  <w:abstractNum w:abstractNumId="1">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2">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evenAndOddHeaders w:val="1"/>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F2D"/>
    <w:rsid w:val="00401590"/>
    <w:rsid w:val="00425102"/>
    <w:rsid w:val="00447801"/>
    <w:rsid w:val="00452E9C"/>
    <w:rsid w:val="004735C8"/>
    <w:rsid w:val="004961FF"/>
    <w:rsid w:val="00517A89"/>
    <w:rsid w:val="005250F2"/>
    <w:rsid w:val="005721CC"/>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9D2003"/>
    <w:rsid w:val="00A174D9"/>
    <w:rsid w:val="00A569CD"/>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46900"/>
    <w:rsid w:val="00F61D89"/>
    <w:rsid w:val="068B0702"/>
    <w:rsid w:val="240F46B6"/>
    <w:rsid w:val="315D5088"/>
    <w:rsid w:val="69E51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mbria" w:hAnsi="Cambria" w:eastAsia="Cambria" w:cs="Cambria"/>
      <w:sz w:val="20"/>
      <w:szCs w:val="20"/>
    </w:rPr>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qFormat/>
    <w:uiPriority w:val="99"/>
    <w:pPr>
      <w:spacing w:after="0" w:line="240" w:lineRule="auto"/>
    </w:pPr>
    <w:rPr>
      <w:rFonts w:ascii="Times New Roman" w:hAnsi="Times New Roman" w:eastAsiaTheme="minorHAnsi" w:cstheme="minorBidi"/>
      <w:sz w:val="24"/>
      <w:szCs w:val="22"/>
      <w:lang w:val="en-US" w:eastAsia="en-US" w:bidi="ar-SA"/>
    </w:rPr>
  </w:style>
  <w:style w:type="table" w:customStyle="1" w:styleId="54">
    <w:name w:val="网格型1"/>
    <w:basedOn w:val="20"/>
    <w:uiPriority w:val="0"/>
    <w:pPr>
      <w:keepNext w:val="0"/>
      <w:keepLines w:val="0"/>
      <w:widowControl/>
      <w:suppressLineNumbers w:val="0"/>
      <w:spacing w:before="0" w:beforeAutospacing="0" w:after="0" w:afterAutospacing="0" w:line="260" w:lineRule="atLeast"/>
      <w:ind w:left="0" w:right="0"/>
      <w:jc w:val="both"/>
    </w:pPr>
    <w:rPr>
      <w:rFonts w:hint="default" w:ascii="Palatino Linotype" w:hAnsi="Palatino Linotype" w:eastAsia="宋体"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41E3-103C-4487-877D-08CD22337C19}">
  <ds:schemaRefs/>
</ds:datastoreItem>
</file>

<file path=customXml/itemProps3.xml><?xml version="1.0" encoding="utf-8"?>
<ds:datastoreItem xmlns:ds="http://schemas.openxmlformats.org/officeDocument/2006/customXml" ds:itemID="{114314AF-3C36-4C2C-B599-40A76C6FFFC1}">
  <ds:schemaRefs/>
</ds:datastoreItem>
</file>

<file path=customXml/itemProps4.xml><?xml version="1.0" encoding="utf-8"?>
<ds:datastoreItem xmlns:ds="http://schemas.openxmlformats.org/officeDocument/2006/customXml" ds:itemID="{2558679B-78FB-42CD-A1EA-A99096AF5568}">
  <ds:schemaRefs/>
</ds:datastoreItem>
</file>

<file path=customXml/itemProps5.xml><?xml version="1.0" encoding="utf-8"?>
<ds:datastoreItem xmlns:ds="http://schemas.openxmlformats.org/officeDocument/2006/customXml" ds:itemID="{4B2E0E22-D442-4EBE-AAA2-EDC8871E7B41}">
  <ds:schemaRefs/>
</ds:datastoreItem>
</file>

<file path=customXml/itemProps6.xml><?xml version="1.0" encoding="utf-8"?>
<ds:datastoreItem xmlns:ds="http://schemas.openxmlformats.org/officeDocument/2006/customXml" ds:itemID="{A3D4929F-83D0-432F-8F82-6D4423C25F5E}">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6</Pages>
  <Words>696</Words>
  <Characters>4266</Characters>
  <Lines>6</Lines>
  <Paragraphs>1</Paragraphs>
  <TotalTime>224</TotalTime>
  <ScaleCrop>false</ScaleCrop>
  <LinksUpToDate>false</LinksUpToDate>
  <CharactersWithSpaces>4912</CharactersWithSpaces>
  <Application>WPS Office_12.1.0.21541_F1E327BC-269C-435d-A152-05C5408002CA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2024-06-25T06:35:00Z</dcterms:created>
  <dc:creator>Frontiers</dc:creator>
  <cp:lastModifiedBy>LDX</cp:lastModifiedBy>
  <cp:lastPrinted>2013-10-03T12:51:00Z</cp:lastPrinted>
  <dcterms:modified xsi:type="dcterms:W3CDTF">2025-07-04T07:16:17Z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TemplateDocerSaveRecord">
    <vt:lpwstr>eyJoZGlkIjoiMDljYzUzMWQ4OWI0YzBkYjYzMDRhZTY5ZjZkYmFmYTgiLCJ1c2VySWQiOiI5OTMzMzQwOTQifQ==</vt:lpwstr>
  </property>
  <property fmtid="{D5CDD505-2E9C-101B-9397-08002B2CF9AE}" pid="11" name="KSOProductBuildVer">
    <vt:lpwstr>2052-12.1.0.21541</vt:lpwstr>
  </property>
  <property fmtid="{D5CDD505-2E9C-101B-9397-08002B2CF9AE}" pid="12" name="ICV">
    <vt:lpwstr>3D727AEDD3444A86A9D6A4BE251194A8_13</vt:lpwstr>
  </property>
</Properties>
</file>