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3D214" w14:textId="77777777" w:rsidR="008B5539" w:rsidRPr="007E363A" w:rsidRDefault="008B5539" w:rsidP="008B5539">
      <w:pPr>
        <w:pStyle w:val="Body"/>
        <w:spacing w:line="360" w:lineRule="auto"/>
        <w:rPr>
          <w:color w:val="auto"/>
        </w:rPr>
      </w:pPr>
    </w:p>
    <w:p w14:paraId="604F47D1" w14:textId="77777777" w:rsidR="008B5539" w:rsidRDefault="008B5539" w:rsidP="008B5539">
      <w:pPr>
        <w:jc w:val="center"/>
        <w:rPr>
          <w:rFonts w:ascii="Montserrat" w:hAnsi="Montserrat"/>
          <w:color w:val="333333"/>
          <w:sz w:val="21"/>
          <w:szCs w:val="21"/>
          <w:shd w:val="clear" w:color="auto" w:fill="FFFFFF"/>
        </w:rPr>
      </w:pPr>
      <w:r>
        <w:rPr>
          <w:rFonts w:ascii="Montserrat" w:hAnsi="Montserrat"/>
          <w:color w:val="333333"/>
          <w:sz w:val="21"/>
          <w:szCs w:val="21"/>
          <w:shd w:val="clear" w:color="auto" w:fill="FFFFFF"/>
        </w:rPr>
        <w:t xml:space="preserve">Supplementary Information </w:t>
      </w:r>
    </w:p>
    <w:p w14:paraId="5C83152F" w14:textId="77777777" w:rsidR="008B5539" w:rsidRDefault="008B5539" w:rsidP="008B5539">
      <w:pPr>
        <w:pStyle w:val="Body"/>
        <w:spacing w:line="360" w:lineRule="auto"/>
        <w:jc w:val="both"/>
        <w:rPr>
          <w:rStyle w:val="None"/>
          <w:b/>
          <w:bCs/>
          <w:color w:val="auto"/>
          <w:lang w:val="en-US"/>
        </w:rPr>
      </w:pPr>
    </w:p>
    <w:p w14:paraId="2BD09A5F" w14:textId="77777777" w:rsidR="008B5539" w:rsidRDefault="008B5539" w:rsidP="008B5539">
      <w:pPr>
        <w:rPr>
          <w:lang w:val="en-US"/>
        </w:rPr>
      </w:pPr>
    </w:p>
    <w:p w14:paraId="7CBEF05F" w14:textId="77777777" w:rsidR="008B5539" w:rsidRDefault="008B5539" w:rsidP="008B5539">
      <w:pPr>
        <w:rPr>
          <w:lang w:val="en-US"/>
        </w:rPr>
      </w:pPr>
    </w:p>
    <w:p w14:paraId="44185FC0" w14:textId="77777777" w:rsidR="008B5539" w:rsidRDefault="008B5539" w:rsidP="008B5539">
      <w:pPr>
        <w:rPr>
          <w:lang w:val="en-US"/>
        </w:rPr>
      </w:pPr>
    </w:p>
    <w:p w14:paraId="761E30AC" w14:textId="77777777" w:rsidR="008B5539" w:rsidRDefault="008B5539" w:rsidP="008B5539">
      <w:pPr>
        <w:rPr>
          <w:lang w:val="en-US"/>
        </w:rPr>
      </w:pPr>
    </w:p>
    <w:p w14:paraId="7F3E3436" w14:textId="77777777" w:rsidR="008B5539" w:rsidRDefault="008B5539" w:rsidP="008B5539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7FFB3BD" wp14:editId="31E31152">
            <wp:extent cx="3678919" cy="6837027"/>
            <wp:effectExtent l="0" t="0" r="0" b="0"/>
            <wp:docPr id="2" name="Picture 2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2986" cy="6844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5F408" w14:textId="77777777" w:rsidR="008B5539" w:rsidRDefault="008B5539" w:rsidP="008B5539">
      <w:pPr>
        <w:rPr>
          <w:lang w:val="en-US"/>
        </w:rPr>
      </w:pPr>
    </w:p>
    <w:p w14:paraId="324F867D" w14:textId="77777777" w:rsidR="008B5539" w:rsidRDefault="008B5539" w:rsidP="008B5539">
      <w:pPr>
        <w:rPr>
          <w:lang w:val="en-US"/>
        </w:rPr>
      </w:pPr>
    </w:p>
    <w:p w14:paraId="2FE72A00" w14:textId="77777777" w:rsidR="008B5539" w:rsidRPr="000B31A5" w:rsidRDefault="008B5539" w:rsidP="008B5539">
      <w:pPr>
        <w:rPr>
          <w:sz w:val="20"/>
          <w:szCs w:val="20"/>
          <w:lang w:val="en-US"/>
        </w:rPr>
      </w:pPr>
      <w:r w:rsidRPr="00424C89">
        <w:rPr>
          <w:b/>
          <w:bCs/>
          <w:sz w:val="20"/>
          <w:szCs w:val="20"/>
          <w:lang w:val="en-US"/>
        </w:rPr>
        <w:lastRenderedPageBreak/>
        <w:t>Sup</w:t>
      </w:r>
      <w:r>
        <w:rPr>
          <w:b/>
          <w:bCs/>
          <w:sz w:val="20"/>
          <w:szCs w:val="20"/>
          <w:lang w:val="en-US"/>
        </w:rPr>
        <w:t>plementary</w:t>
      </w:r>
      <w:r w:rsidRPr="00424C89">
        <w:rPr>
          <w:b/>
          <w:bCs/>
          <w:sz w:val="20"/>
          <w:szCs w:val="20"/>
          <w:lang w:val="en-US"/>
        </w:rPr>
        <w:t xml:space="preserve"> Figure </w:t>
      </w:r>
      <w:r>
        <w:rPr>
          <w:b/>
          <w:bCs/>
          <w:sz w:val="20"/>
          <w:szCs w:val="20"/>
          <w:lang w:val="en-US"/>
        </w:rPr>
        <w:t>1</w:t>
      </w:r>
      <w:r w:rsidRPr="00424C89">
        <w:rPr>
          <w:b/>
          <w:bCs/>
          <w:sz w:val="20"/>
          <w:szCs w:val="20"/>
          <w:lang w:val="en-US"/>
        </w:rPr>
        <w:t>. Reduced resistance to oxidants in HepG2 but not in HHL-5 cells.</w:t>
      </w:r>
      <w:r w:rsidRPr="00424C89">
        <w:rPr>
          <w:sz w:val="20"/>
          <w:szCs w:val="20"/>
          <w:lang w:val="en-US"/>
        </w:rPr>
        <w:t xml:space="preserve"> </w:t>
      </w:r>
      <w:r w:rsidRPr="00424C89">
        <w:rPr>
          <w:sz w:val="20"/>
          <w:szCs w:val="20"/>
        </w:rPr>
        <w:t>A panel of oxidative stress markers, NF-E2–related factor 2 (Nrf2) , catalase (CAT), UDP Glucuronosyltransferase Family 1 Member A1 (</w:t>
      </w:r>
      <w:r w:rsidRPr="00424C89">
        <w:rPr>
          <w:sz w:val="20"/>
          <w:szCs w:val="20"/>
          <w:lang w:val="en-GB"/>
        </w:rPr>
        <w:t xml:space="preserve">UGT1A1), </w:t>
      </w:r>
      <w:r w:rsidRPr="00424C89">
        <w:rPr>
          <w:sz w:val="20"/>
          <w:szCs w:val="20"/>
        </w:rPr>
        <w:t>quinone oxidoreductase 1 (</w:t>
      </w:r>
      <w:r w:rsidRPr="00424C89">
        <w:rPr>
          <w:sz w:val="20"/>
          <w:szCs w:val="20"/>
          <w:lang w:val="en-GB"/>
        </w:rPr>
        <w:t>NQO1</w:t>
      </w:r>
      <w:r w:rsidRPr="00424C89">
        <w:rPr>
          <w:sz w:val="20"/>
          <w:szCs w:val="20"/>
          <w:lang w:val="en-US"/>
        </w:rPr>
        <w:t xml:space="preserve">), </w:t>
      </w:r>
      <w:r w:rsidRPr="00424C89">
        <w:rPr>
          <w:sz w:val="20"/>
          <w:szCs w:val="20"/>
        </w:rPr>
        <w:t>glutamylcysteine synthetase  (GCS), Glutathione S-Transferase Alpha 1 (</w:t>
      </w:r>
      <w:r w:rsidRPr="00424C89">
        <w:rPr>
          <w:sz w:val="20"/>
          <w:szCs w:val="20"/>
          <w:lang w:val="en-GB"/>
        </w:rPr>
        <w:t>GSTA1</w:t>
      </w:r>
      <w:r w:rsidRPr="00424C89">
        <w:rPr>
          <w:sz w:val="20"/>
          <w:szCs w:val="20"/>
        </w:rPr>
        <w:t xml:space="preserve">), Heme oxygenase-1 (HO-1). </w:t>
      </w:r>
      <w:r w:rsidRPr="00424C89">
        <w:rPr>
          <w:sz w:val="20"/>
          <w:szCs w:val="20"/>
          <w:lang w:val="en-US"/>
        </w:rPr>
        <w:t xml:space="preserve">(A) Western blots and (B) bar plots illustrate significant increase in all oxidative markers in HepG2 but not in HHL-5. </w:t>
      </w:r>
    </w:p>
    <w:p w14:paraId="52430B81" w14:textId="77777777" w:rsidR="008B5539" w:rsidRDefault="008B5539" w:rsidP="008B5539">
      <w:pPr>
        <w:rPr>
          <w:lang w:val="en-US"/>
        </w:rPr>
      </w:pPr>
    </w:p>
    <w:p w14:paraId="711D34F8" w14:textId="77777777" w:rsidR="008B5539" w:rsidRDefault="008B5539" w:rsidP="008B5539">
      <w:pPr>
        <w:rPr>
          <w:lang w:val="en-US"/>
        </w:rPr>
      </w:pPr>
    </w:p>
    <w:p w14:paraId="0885F786" w14:textId="77777777" w:rsidR="008B5539" w:rsidRDefault="008B5539" w:rsidP="008B5539">
      <w:pPr>
        <w:rPr>
          <w:lang w:val="en-US"/>
        </w:rPr>
      </w:pPr>
    </w:p>
    <w:p w14:paraId="167572AD" w14:textId="77777777" w:rsidR="008B5539" w:rsidRDefault="008B5539" w:rsidP="008B5539">
      <w:pPr>
        <w:rPr>
          <w:lang w:val="en-US"/>
        </w:rPr>
      </w:pPr>
    </w:p>
    <w:p w14:paraId="32BD03A8" w14:textId="77777777" w:rsidR="008B5539" w:rsidRDefault="008B5539" w:rsidP="008B5539">
      <w:pPr>
        <w:rPr>
          <w:lang w:val="en-US"/>
        </w:rPr>
      </w:pPr>
    </w:p>
    <w:p w14:paraId="18420F56" w14:textId="77777777" w:rsidR="008B5539" w:rsidRDefault="008B5539" w:rsidP="008B5539">
      <w:pPr>
        <w:rPr>
          <w:lang w:val="en-US"/>
        </w:rPr>
      </w:pPr>
    </w:p>
    <w:tbl>
      <w:tblPr>
        <w:tblpPr w:leftFromText="180" w:rightFromText="180" w:vertAnchor="text" w:horzAnchor="page" w:tblpX="2142" w:tblpY="76"/>
        <w:tblW w:w="0" w:type="auto"/>
        <w:tblBorders>
          <w:top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4"/>
        <w:gridCol w:w="3502"/>
        <w:gridCol w:w="2740"/>
      </w:tblGrid>
      <w:tr w:rsidR="008B5539" w:rsidRPr="00424C89" w14:paraId="15D0352D" w14:textId="77777777" w:rsidTr="00D27528">
        <w:trPr>
          <w:trHeight w:val="376"/>
        </w:trPr>
        <w:tc>
          <w:tcPr>
            <w:tcW w:w="2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31EC6" w14:textId="77777777" w:rsidR="008B5539" w:rsidRPr="00424C89" w:rsidRDefault="008B5539" w:rsidP="00D27528">
            <w:pPr>
              <w:jc w:val="center"/>
              <w:rPr>
                <w:sz w:val="20"/>
                <w:szCs w:val="20"/>
              </w:rPr>
            </w:pPr>
            <w:r w:rsidRPr="00424C89">
              <w:rPr>
                <w:b/>
                <w:bCs/>
                <w:color w:val="262626"/>
                <w:sz w:val="20"/>
                <w:szCs w:val="20"/>
              </w:rPr>
              <w:t>Primary antibody target antigen</w:t>
            </w:r>
          </w:p>
        </w:tc>
        <w:tc>
          <w:tcPr>
            <w:tcW w:w="3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D0652D" w14:textId="77777777" w:rsidR="008B5539" w:rsidRPr="00424C89" w:rsidRDefault="008B5539" w:rsidP="00D27528">
            <w:pPr>
              <w:jc w:val="center"/>
              <w:rPr>
                <w:sz w:val="20"/>
                <w:szCs w:val="20"/>
              </w:rPr>
            </w:pPr>
            <w:r w:rsidRPr="00424C89">
              <w:rPr>
                <w:b/>
                <w:bCs/>
                <w:color w:val="262626"/>
                <w:sz w:val="20"/>
                <w:szCs w:val="20"/>
              </w:rPr>
              <w:t>Antibody Details</w:t>
            </w:r>
          </w:p>
        </w:tc>
        <w:tc>
          <w:tcPr>
            <w:tcW w:w="27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C6419F" w14:textId="77777777" w:rsidR="008B5539" w:rsidRPr="00424C89" w:rsidRDefault="008B5539" w:rsidP="00D27528">
            <w:pPr>
              <w:jc w:val="center"/>
              <w:rPr>
                <w:sz w:val="20"/>
                <w:szCs w:val="20"/>
              </w:rPr>
            </w:pPr>
            <w:r w:rsidRPr="00424C89">
              <w:rPr>
                <w:b/>
                <w:bCs/>
                <w:color w:val="262626"/>
                <w:sz w:val="20"/>
                <w:szCs w:val="20"/>
              </w:rPr>
              <w:t>Dilutions and applications</w:t>
            </w:r>
          </w:p>
        </w:tc>
      </w:tr>
      <w:tr w:rsidR="008B5539" w:rsidRPr="00424C89" w14:paraId="65F770C3" w14:textId="77777777" w:rsidTr="00D27528">
        <w:trPr>
          <w:trHeight w:val="294"/>
        </w:trPr>
        <w:tc>
          <w:tcPr>
            <w:tcW w:w="2554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94AC9A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Anti-phosphorylated STAT3 (Tyr705) </w:t>
            </w:r>
          </w:p>
        </w:tc>
        <w:tc>
          <w:tcPr>
            <w:tcW w:w="3502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AE850F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Rabbit MAb; Cell signalling Technology</w:t>
            </w:r>
          </w:p>
        </w:tc>
        <w:tc>
          <w:tcPr>
            <w:tcW w:w="2740" w:type="dxa"/>
            <w:tcBorders>
              <w:top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3366B2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</w:t>
            </w:r>
          </w:p>
        </w:tc>
      </w:tr>
      <w:tr w:rsidR="008B5539" w:rsidRPr="00424C89" w14:paraId="49942470" w14:textId="77777777" w:rsidTr="00D27528">
        <w:trPr>
          <w:trHeight w:val="294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ADC839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Anti-STAT3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E72C52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Rabbit MAb; Cell Signalling Technology; 79D7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9BF1B3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</w:t>
            </w:r>
          </w:p>
        </w:tc>
      </w:tr>
      <w:tr w:rsidR="008B5539" w:rsidRPr="00424C89" w14:paraId="68AF4368" w14:textId="77777777" w:rsidTr="00D27528">
        <w:trPr>
          <w:trHeight w:val="294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6B04E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Anti-cMyc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E69573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Rabbit MAb; Cell Signalling Technology; 79D7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0032F1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</w:t>
            </w:r>
          </w:p>
        </w:tc>
      </w:tr>
      <w:tr w:rsidR="008B5539" w:rsidRPr="00424C89" w14:paraId="10C80F12" w14:textId="77777777" w:rsidTr="00D27528">
        <w:trPr>
          <w:trHeight w:val="294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9D05D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Anti-GAPDH 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B429F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 xml:space="preserve">Mouse Mab ; Cell Signalling Technology ; </w:t>
            </w:r>
            <w:r w:rsidRPr="00424C89">
              <w:rPr>
                <w:color w:val="000000"/>
                <w:sz w:val="20"/>
                <w:szCs w:val="20"/>
              </w:rPr>
              <w:t>D4C6R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7A880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 20000 (WB) </w:t>
            </w:r>
          </w:p>
        </w:tc>
      </w:tr>
      <w:tr w:rsidR="008B5539" w:rsidRPr="00424C89" w14:paraId="3FEE5974" w14:textId="77777777" w:rsidTr="00D27528">
        <w:trPr>
          <w:trHeight w:val="294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6CD79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CYP1A2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5940A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Mouse mAb; Cell Signalling Technology; D2V7S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7D31DA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 </w:t>
            </w:r>
          </w:p>
        </w:tc>
      </w:tr>
      <w:tr w:rsidR="008B5539" w:rsidRPr="00424C89" w14:paraId="62BA3093" w14:textId="77777777" w:rsidTr="00D27528">
        <w:trPr>
          <w:trHeight w:val="294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EA8824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Anti-CYP2A7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758E1F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Rabbit Polyclonal Ab, Cell Signalling ; 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D9E1DA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 </w:t>
            </w:r>
          </w:p>
        </w:tc>
      </w:tr>
      <w:tr w:rsidR="008B5539" w:rsidRPr="00424C89" w14:paraId="31971E37" w14:textId="77777777" w:rsidTr="00D27528">
        <w:trPr>
          <w:trHeight w:val="142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E66E94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sz w:val="20"/>
                <w:szCs w:val="20"/>
              </w:rPr>
              <w:t xml:space="preserve">Anti-P-Nrf2 (H-300) 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2CE699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Rabbit Polyclonal; Santa Cruz: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977CAF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sz w:val="20"/>
                <w:szCs w:val="20"/>
              </w:rPr>
              <w:t xml:space="preserve">1:1000 (WB) </w:t>
            </w:r>
          </w:p>
        </w:tc>
      </w:tr>
      <w:tr w:rsidR="008B5539" w:rsidRPr="00424C89" w14:paraId="7EFDB3A2" w14:textId="77777777" w:rsidTr="00D27528">
        <w:trPr>
          <w:trHeight w:val="142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EF941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sz w:val="20"/>
                <w:szCs w:val="20"/>
              </w:rPr>
              <w:t>Anti- Nrf2 (C-20)</w:t>
            </w:r>
          </w:p>
          <w:p w14:paraId="755CDAD9" w14:textId="77777777" w:rsidR="008B5539" w:rsidRPr="00424C89" w:rsidRDefault="008B5539" w:rsidP="00D27528">
            <w:pPr>
              <w:rPr>
                <w:sz w:val="20"/>
                <w:szCs w:val="20"/>
              </w:rPr>
            </w:pP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44A56E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Rabbit Polyclonal; Santa Cruz: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B2456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</w:t>
            </w:r>
          </w:p>
        </w:tc>
      </w:tr>
      <w:tr w:rsidR="008B5539" w:rsidRPr="00424C89" w14:paraId="53273DB8" w14:textId="77777777" w:rsidTr="00D27528">
        <w:trPr>
          <w:trHeight w:val="142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E13720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CAT (H-9)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0CA869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Mouse Monoclonal; Santa Cruz: 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A57931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1:5000 (WB)</w:t>
            </w:r>
          </w:p>
        </w:tc>
      </w:tr>
      <w:tr w:rsidR="008B5539" w:rsidRPr="00424C89" w14:paraId="43D9F43D" w14:textId="77777777" w:rsidTr="00D27528">
        <w:trPr>
          <w:trHeight w:val="142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778B6B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UGT1A1 (B-4)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2C5DF7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Mouse Monoclonal; Santa Cruz:</w:t>
            </w:r>
            <w:r w:rsidRPr="00424C89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D9B42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</w:t>
            </w:r>
          </w:p>
        </w:tc>
      </w:tr>
      <w:tr w:rsidR="008B5539" w:rsidRPr="00424C89" w14:paraId="5D0CEB4B" w14:textId="77777777" w:rsidTr="00D27528">
        <w:trPr>
          <w:trHeight w:val="142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7BAA05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NQO1 (A180)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363DD5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Mouse Monoclonal; Santa Cruz: 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EF012D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1:5000 (WB)</w:t>
            </w:r>
          </w:p>
        </w:tc>
      </w:tr>
      <w:tr w:rsidR="008B5539" w:rsidRPr="00424C89" w14:paraId="219FBE2E" w14:textId="77777777" w:rsidTr="00D27528">
        <w:trPr>
          <w:trHeight w:val="142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AB952E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β-actin (C4)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6E5FE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Mouse Monoclonal; Santa Cruz: 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322AC5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1:5000 (WB)</w:t>
            </w:r>
          </w:p>
        </w:tc>
      </w:tr>
      <w:tr w:rsidR="008B5539" w:rsidRPr="00424C89" w14:paraId="6EC11E5B" w14:textId="77777777" w:rsidTr="00D27528">
        <w:trPr>
          <w:trHeight w:val="294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4FB2CC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GCS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8AE58B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Rabbit Polyclonal; Abcam:</w:t>
            </w:r>
          </w:p>
          <w:p w14:paraId="0F94F07F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Ab40929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AFA4C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1:5000 (WB)</w:t>
            </w:r>
          </w:p>
        </w:tc>
      </w:tr>
      <w:tr w:rsidR="008B5539" w:rsidRPr="00424C89" w14:paraId="3E571BE9" w14:textId="77777777" w:rsidTr="00D27528">
        <w:trPr>
          <w:trHeight w:val="142"/>
        </w:trPr>
        <w:tc>
          <w:tcPr>
            <w:tcW w:w="255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686B8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GSTA1 (R-14)</w:t>
            </w:r>
          </w:p>
        </w:tc>
        <w:tc>
          <w:tcPr>
            <w:tcW w:w="3502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5AE57C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Mouse Monoclonal; Santa Cruz: </w:t>
            </w:r>
          </w:p>
        </w:tc>
        <w:tc>
          <w:tcPr>
            <w:tcW w:w="2740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229913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1:1000 (WB)</w:t>
            </w:r>
          </w:p>
        </w:tc>
      </w:tr>
      <w:tr w:rsidR="008B5539" w:rsidRPr="00424C89" w14:paraId="3C50E382" w14:textId="77777777" w:rsidTr="00D27528">
        <w:trPr>
          <w:trHeight w:val="294"/>
        </w:trPr>
        <w:tc>
          <w:tcPr>
            <w:tcW w:w="2554" w:type="dxa"/>
            <w:tcBorders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6815A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Anti- HO-1</w:t>
            </w:r>
          </w:p>
        </w:tc>
        <w:tc>
          <w:tcPr>
            <w:tcW w:w="3502" w:type="dxa"/>
            <w:tcBorders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2D2D03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Mouse Polyclonal; Abcam:</w:t>
            </w:r>
          </w:p>
          <w:p w14:paraId="3E24CBB1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Ab13248</w:t>
            </w:r>
          </w:p>
        </w:tc>
        <w:tc>
          <w:tcPr>
            <w:tcW w:w="2740" w:type="dxa"/>
            <w:tcBorders>
              <w:bottom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72C08" w14:textId="77777777" w:rsidR="008B5539" w:rsidRPr="00424C89" w:rsidRDefault="008B5539" w:rsidP="00D27528">
            <w:pPr>
              <w:rPr>
                <w:sz w:val="20"/>
                <w:szCs w:val="20"/>
              </w:rPr>
            </w:pPr>
            <w:r w:rsidRPr="00424C89">
              <w:rPr>
                <w:color w:val="262626"/>
                <w:sz w:val="20"/>
                <w:szCs w:val="20"/>
              </w:rPr>
              <w:t>1:5000 (WB)</w:t>
            </w:r>
          </w:p>
        </w:tc>
      </w:tr>
    </w:tbl>
    <w:p w14:paraId="0634B956" w14:textId="77777777" w:rsidR="008B5539" w:rsidRDefault="008B5539" w:rsidP="008B5539">
      <w:pPr>
        <w:rPr>
          <w:lang w:val="en-US"/>
        </w:rPr>
      </w:pPr>
    </w:p>
    <w:p w14:paraId="2FB6DA2E" w14:textId="77777777" w:rsidR="008B5539" w:rsidRDefault="008B5539" w:rsidP="008B5539">
      <w:pPr>
        <w:rPr>
          <w:lang w:val="en-US"/>
        </w:rPr>
      </w:pPr>
    </w:p>
    <w:p w14:paraId="14DCEA8F" w14:textId="77777777" w:rsidR="008B5539" w:rsidRDefault="008B5539" w:rsidP="008B5539">
      <w:pPr>
        <w:rPr>
          <w:lang w:val="en-US"/>
        </w:rPr>
      </w:pPr>
    </w:p>
    <w:p w14:paraId="7A1F2D3D" w14:textId="77777777" w:rsidR="008B5539" w:rsidRDefault="008B5539" w:rsidP="008B5539">
      <w:pPr>
        <w:rPr>
          <w:lang w:val="en-US"/>
        </w:rPr>
      </w:pPr>
    </w:p>
    <w:p w14:paraId="19176D55" w14:textId="77777777" w:rsidR="008B5539" w:rsidRDefault="008B5539" w:rsidP="008B5539">
      <w:pPr>
        <w:rPr>
          <w:lang w:val="en-US"/>
        </w:rPr>
      </w:pPr>
    </w:p>
    <w:p w14:paraId="32CA0635" w14:textId="77777777" w:rsidR="008B5539" w:rsidRDefault="008B5539" w:rsidP="008B5539">
      <w:pPr>
        <w:rPr>
          <w:lang w:val="en-US"/>
        </w:rPr>
      </w:pPr>
    </w:p>
    <w:p w14:paraId="0B5CFF2A" w14:textId="77777777" w:rsidR="008B5539" w:rsidRDefault="008B5539" w:rsidP="008B5539">
      <w:pPr>
        <w:rPr>
          <w:lang w:val="en-US"/>
        </w:rPr>
      </w:pPr>
    </w:p>
    <w:p w14:paraId="09B5B4EB" w14:textId="77777777" w:rsidR="008B5539" w:rsidRDefault="008B5539" w:rsidP="008B5539">
      <w:pPr>
        <w:rPr>
          <w:lang w:val="en-US"/>
        </w:rPr>
      </w:pPr>
    </w:p>
    <w:p w14:paraId="1AEA59DD" w14:textId="77777777" w:rsidR="008B5539" w:rsidRDefault="008B5539" w:rsidP="008B5539">
      <w:pPr>
        <w:rPr>
          <w:lang w:val="en-US"/>
        </w:rPr>
      </w:pPr>
    </w:p>
    <w:p w14:paraId="2B86397F" w14:textId="77777777" w:rsidR="008B5539" w:rsidRDefault="008B5539" w:rsidP="008B5539">
      <w:pPr>
        <w:rPr>
          <w:lang w:val="en-US"/>
        </w:rPr>
      </w:pPr>
    </w:p>
    <w:p w14:paraId="5758782E" w14:textId="77777777" w:rsidR="008B5539" w:rsidRDefault="008B5539" w:rsidP="008B5539">
      <w:pPr>
        <w:rPr>
          <w:lang w:val="en-US"/>
        </w:rPr>
      </w:pPr>
    </w:p>
    <w:p w14:paraId="78075BA4" w14:textId="77777777" w:rsidR="008B5539" w:rsidRDefault="008B5539" w:rsidP="008B5539">
      <w:pPr>
        <w:rPr>
          <w:lang w:val="en-US"/>
        </w:rPr>
      </w:pPr>
    </w:p>
    <w:p w14:paraId="4D53A81A" w14:textId="77777777" w:rsidR="008B5539" w:rsidRDefault="008B5539" w:rsidP="008B5539">
      <w:pPr>
        <w:rPr>
          <w:lang w:val="en-US"/>
        </w:rPr>
      </w:pPr>
    </w:p>
    <w:p w14:paraId="1D64BB4C" w14:textId="77777777" w:rsidR="008B5539" w:rsidRDefault="008B5539" w:rsidP="008B5539">
      <w:pPr>
        <w:rPr>
          <w:lang w:val="en-US"/>
        </w:rPr>
      </w:pPr>
    </w:p>
    <w:p w14:paraId="3C7221E2" w14:textId="77777777" w:rsidR="008B5539" w:rsidRDefault="008B5539" w:rsidP="008B5539">
      <w:pPr>
        <w:rPr>
          <w:lang w:val="en-US"/>
        </w:rPr>
      </w:pPr>
    </w:p>
    <w:p w14:paraId="018ABBB0" w14:textId="77777777" w:rsidR="008B5539" w:rsidRDefault="008B5539" w:rsidP="008B5539">
      <w:pPr>
        <w:rPr>
          <w:lang w:val="en-US"/>
        </w:rPr>
      </w:pPr>
    </w:p>
    <w:p w14:paraId="424F0795" w14:textId="77777777" w:rsidR="008B5539" w:rsidRDefault="008B5539" w:rsidP="008B5539">
      <w:pPr>
        <w:rPr>
          <w:lang w:val="en-US"/>
        </w:rPr>
      </w:pPr>
    </w:p>
    <w:p w14:paraId="6CE2C541" w14:textId="77777777" w:rsidR="008B5539" w:rsidRDefault="008B5539" w:rsidP="008B5539">
      <w:pPr>
        <w:rPr>
          <w:lang w:val="en-US"/>
        </w:rPr>
      </w:pPr>
    </w:p>
    <w:p w14:paraId="52B64A05" w14:textId="77777777" w:rsidR="008B5539" w:rsidRDefault="008B5539" w:rsidP="008B5539">
      <w:pPr>
        <w:rPr>
          <w:lang w:val="en-US"/>
        </w:rPr>
      </w:pPr>
    </w:p>
    <w:p w14:paraId="364281F3" w14:textId="77777777" w:rsidR="008B5539" w:rsidRDefault="008B5539" w:rsidP="008B5539">
      <w:pPr>
        <w:rPr>
          <w:lang w:val="en-US"/>
        </w:rPr>
      </w:pPr>
    </w:p>
    <w:p w14:paraId="308022D7" w14:textId="77777777" w:rsidR="008B5539" w:rsidRDefault="008B5539" w:rsidP="008B5539">
      <w:pPr>
        <w:rPr>
          <w:lang w:val="en-US"/>
        </w:rPr>
      </w:pPr>
    </w:p>
    <w:p w14:paraId="3EC56A99" w14:textId="77777777" w:rsidR="008B5539" w:rsidRDefault="008B5539" w:rsidP="008B5539">
      <w:pPr>
        <w:rPr>
          <w:lang w:val="en-US"/>
        </w:rPr>
      </w:pPr>
    </w:p>
    <w:p w14:paraId="369736EA" w14:textId="77777777" w:rsidR="008B5539" w:rsidRDefault="008B5539" w:rsidP="008B5539">
      <w:pPr>
        <w:rPr>
          <w:lang w:val="en-US"/>
        </w:rPr>
      </w:pPr>
    </w:p>
    <w:p w14:paraId="622285D9" w14:textId="77777777" w:rsidR="008B5539" w:rsidRDefault="008B5539" w:rsidP="008B5539">
      <w:pPr>
        <w:rPr>
          <w:lang w:val="en-US"/>
        </w:rPr>
      </w:pPr>
    </w:p>
    <w:p w14:paraId="6175C3AD" w14:textId="77777777" w:rsidR="008B5539" w:rsidRDefault="008B5539" w:rsidP="008B5539">
      <w:pPr>
        <w:rPr>
          <w:lang w:val="en-US"/>
        </w:rPr>
      </w:pPr>
    </w:p>
    <w:p w14:paraId="7DE0A89F" w14:textId="77777777" w:rsidR="008B5539" w:rsidRDefault="008B5539" w:rsidP="008B5539">
      <w:pPr>
        <w:rPr>
          <w:lang w:val="en-US"/>
        </w:rPr>
      </w:pPr>
    </w:p>
    <w:p w14:paraId="2EB1E7BB" w14:textId="77777777" w:rsidR="008B5539" w:rsidRDefault="008B5539" w:rsidP="008B5539">
      <w:pPr>
        <w:rPr>
          <w:lang w:val="en-US"/>
        </w:rPr>
      </w:pPr>
    </w:p>
    <w:p w14:paraId="7A13B018" w14:textId="77777777" w:rsidR="008B5539" w:rsidRDefault="008B5539" w:rsidP="008B5539">
      <w:pPr>
        <w:rPr>
          <w:lang w:val="en-US"/>
        </w:rPr>
      </w:pPr>
    </w:p>
    <w:p w14:paraId="60578DA4" w14:textId="77777777" w:rsidR="008B5539" w:rsidRDefault="008B5539" w:rsidP="008B5539">
      <w:pPr>
        <w:rPr>
          <w:lang w:val="en-US"/>
        </w:rPr>
      </w:pPr>
    </w:p>
    <w:p w14:paraId="19E1AF69" w14:textId="77777777" w:rsidR="008B5539" w:rsidRDefault="008B5539" w:rsidP="008B5539">
      <w:pPr>
        <w:rPr>
          <w:lang w:val="en-US"/>
        </w:rPr>
      </w:pPr>
    </w:p>
    <w:p w14:paraId="02131907" w14:textId="77777777" w:rsidR="008B5539" w:rsidRPr="00424C89" w:rsidRDefault="008B5539" w:rsidP="008B5539">
      <w:pPr>
        <w:rPr>
          <w:b/>
          <w:bCs/>
          <w:sz w:val="20"/>
          <w:szCs w:val="20"/>
          <w:lang w:val="en-US"/>
        </w:rPr>
      </w:pPr>
      <w:bookmarkStart w:id="0" w:name="_Hlk119338181"/>
      <w:r w:rsidRPr="00424C89">
        <w:rPr>
          <w:b/>
          <w:bCs/>
          <w:sz w:val="20"/>
          <w:szCs w:val="20"/>
          <w:lang w:val="en-US"/>
        </w:rPr>
        <w:t>Sup</w:t>
      </w:r>
      <w:r>
        <w:rPr>
          <w:b/>
          <w:bCs/>
          <w:sz w:val="20"/>
          <w:szCs w:val="20"/>
          <w:lang w:val="en-US"/>
        </w:rPr>
        <w:t>plementary</w:t>
      </w:r>
      <w:r w:rsidRPr="00424C89">
        <w:rPr>
          <w:b/>
          <w:bCs/>
          <w:sz w:val="20"/>
          <w:szCs w:val="20"/>
          <w:lang w:val="en-US"/>
        </w:rPr>
        <w:t xml:space="preserve"> Table </w:t>
      </w:r>
      <w:r>
        <w:rPr>
          <w:b/>
          <w:bCs/>
          <w:sz w:val="20"/>
          <w:szCs w:val="20"/>
          <w:lang w:val="en-US"/>
        </w:rPr>
        <w:t>1</w:t>
      </w:r>
      <w:r w:rsidRPr="00424C89">
        <w:rPr>
          <w:b/>
          <w:bCs/>
          <w:sz w:val="20"/>
          <w:szCs w:val="20"/>
          <w:lang w:val="en-US"/>
        </w:rPr>
        <w:t>. List of antibodies, source and dilutions used in western blot.</w:t>
      </w:r>
    </w:p>
    <w:bookmarkEnd w:id="0"/>
    <w:p w14:paraId="31B3D8C4" w14:textId="77777777" w:rsidR="008B5539" w:rsidRDefault="008B5539" w:rsidP="008B5539">
      <w:pPr>
        <w:rPr>
          <w:lang w:val="en-US"/>
        </w:rPr>
      </w:pPr>
    </w:p>
    <w:p w14:paraId="5B8FAC06" w14:textId="77777777" w:rsidR="008B5539" w:rsidRDefault="008B5539" w:rsidP="008B5539">
      <w:pPr>
        <w:rPr>
          <w:lang w:val="en-US"/>
        </w:rPr>
      </w:pPr>
    </w:p>
    <w:p w14:paraId="31C74456" w14:textId="77777777" w:rsidR="008B5539" w:rsidRDefault="008B5539" w:rsidP="008B5539">
      <w:pPr>
        <w:rPr>
          <w:lang w:val="en-US"/>
        </w:rPr>
      </w:pPr>
    </w:p>
    <w:p w14:paraId="44956F22" w14:textId="77777777" w:rsidR="008B5539" w:rsidRDefault="008B5539" w:rsidP="008B5539">
      <w:pPr>
        <w:rPr>
          <w:lang w:val="en-US"/>
        </w:rPr>
      </w:pPr>
    </w:p>
    <w:p w14:paraId="33D547AA" w14:textId="77777777" w:rsidR="008B5539" w:rsidRDefault="008B5539" w:rsidP="008B5539">
      <w:pPr>
        <w:rPr>
          <w:lang w:val="en-US"/>
        </w:rPr>
      </w:pPr>
    </w:p>
    <w:p w14:paraId="182B1635" w14:textId="77777777" w:rsidR="008B5539" w:rsidRPr="007E363A" w:rsidRDefault="008B5539" w:rsidP="008B5539">
      <w:pPr>
        <w:rPr>
          <w:lang w:val="en-US"/>
        </w:rPr>
      </w:pPr>
    </w:p>
    <w:p w14:paraId="211E22F6" w14:textId="77777777" w:rsidR="00755780" w:rsidRDefault="00755780"/>
    <w:sectPr w:rsidR="00755780" w:rsidSect="008B5539">
      <w:footerReference w:type="even" r:id="rId5"/>
      <w:footerReference w:type="default" r:id="rId6"/>
      <w:pgSz w:w="11900" w:h="16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93782993"/>
      <w:docPartObj>
        <w:docPartGallery w:val="Page Numbers (Bottom of Page)"/>
        <w:docPartUnique/>
      </w:docPartObj>
    </w:sdtPr>
    <w:sdtContent>
      <w:p w14:paraId="71A445E0" w14:textId="77777777" w:rsidR="00000000" w:rsidRDefault="00000000" w:rsidP="001464C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199F48" w14:textId="77777777" w:rsidR="00000000" w:rsidRDefault="00000000" w:rsidP="0011734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77772704"/>
      <w:docPartObj>
        <w:docPartGallery w:val="Page Numbers (Bottom of Page)"/>
        <w:docPartUnique/>
      </w:docPartObj>
    </w:sdtPr>
    <w:sdtContent>
      <w:p w14:paraId="095123C3" w14:textId="77777777" w:rsidR="00000000" w:rsidRDefault="00000000" w:rsidP="001464C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22</w:t>
        </w:r>
        <w:r>
          <w:rPr>
            <w:rStyle w:val="PageNumber"/>
          </w:rPr>
          <w:fldChar w:fldCharType="end"/>
        </w:r>
      </w:p>
    </w:sdtContent>
  </w:sdt>
  <w:p w14:paraId="08D5A977" w14:textId="77777777" w:rsidR="00000000" w:rsidRDefault="00000000" w:rsidP="00117347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39"/>
    <w:rsid w:val="00011C58"/>
    <w:rsid w:val="0006021D"/>
    <w:rsid w:val="00247A8F"/>
    <w:rsid w:val="00331A6B"/>
    <w:rsid w:val="00755780"/>
    <w:rsid w:val="00857596"/>
    <w:rsid w:val="008B553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EE158"/>
  <w15:chartTrackingRefBased/>
  <w15:docId w15:val="{30BA6C14-EE8B-4618-8CE2-2E679D88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539"/>
    <w:pPr>
      <w:spacing w:after="0" w:line="240" w:lineRule="auto"/>
    </w:pPr>
    <w:rPr>
      <w:rFonts w:ascii="Times New Roman" w:eastAsia="Times New Roman" w:hAnsi="Times New Roman" w:cs="Times New Roman"/>
      <w:kern w:val="0"/>
      <w:lang w:val="en-SG" w:eastAsia="en-GB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5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5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53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53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53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53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5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5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5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5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5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5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5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5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5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5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5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5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5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5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53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5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5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5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53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5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5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5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53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link w:val="FooterChar"/>
    <w:rsid w:val="008B5539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320"/>
        <w:tab w:val="right" w:pos="8640"/>
      </w:tabs>
      <w:spacing w:before="60" w:after="60" w:line="220" w:lineRule="exact"/>
      <w:ind w:firstLine="289"/>
      <w:jc w:val="both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eastAsia="en-GB"/>
      <w14:ligatures w14:val="none"/>
    </w:rPr>
  </w:style>
  <w:style w:type="character" w:customStyle="1" w:styleId="FooterChar">
    <w:name w:val="Footer Char"/>
    <w:basedOn w:val="DefaultParagraphFont"/>
    <w:link w:val="Footer"/>
    <w:rsid w:val="008B5539"/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eastAsia="en-GB"/>
      <w14:ligatures w14:val="none"/>
    </w:rPr>
  </w:style>
  <w:style w:type="paragraph" w:customStyle="1" w:styleId="Body">
    <w:name w:val="Body"/>
    <w:rsid w:val="008B553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kern w:val="0"/>
      <w:u w:color="000000"/>
      <w:bdr w:val="nil"/>
      <w:lang w:val="en-SG" w:eastAsia="en-GB"/>
      <w14:ligatures w14:val="none"/>
    </w:rPr>
  </w:style>
  <w:style w:type="character" w:customStyle="1" w:styleId="None">
    <w:name w:val="None"/>
    <w:rsid w:val="008B5539"/>
  </w:style>
  <w:style w:type="character" w:styleId="PageNumber">
    <w:name w:val="page number"/>
    <w:basedOn w:val="DefaultParagraphFont"/>
    <w:uiPriority w:val="99"/>
    <w:semiHidden/>
    <w:unhideWhenUsed/>
    <w:rsid w:val="008B55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1467</Characters>
  <Application>Microsoft Office Word</Application>
  <DocSecurity>0</DocSecurity>
  <Lines>12</Lines>
  <Paragraphs>3</Paragraphs>
  <ScaleCrop>false</ScaleCrop>
  <Company>Springer Nature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2025-07-11T16:57:00Z</dcterms:created>
  <dcterms:modified xsi:type="dcterms:W3CDTF">2025-07-11T16:58:00Z</dcterms:modified>
</cp:coreProperties>
</file>