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F922" w14:textId="3D599F4C" w:rsidR="002F3CA2" w:rsidRDefault="002F3CA2" w:rsidP="002F3CA2">
      <w:pPr>
        <w:widowControl/>
        <w:autoSpaceDE w:val="0"/>
        <w:autoSpaceDN w:val="0"/>
        <w:adjustRightInd w:val="0"/>
        <w:jc w:val="center"/>
        <w:rPr>
          <w:rFonts w:eastAsiaTheme="minorEastAsia"/>
          <w:b/>
          <w:bCs/>
          <w:kern w:val="0"/>
          <w:sz w:val="24"/>
        </w:rPr>
      </w:pPr>
      <w:bookmarkStart w:id="0" w:name="OLE_LINK4"/>
      <w:r w:rsidRPr="002F3CA2">
        <w:rPr>
          <w:rFonts w:eastAsiaTheme="minorEastAsia"/>
          <w:b/>
          <w:bCs/>
          <w:kern w:val="0"/>
          <w:sz w:val="24"/>
        </w:rPr>
        <w:t>Study Protocol</w:t>
      </w:r>
    </w:p>
    <w:p w14:paraId="63348370" w14:textId="77777777" w:rsidR="002F3CA2" w:rsidRPr="002F3CA2" w:rsidRDefault="002F3CA2" w:rsidP="002F3CA2">
      <w:pPr>
        <w:widowControl/>
        <w:autoSpaceDE w:val="0"/>
        <w:autoSpaceDN w:val="0"/>
        <w:adjustRightInd w:val="0"/>
        <w:jc w:val="center"/>
        <w:rPr>
          <w:rFonts w:eastAsiaTheme="minorEastAsia"/>
          <w:b/>
          <w:bCs/>
          <w:kern w:val="0"/>
          <w:sz w:val="24"/>
        </w:rPr>
      </w:pPr>
    </w:p>
    <w:p w14:paraId="637A32C2" w14:textId="5F5FC1F3" w:rsidR="002F3CA2" w:rsidRDefault="002F3CA2" w:rsidP="002F3CA2">
      <w:pPr>
        <w:widowControl/>
        <w:autoSpaceDE w:val="0"/>
        <w:autoSpaceDN w:val="0"/>
        <w:adjustRightInd w:val="0"/>
        <w:jc w:val="center"/>
        <w:rPr>
          <w:rFonts w:eastAsiaTheme="minorEastAsia"/>
          <w:kern w:val="0"/>
          <w:sz w:val="24"/>
        </w:rPr>
      </w:pPr>
      <w:r w:rsidRPr="002F3CA2">
        <w:rPr>
          <w:rFonts w:eastAsiaTheme="minorEastAsia"/>
          <w:kern w:val="0"/>
          <w:sz w:val="24"/>
        </w:rPr>
        <w:t xml:space="preserve">Li R, Li X, Zhu X, et al. </w:t>
      </w:r>
      <w:proofErr w:type="spellStart"/>
      <w:r w:rsidR="007F3F6C" w:rsidRPr="007F3F6C">
        <w:rPr>
          <w:rFonts w:eastAsiaTheme="minorEastAsia"/>
          <w:kern w:val="0"/>
          <w:sz w:val="24"/>
        </w:rPr>
        <w:t>Orelabrutinib</w:t>
      </w:r>
      <w:proofErr w:type="spellEnd"/>
      <w:r w:rsidR="007F3F6C" w:rsidRPr="007F3F6C">
        <w:rPr>
          <w:rFonts w:eastAsiaTheme="minorEastAsia"/>
          <w:kern w:val="0"/>
          <w:sz w:val="24"/>
        </w:rPr>
        <w:t xml:space="preserve"> for Systemic Lupus Erythematosus: A Randomized, Double-Blind, Placebo-Controlled Study</w:t>
      </w:r>
    </w:p>
    <w:p w14:paraId="0C12E22C" w14:textId="77777777" w:rsidR="002F3CA2" w:rsidRPr="002F3CA2" w:rsidRDefault="002F3CA2" w:rsidP="002F3CA2">
      <w:pPr>
        <w:widowControl/>
        <w:autoSpaceDE w:val="0"/>
        <w:autoSpaceDN w:val="0"/>
        <w:adjustRightInd w:val="0"/>
        <w:jc w:val="center"/>
        <w:rPr>
          <w:rFonts w:eastAsiaTheme="minorEastAsia"/>
          <w:kern w:val="0"/>
          <w:sz w:val="24"/>
        </w:rPr>
      </w:pPr>
    </w:p>
    <w:p w14:paraId="55ECB8B8" w14:textId="54E31451" w:rsidR="002F3CA2" w:rsidRPr="002F3CA2" w:rsidRDefault="002F3CA2" w:rsidP="002F3CA2">
      <w:pPr>
        <w:widowControl/>
        <w:autoSpaceDE w:val="0"/>
        <w:autoSpaceDN w:val="0"/>
        <w:adjustRightInd w:val="0"/>
        <w:jc w:val="center"/>
        <w:rPr>
          <w:rFonts w:eastAsiaTheme="minorEastAsia"/>
          <w:kern w:val="0"/>
          <w:sz w:val="24"/>
        </w:rPr>
      </w:pPr>
      <w:r w:rsidRPr="002F3CA2">
        <w:rPr>
          <w:rFonts w:eastAsiaTheme="minorEastAsia"/>
          <w:kern w:val="0"/>
          <w:sz w:val="24"/>
        </w:rPr>
        <w:t>This supplementary material was provided by the authors to give readers further details on their article. The material was reviewed but not copyedited.</w:t>
      </w:r>
    </w:p>
    <w:p w14:paraId="7ED459BD" w14:textId="77777777" w:rsidR="002F3CA2" w:rsidRPr="002F3CA2" w:rsidRDefault="002F3CA2">
      <w:pPr>
        <w:widowControl/>
        <w:jc w:val="left"/>
        <w:rPr>
          <w:rFonts w:eastAsiaTheme="minorEastAsia"/>
          <w:kern w:val="0"/>
          <w:sz w:val="24"/>
        </w:rPr>
      </w:pPr>
      <w:r w:rsidRPr="002F3CA2">
        <w:rPr>
          <w:rFonts w:eastAsiaTheme="minorEastAsia"/>
          <w:kern w:val="0"/>
          <w:sz w:val="24"/>
        </w:rPr>
        <w:br w:type="page"/>
      </w:r>
    </w:p>
    <w:p w14:paraId="0EFDAE1C" w14:textId="75775A69" w:rsidR="0001176C" w:rsidRPr="00F16A5E" w:rsidRDefault="00DF386E" w:rsidP="002F3CA2">
      <w:pPr>
        <w:spacing w:line="360" w:lineRule="auto"/>
        <w:jc w:val="center"/>
        <w:rPr>
          <w:b/>
          <w:sz w:val="30"/>
          <w:szCs w:val="30"/>
        </w:rPr>
      </w:pPr>
      <w:r w:rsidRPr="00F16A5E">
        <w:rPr>
          <w:b/>
          <w:sz w:val="30"/>
          <w:szCs w:val="30"/>
        </w:rPr>
        <w:lastRenderedPageBreak/>
        <w:t xml:space="preserve">A Phase </w:t>
      </w:r>
      <w:proofErr w:type="spellStart"/>
      <w:r w:rsidRPr="00F16A5E">
        <w:rPr>
          <w:b/>
          <w:sz w:val="30"/>
          <w:szCs w:val="30"/>
        </w:rPr>
        <w:t>Ib</w:t>
      </w:r>
      <w:proofErr w:type="spellEnd"/>
      <w:r w:rsidRPr="00F16A5E">
        <w:rPr>
          <w:b/>
          <w:sz w:val="30"/>
          <w:szCs w:val="30"/>
        </w:rPr>
        <w:t>/</w:t>
      </w:r>
      <w:proofErr w:type="spellStart"/>
      <w:r w:rsidRPr="00F16A5E">
        <w:rPr>
          <w:b/>
          <w:sz w:val="30"/>
          <w:szCs w:val="30"/>
        </w:rPr>
        <w:t>IIa</w:t>
      </w:r>
      <w:proofErr w:type="spellEnd"/>
      <w:r w:rsidRPr="00F16A5E">
        <w:rPr>
          <w:b/>
          <w:sz w:val="30"/>
          <w:szCs w:val="30"/>
        </w:rPr>
        <w:t>, Randomized, Double-Blind, Placebo-Controlled, Dose-finding Study to Evaluate the Safety, Tolerability, Pharmacokinetics (PK), Pharmacodynamics (PD) and PK/PD Relationship of ICP-022 in Patients with Mild-Moderate Systemic Lupus Erythematosus</w:t>
      </w:r>
    </w:p>
    <w:bookmarkEnd w:id="0"/>
    <w:p w14:paraId="350D2CBB" w14:textId="77777777" w:rsidR="0001176C" w:rsidRPr="00F16A5E" w:rsidRDefault="0001176C" w:rsidP="004F7984">
      <w:pPr>
        <w:spacing w:line="560" w:lineRule="exact"/>
        <w:jc w:val="center"/>
        <w:rPr>
          <w:b/>
          <w:sz w:val="48"/>
          <w:szCs w:val="48"/>
        </w:rPr>
      </w:pPr>
    </w:p>
    <w:p w14:paraId="5579E37D" w14:textId="77777777" w:rsidR="0001176C" w:rsidRPr="00F16A5E" w:rsidRDefault="0001176C" w:rsidP="004F7984">
      <w:pPr>
        <w:spacing w:line="560" w:lineRule="exact"/>
        <w:jc w:val="center"/>
        <w:rPr>
          <w:b/>
          <w:sz w:val="48"/>
          <w:szCs w:val="48"/>
        </w:rPr>
      </w:pPr>
    </w:p>
    <w:p w14:paraId="40191F48" w14:textId="7C9128EF" w:rsidR="0001176C" w:rsidRPr="00F16A5E" w:rsidRDefault="00DF386E" w:rsidP="004F7984">
      <w:pPr>
        <w:spacing w:line="560" w:lineRule="exact"/>
        <w:jc w:val="center"/>
        <w:rPr>
          <w:b/>
          <w:sz w:val="48"/>
          <w:szCs w:val="48"/>
        </w:rPr>
      </w:pPr>
      <w:r w:rsidRPr="00F16A5E">
        <w:rPr>
          <w:b/>
          <w:sz w:val="48"/>
        </w:rPr>
        <w:t>Clinical Study Protocol</w:t>
      </w:r>
    </w:p>
    <w:p w14:paraId="1ED1E413" w14:textId="77777777" w:rsidR="0001176C" w:rsidRPr="00F16A5E" w:rsidRDefault="0001176C" w:rsidP="004F7984">
      <w:pPr>
        <w:spacing w:line="360" w:lineRule="auto"/>
        <w:jc w:val="center"/>
        <w:rPr>
          <w:b/>
          <w:sz w:val="36"/>
          <w:szCs w:val="36"/>
        </w:rPr>
      </w:pPr>
    </w:p>
    <w:p w14:paraId="75277B59" w14:textId="77777777" w:rsidR="0001176C" w:rsidRPr="00F16A5E" w:rsidRDefault="0001176C" w:rsidP="004F7984">
      <w:pPr>
        <w:adjustRightInd w:val="0"/>
        <w:snapToGrid w:val="0"/>
        <w:spacing w:line="360" w:lineRule="auto"/>
        <w:jc w:val="center"/>
        <w:rPr>
          <w:sz w:val="24"/>
        </w:rPr>
      </w:pPr>
    </w:p>
    <w:p w14:paraId="444ABED3" w14:textId="77777777" w:rsidR="0001176C" w:rsidRPr="00F16A5E" w:rsidRDefault="0001176C" w:rsidP="004F7984">
      <w:pPr>
        <w:adjustRightInd w:val="0"/>
        <w:snapToGrid w:val="0"/>
        <w:spacing w:line="360" w:lineRule="auto"/>
        <w:jc w:val="center"/>
        <w:rPr>
          <w:sz w:val="24"/>
        </w:rPr>
      </w:pPr>
    </w:p>
    <w:p w14:paraId="02876E3C" w14:textId="77777777" w:rsidR="0001176C" w:rsidRPr="00F16A5E" w:rsidRDefault="0001176C" w:rsidP="004F7984">
      <w:pPr>
        <w:adjustRightInd w:val="0"/>
        <w:snapToGrid w:val="0"/>
        <w:spacing w:line="360" w:lineRule="auto"/>
        <w:jc w:val="center"/>
        <w:rPr>
          <w:sz w:val="24"/>
        </w:rPr>
      </w:pPr>
    </w:p>
    <w:tbl>
      <w:tblPr>
        <w:tblpPr w:leftFromText="180" w:rightFromText="180" w:vertAnchor="text" w:horzAnchor="margin" w:tblpXSpec="center" w:tblpY="17"/>
        <w:tblOverlap w:val="never"/>
        <w:tblW w:w="5000" w:type="pct"/>
        <w:tblLook w:val="04A0" w:firstRow="1" w:lastRow="0" w:firstColumn="1" w:lastColumn="0" w:noHBand="0" w:noVBand="1"/>
      </w:tblPr>
      <w:tblGrid>
        <w:gridCol w:w="2565"/>
        <w:gridCol w:w="5741"/>
      </w:tblGrid>
      <w:tr w:rsidR="00DF386E" w:rsidRPr="00F16A5E" w14:paraId="78B32EC9" w14:textId="77777777" w:rsidTr="00DF386E">
        <w:trPr>
          <w:trHeight w:val="539"/>
        </w:trPr>
        <w:tc>
          <w:tcPr>
            <w:tcW w:w="1544" w:type="pct"/>
            <w:shd w:val="clear" w:color="auto" w:fill="auto"/>
          </w:tcPr>
          <w:p w14:paraId="209CB583" w14:textId="6C6446C0" w:rsidR="00DF386E" w:rsidRPr="00F16A5E" w:rsidRDefault="00DF386E" w:rsidP="00062120">
            <w:pPr>
              <w:pStyle w:val="A8"/>
              <w:spacing w:beforeLines="50" w:before="156"/>
              <w:jc w:val="left"/>
              <w:rPr>
                <w:rFonts w:ascii="Times New Roman" w:hAnsi="Times New Roman" w:cs="Times New Roman"/>
                <w:b/>
                <w:bCs/>
                <w:color w:val="auto"/>
                <w:sz w:val="24"/>
                <w:szCs w:val="24"/>
                <w:lang w:val="zh-TW" w:eastAsia="zh-TW"/>
              </w:rPr>
            </w:pPr>
            <w:r w:rsidRPr="00F16A5E">
              <w:rPr>
                <w:rFonts w:ascii="Times New Roman" w:hAnsi="Times New Roman" w:cs="Times New Roman"/>
                <w:b/>
                <w:bCs/>
                <w:color w:val="auto"/>
                <w:kern w:val="0"/>
                <w:sz w:val="24"/>
                <w:szCs w:val="24"/>
                <w:lang w:val="zh-TW"/>
              </w:rPr>
              <w:t>Protocol No.</w:t>
            </w:r>
            <w:r w:rsidRPr="00F16A5E">
              <w:rPr>
                <w:rFonts w:ascii="Times New Roman" w:hAnsi="Times New Roman" w:cs="Times New Roman"/>
                <w:b/>
                <w:bCs/>
                <w:color w:val="auto"/>
                <w:kern w:val="0"/>
                <w:sz w:val="24"/>
                <w:szCs w:val="24"/>
                <w:lang w:val="zh-TW"/>
              </w:rPr>
              <w:t>：</w:t>
            </w:r>
          </w:p>
        </w:tc>
        <w:tc>
          <w:tcPr>
            <w:tcW w:w="3456" w:type="pct"/>
            <w:shd w:val="clear" w:color="auto" w:fill="auto"/>
          </w:tcPr>
          <w:p w14:paraId="1BCF3F11" w14:textId="624AD784" w:rsidR="00DF386E" w:rsidRPr="00F16A5E" w:rsidRDefault="00DF386E" w:rsidP="00062120">
            <w:pPr>
              <w:pStyle w:val="A8"/>
              <w:spacing w:beforeLines="50" w:before="156"/>
              <w:rPr>
                <w:rFonts w:ascii="Times New Roman" w:hAnsi="Times New Roman" w:cs="Times New Roman"/>
                <w:color w:val="auto"/>
                <w:sz w:val="24"/>
                <w:szCs w:val="24"/>
                <w:lang w:val="zh-TW" w:eastAsia="zh-TW"/>
              </w:rPr>
            </w:pPr>
            <w:r w:rsidRPr="00F16A5E">
              <w:rPr>
                <w:rFonts w:ascii="Times New Roman" w:hAnsi="Times New Roman" w:cs="Times New Roman"/>
                <w:color w:val="auto"/>
                <w:kern w:val="0"/>
                <w:sz w:val="24"/>
                <w:szCs w:val="24"/>
                <w:lang w:val="zh-TW"/>
              </w:rPr>
              <w:t>ICP-CL-00109</w:t>
            </w:r>
          </w:p>
        </w:tc>
      </w:tr>
      <w:tr w:rsidR="00DF386E" w:rsidRPr="00F16A5E" w14:paraId="3FAD13D1" w14:textId="77777777" w:rsidTr="00DF386E">
        <w:tc>
          <w:tcPr>
            <w:tcW w:w="1544" w:type="pct"/>
            <w:shd w:val="clear" w:color="auto" w:fill="auto"/>
          </w:tcPr>
          <w:p w14:paraId="0D16DD64" w14:textId="5DFB2EC8" w:rsidR="00DF386E" w:rsidRPr="00F16A5E" w:rsidRDefault="00DF386E" w:rsidP="00062120">
            <w:pPr>
              <w:pStyle w:val="A8"/>
              <w:spacing w:beforeLines="50" w:before="156"/>
              <w:jc w:val="left"/>
              <w:rPr>
                <w:rFonts w:ascii="Times New Roman" w:hAnsi="Times New Roman" w:cs="Times New Roman"/>
                <w:b/>
                <w:bCs/>
                <w:color w:val="auto"/>
                <w:sz w:val="24"/>
                <w:szCs w:val="24"/>
                <w:lang w:val="zh-TW" w:eastAsia="zh-TW"/>
              </w:rPr>
            </w:pPr>
            <w:r w:rsidRPr="00F16A5E">
              <w:rPr>
                <w:rFonts w:ascii="Times New Roman" w:hAnsi="Times New Roman" w:cs="Times New Roman"/>
                <w:b/>
                <w:bCs/>
                <w:color w:val="auto"/>
                <w:kern w:val="0"/>
                <w:sz w:val="24"/>
                <w:szCs w:val="24"/>
                <w:lang w:val="zh-TW"/>
              </w:rPr>
              <w:t>Version No.</w:t>
            </w:r>
            <w:r w:rsidRPr="00F16A5E">
              <w:rPr>
                <w:rFonts w:ascii="Times New Roman" w:hAnsi="Times New Roman" w:cs="Times New Roman"/>
                <w:b/>
                <w:bCs/>
                <w:color w:val="auto"/>
                <w:kern w:val="0"/>
                <w:sz w:val="24"/>
                <w:szCs w:val="24"/>
                <w:lang w:val="zh-TW"/>
              </w:rPr>
              <w:t>：</w:t>
            </w:r>
          </w:p>
        </w:tc>
        <w:tc>
          <w:tcPr>
            <w:tcW w:w="3456" w:type="pct"/>
            <w:shd w:val="clear" w:color="auto" w:fill="auto"/>
          </w:tcPr>
          <w:p w14:paraId="1EAF21B6" w14:textId="6AA96C08" w:rsidR="00DF386E" w:rsidRPr="00F16A5E" w:rsidRDefault="00DF386E" w:rsidP="00062120">
            <w:pPr>
              <w:pStyle w:val="A8"/>
              <w:spacing w:beforeLines="50" w:before="156"/>
              <w:rPr>
                <w:rFonts w:ascii="Times New Roman" w:hAnsi="Times New Roman" w:cs="Times New Roman"/>
                <w:color w:val="auto"/>
                <w:sz w:val="24"/>
                <w:szCs w:val="24"/>
                <w:lang w:val="zh-TW" w:eastAsia="zh-TW"/>
              </w:rPr>
            </w:pPr>
            <w:r w:rsidRPr="00F16A5E">
              <w:rPr>
                <w:rFonts w:ascii="Times New Roman" w:hAnsi="Times New Roman" w:cs="Times New Roman"/>
                <w:color w:val="auto"/>
                <w:kern w:val="0"/>
                <w:sz w:val="24"/>
                <w:szCs w:val="24"/>
                <w:lang w:val="zh-TW" w:eastAsia="zh-TW"/>
              </w:rPr>
              <w:t>V5.0</w:t>
            </w:r>
          </w:p>
        </w:tc>
      </w:tr>
      <w:tr w:rsidR="00DF386E" w:rsidRPr="00F16A5E" w14:paraId="2BCBC2A6" w14:textId="77777777" w:rsidTr="00DF386E">
        <w:tc>
          <w:tcPr>
            <w:tcW w:w="1544" w:type="pct"/>
            <w:shd w:val="clear" w:color="auto" w:fill="auto"/>
          </w:tcPr>
          <w:p w14:paraId="6DDE0473" w14:textId="7F6BDC21" w:rsidR="00DF386E" w:rsidRPr="00F16A5E" w:rsidRDefault="00DF386E" w:rsidP="00062120">
            <w:pPr>
              <w:pStyle w:val="A8"/>
              <w:spacing w:beforeLines="50" w:before="156"/>
              <w:jc w:val="left"/>
              <w:rPr>
                <w:rFonts w:ascii="Times New Roman" w:eastAsia="PMingLiU" w:hAnsi="Times New Roman" w:cs="Times New Roman"/>
                <w:b/>
                <w:bCs/>
                <w:color w:val="auto"/>
                <w:sz w:val="24"/>
                <w:szCs w:val="24"/>
                <w:lang w:val="zh-TW" w:eastAsia="zh-TW"/>
              </w:rPr>
            </w:pPr>
            <w:r w:rsidRPr="00F16A5E">
              <w:rPr>
                <w:rFonts w:ascii="Times New Roman" w:hAnsi="Times New Roman" w:cs="Times New Roman"/>
                <w:b/>
                <w:bCs/>
                <w:color w:val="auto"/>
                <w:sz w:val="24"/>
                <w:szCs w:val="24"/>
                <w:lang w:val="zh-TW" w:eastAsia="zh-TW"/>
              </w:rPr>
              <w:t>Version Date</w:t>
            </w:r>
            <w:r w:rsidRPr="00F16A5E">
              <w:rPr>
                <w:rFonts w:ascii="Times New Roman" w:hAnsi="Times New Roman" w:cs="Times New Roman"/>
                <w:b/>
                <w:bCs/>
                <w:color w:val="auto"/>
                <w:sz w:val="24"/>
                <w:szCs w:val="24"/>
                <w:lang w:val="zh-TW" w:eastAsia="zh-TW"/>
              </w:rPr>
              <w:t>：</w:t>
            </w:r>
          </w:p>
        </w:tc>
        <w:tc>
          <w:tcPr>
            <w:tcW w:w="3456" w:type="pct"/>
            <w:shd w:val="clear" w:color="auto" w:fill="auto"/>
          </w:tcPr>
          <w:p w14:paraId="1ABEFBBA" w14:textId="04083E0C" w:rsidR="00DF386E" w:rsidRPr="00F16A5E" w:rsidRDefault="00DF386E" w:rsidP="00062120">
            <w:pPr>
              <w:pStyle w:val="A8"/>
              <w:spacing w:beforeLines="50" w:before="156"/>
              <w:rPr>
                <w:rFonts w:ascii="Times New Roman" w:hAnsi="Times New Roman" w:cs="Times New Roman"/>
                <w:color w:val="auto"/>
                <w:sz w:val="24"/>
                <w:szCs w:val="24"/>
                <w:lang w:val="zh-TW" w:eastAsia="zh-TW"/>
              </w:rPr>
            </w:pPr>
            <w:r w:rsidRPr="00F16A5E">
              <w:rPr>
                <w:rFonts w:ascii="Times New Roman" w:hAnsi="Times New Roman" w:cs="Times New Roman"/>
                <w:color w:val="auto"/>
                <w:kern w:val="0"/>
                <w:sz w:val="24"/>
                <w:szCs w:val="24"/>
                <w:lang w:val="zh-TW"/>
              </w:rPr>
              <w:t>Jan.7, 2021</w:t>
            </w:r>
          </w:p>
        </w:tc>
      </w:tr>
      <w:tr w:rsidR="00DF386E" w:rsidRPr="00F16A5E" w14:paraId="79474972" w14:textId="77777777" w:rsidTr="00DF386E">
        <w:tc>
          <w:tcPr>
            <w:tcW w:w="1544" w:type="pct"/>
            <w:shd w:val="clear" w:color="auto" w:fill="auto"/>
          </w:tcPr>
          <w:p w14:paraId="42F716FF" w14:textId="09BAB3BE" w:rsidR="00DF386E" w:rsidRPr="00F16A5E" w:rsidRDefault="00DF386E" w:rsidP="00062120">
            <w:pPr>
              <w:pStyle w:val="A8"/>
              <w:spacing w:beforeLines="50" w:before="156"/>
              <w:jc w:val="left"/>
              <w:rPr>
                <w:rFonts w:ascii="Times New Roman" w:hAnsi="Times New Roman" w:cs="Times New Roman"/>
                <w:b/>
                <w:bCs/>
                <w:color w:val="auto"/>
                <w:sz w:val="24"/>
                <w:szCs w:val="24"/>
                <w:lang w:val="zh-TW"/>
              </w:rPr>
            </w:pPr>
            <w:r w:rsidRPr="00F16A5E">
              <w:rPr>
                <w:rFonts w:ascii="Times New Roman" w:hAnsi="Times New Roman" w:cs="Times New Roman"/>
                <w:b/>
                <w:bCs/>
                <w:color w:val="auto"/>
                <w:sz w:val="24"/>
                <w:szCs w:val="24"/>
                <w:lang w:val="zh-TW" w:eastAsia="zh-TW"/>
              </w:rPr>
              <w:t>Sponsor:</w:t>
            </w:r>
          </w:p>
        </w:tc>
        <w:tc>
          <w:tcPr>
            <w:tcW w:w="3456" w:type="pct"/>
            <w:shd w:val="clear" w:color="auto" w:fill="auto"/>
          </w:tcPr>
          <w:p w14:paraId="7B07E774" w14:textId="5BA0C975" w:rsidR="00DF386E" w:rsidRPr="00F16A5E" w:rsidRDefault="00DF386E" w:rsidP="00062120">
            <w:pPr>
              <w:spacing w:beforeLines="50" w:before="156"/>
              <w:rPr>
                <w:sz w:val="24"/>
              </w:rPr>
            </w:pPr>
            <w:r w:rsidRPr="00F16A5E">
              <w:rPr>
                <w:sz w:val="24"/>
              </w:rPr>
              <w:t>Beijing InnoCare Pharma Tech Co. Ltd.</w:t>
            </w:r>
          </w:p>
        </w:tc>
      </w:tr>
      <w:tr w:rsidR="00DF386E" w:rsidRPr="00F16A5E" w14:paraId="43D63D03" w14:textId="77777777" w:rsidTr="00DF386E">
        <w:tc>
          <w:tcPr>
            <w:tcW w:w="1544" w:type="pct"/>
            <w:shd w:val="clear" w:color="auto" w:fill="auto"/>
          </w:tcPr>
          <w:p w14:paraId="20F42551" w14:textId="67E8E349" w:rsidR="00DF386E" w:rsidRPr="00F16A5E" w:rsidRDefault="00DF386E" w:rsidP="00062120">
            <w:pPr>
              <w:pStyle w:val="A8"/>
              <w:spacing w:beforeLines="50" w:before="156"/>
              <w:jc w:val="left"/>
              <w:rPr>
                <w:rFonts w:ascii="Times New Roman" w:hAnsi="Times New Roman" w:cs="Times New Roman"/>
                <w:b/>
                <w:bCs/>
                <w:color w:val="auto"/>
                <w:sz w:val="24"/>
                <w:szCs w:val="24"/>
                <w:lang w:val="zh-TW" w:eastAsia="zh-TW"/>
              </w:rPr>
            </w:pPr>
            <w:r w:rsidRPr="00F16A5E">
              <w:rPr>
                <w:rFonts w:ascii="Times New Roman" w:hAnsi="Times New Roman" w:cs="Times New Roman"/>
                <w:b/>
                <w:bCs/>
                <w:color w:val="auto"/>
                <w:sz w:val="24"/>
                <w:szCs w:val="24"/>
                <w:lang w:val="zh-TW" w:eastAsia="zh-TW"/>
              </w:rPr>
              <w:t>Address</w:t>
            </w:r>
            <w:r w:rsidRPr="00F16A5E">
              <w:rPr>
                <w:rFonts w:ascii="Times New Roman" w:hAnsi="Times New Roman" w:cs="Times New Roman"/>
                <w:b/>
                <w:bCs/>
                <w:color w:val="auto"/>
                <w:sz w:val="24"/>
                <w:szCs w:val="24"/>
                <w:lang w:val="zh-TW" w:eastAsia="zh-TW"/>
              </w:rPr>
              <w:t>：</w:t>
            </w:r>
          </w:p>
        </w:tc>
        <w:tc>
          <w:tcPr>
            <w:tcW w:w="3456" w:type="pct"/>
            <w:shd w:val="clear" w:color="auto" w:fill="auto"/>
          </w:tcPr>
          <w:p w14:paraId="61D502B8" w14:textId="44FE9D65" w:rsidR="00DF386E" w:rsidRPr="00F16A5E" w:rsidRDefault="00DF386E" w:rsidP="00062120">
            <w:pPr>
              <w:spacing w:beforeLines="50" w:before="156"/>
              <w:rPr>
                <w:sz w:val="24"/>
                <w:lang w:eastAsia="zh-TW"/>
              </w:rPr>
            </w:pPr>
            <w:r w:rsidRPr="00F16A5E">
              <w:rPr>
                <w:sz w:val="24"/>
                <w:lang w:eastAsia="zh-TW"/>
              </w:rPr>
              <w:t>Building 8, No. 8 Life Park Road, ZGC Life Science Park, Changping Dist.  Beijing, P.R.C</w:t>
            </w:r>
          </w:p>
        </w:tc>
      </w:tr>
    </w:tbl>
    <w:p w14:paraId="3ED98171" w14:textId="77777777" w:rsidR="0001176C" w:rsidRPr="00F16A5E" w:rsidRDefault="0001176C" w:rsidP="004F7984">
      <w:pPr>
        <w:adjustRightInd w:val="0"/>
        <w:snapToGrid w:val="0"/>
        <w:spacing w:line="360" w:lineRule="auto"/>
        <w:jc w:val="center"/>
        <w:rPr>
          <w:sz w:val="24"/>
          <w:lang w:eastAsia="zh-TW"/>
        </w:rPr>
      </w:pPr>
    </w:p>
    <w:p w14:paraId="39479C99" w14:textId="77777777" w:rsidR="0001176C" w:rsidRPr="00F16A5E" w:rsidRDefault="0001176C" w:rsidP="004F7984">
      <w:pPr>
        <w:spacing w:line="360" w:lineRule="auto"/>
        <w:jc w:val="center"/>
        <w:rPr>
          <w:b/>
          <w:sz w:val="48"/>
          <w:szCs w:val="48"/>
          <w:lang w:eastAsia="zh-TW"/>
        </w:rPr>
      </w:pPr>
    </w:p>
    <w:p w14:paraId="4B20D88F" w14:textId="77777777" w:rsidR="00062120" w:rsidRPr="00F16A5E" w:rsidRDefault="00062120" w:rsidP="00062120">
      <w:pPr>
        <w:jc w:val="center"/>
        <w:rPr>
          <w:b/>
          <w:bCs/>
          <w:sz w:val="24"/>
          <w:szCs w:val="21"/>
        </w:rPr>
      </w:pPr>
      <w:r w:rsidRPr="00F16A5E">
        <w:rPr>
          <w:b/>
          <w:bCs/>
          <w:sz w:val="24"/>
          <w:szCs w:val="21"/>
        </w:rPr>
        <w:t>Confidentiality Statement</w:t>
      </w:r>
    </w:p>
    <w:p w14:paraId="759AA735" w14:textId="05CF185D" w:rsidR="00062120" w:rsidRPr="00F16A5E" w:rsidRDefault="00062120" w:rsidP="00062120">
      <w:pPr>
        <w:rPr>
          <w:sz w:val="24"/>
          <w:szCs w:val="21"/>
        </w:rPr>
      </w:pPr>
      <w:r w:rsidRPr="00F16A5E">
        <w:rPr>
          <w:sz w:val="24"/>
          <w:szCs w:val="21"/>
        </w:rPr>
        <w:t xml:space="preserve">This document is only provided for review by you as an investigator, ethics committee member, and member of relevant regulatory agencies. The information related to the study drug </w:t>
      </w:r>
      <w:r w:rsidR="00052558" w:rsidRPr="00F16A5E">
        <w:rPr>
          <w:sz w:val="24"/>
          <w:szCs w:val="21"/>
        </w:rPr>
        <w:t>herein</w:t>
      </w:r>
      <w:r w:rsidRPr="00F16A5E">
        <w:rPr>
          <w:sz w:val="24"/>
          <w:szCs w:val="21"/>
        </w:rPr>
        <w:t xml:space="preserve"> is the exclusive property of the sponsor, InnoCare Pharma, Inc. Without the written consent of the sponsor, please do not inform or disclose any information related to this study drug in any way to any third party not involved with this trial, except for the necessary explanations to the potential subjects who may participate in this clinical trial.</w:t>
      </w:r>
    </w:p>
    <w:p w14:paraId="264FB342" w14:textId="77777777" w:rsidR="00062120" w:rsidRPr="00F16A5E" w:rsidRDefault="00062120" w:rsidP="004F7984">
      <w:pPr>
        <w:ind w:firstLineChars="200" w:firstLine="480"/>
        <w:rPr>
          <w:sz w:val="24"/>
          <w:szCs w:val="21"/>
        </w:rPr>
      </w:pPr>
    </w:p>
    <w:p w14:paraId="524067CA" w14:textId="490D8262" w:rsidR="00062120" w:rsidRPr="00F16A5E" w:rsidRDefault="00062120" w:rsidP="004F7984">
      <w:pPr>
        <w:ind w:firstLineChars="200" w:firstLine="480"/>
        <w:rPr>
          <w:sz w:val="24"/>
          <w:szCs w:val="21"/>
        </w:rPr>
        <w:sectPr w:rsidR="00062120" w:rsidRPr="00F16A5E" w:rsidSect="004F7984">
          <w:headerReference w:type="default" r:id="rId11"/>
          <w:pgSz w:w="11906" w:h="16838"/>
          <w:pgMar w:top="1440" w:right="1800" w:bottom="1440" w:left="1800" w:header="851" w:footer="992" w:gutter="0"/>
          <w:cols w:space="425"/>
          <w:docGrid w:type="lines" w:linePitch="312"/>
        </w:sectPr>
      </w:pPr>
    </w:p>
    <w:p w14:paraId="0BDAA008" w14:textId="07E4DCD8" w:rsidR="0001176C" w:rsidRPr="00F16A5E" w:rsidRDefault="00062120" w:rsidP="004F7984">
      <w:pPr>
        <w:pStyle w:val="1"/>
        <w:keepNext w:val="0"/>
        <w:spacing w:beforeLines="0" w:before="120" w:line="360" w:lineRule="auto"/>
        <w:jc w:val="both"/>
        <w:rPr>
          <w:rFonts w:eastAsia="宋体"/>
          <w:szCs w:val="28"/>
          <w:lang w:eastAsia="zh-CN"/>
        </w:rPr>
      </w:pPr>
      <w:bookmarkStart w:id="1" w:name="_Toc71149126"/>
      <w:r w:rsidRPr="00F16A5E">
        <w:rPr>
          <w:rFonts w:eastAsia="宋体"/>
          <w:szCs w:val="28"/>
          <w:lang w:eastAsia="zh-CN"/>
        </w:rPr>
        <w:lastRenderedPageBreak/>
        <w:t>Sponsor Signature</w:t>
      </w:r>
      <w:bookmarkEnd w:id="1"/>
    </w:p>
    <w:p w14:paraId="5D39F8BE" w14:textId="77777777" w:rsidR="0001176C" w:rsidRPr="00F16A5E" w:rsidRDefault="0001176C" w:rsidP="004F7984">
      <w:pPr>
        <w:rPr>
          <w:lang w:val="x-none"/>
        </w:rPr>
      </w:pPr>
    </w:p>
    <w:tbl>
      <w:tblPr>
        <w:tblW w:w="0" w:type="auto"/>
        <w:tblLook w:val="04A0" w:firstRow="1" w:lastRow="0" w:firstColumn="1" w:lastColumn="0" w:noHBand="0" w:noVBand="1"/>
      </w:tblPr>
      <w:tblGrid>
        <w:gridCol w:w="2192"/>
        <w:gridCol w:w="6878"/>
      </w:tblGrid>
      <w:tr w:rsidR="0001176C" w:rsidRPr="00F16A5E" w14:paraId="7FD0E69B" w14:textId="77777777" w:rsidTr="00B13842">
        <w:trPr>
          <w:trHeight w:val="397"/>
        </w:trPr>
        <w:tc>
          <w:tcPr>
            <w:tcW w:w="2192" w:type="dxa"/>
            <w:shd w:val="clear" w:color="auto" w:fill="auto"/>
          </w:tcPr>
          <w:p w14:paraId="140886D0" w14:textId="50E9DDB0" w:rsidR="0001176C" w:rsidRPr="00F16A5E" w:rsidRDefault="007879C2" w:rsidP="00DC675A">
            <w:pPr>
              <w:spacing w:beforeLines="50" w:before="156"/>
              <w:rPr>
                <w:b/>
                <w:kern w:val="0"/>
                <w:sz w:val="24"/>
              </w:rPr>
            </w:pPr>
            <w:r w:rsidRPr="00F16A5E">
              <w:rPr>
                <w:b/>
                <w:kern w:val="0"/>
                <w:sz w:val="24"/>
              </w:rPr>
              <w:t>Title</w:t>
            </w:r>
          </w:p>
        </w:tc>
        <w:tc>
          <w:tcPr>
            <w:tcW w:w="6878" w:type="dxa"/>
            <w:shd w:val="clear" w:color="auto" w:fill="auto"/>
            <w:vAlign w:val="center"/>
          </w:tcPr>
          <w:p w14:paraId="2628A1B8" w14:textId="7306C673" w:rsidR="0001176C" w:rsidRPr="00F16A5E" w:rsidRDefault="007879C2" w:rsidP="00DC675A">
            <w:pPr>
              <w:spacing w:beforeLines="50" w:before="156"/>
              <w:rPr>
                <w:kern w:val="0"/>
                <w:sz w:val="24"/>
              </w:rPr>
            </w:pPr>
            <w:r w:rsidRPr="00F16A5E">
              <w:rPr>
                <w:kern w:val="0"/>
                <w:sz w:val="24"/>
              </w:rPr>
              <w:t xml:space="preserve">A Phase </w:t>
            </w:r>
            <w:proofErr w:type="spellStart"/>
            <w:r w:rsidRPr="00F16A5E">
              <w:rPr>
                <w:kern w:val="0"/>
                <w:sz w:val="24"/>
              </w:rPr>
              <w:t>Ib</w:t>
            </w:r>
            <w:proofErr w:type="spellEnd"/>
            <w:r w:rsidRPr="00F16A5E">
              <w:rPr>
                <w:kern w:val="0"/>
                <w:sz w:val="24"/>
              </w:rPr>
              <w:t>/</w:t>
            </w:r>
            <w:proofErr w:type="spellStart"/>
            <w:r w:rsidRPr="00F16A5E">
              <w:rPr>
                <w:kern w:val="0"/>
                <w:sz w:val="24"/>
              </w:rPr>
              <w:t>IIa</w:t>
            </w:r>
            <w:proofErr w:type="spellEnd"/>
            <w:r w:rsidRPr="00F16A5E">
              <w:rPr>
                <w:kern w:val="0"/>
                <w:sz w:val="24"/>
              </w:rPr>
              <w:t>, Randomized, Double-Blind, Placebo-Controlled, Dose-finding Study to Evaluate the Safety, Tolerability, Pharmacokinetics (PK), Pharmacodynamics (PD) and PK/PD Relationship of ICP-022 in Patients with Mild-Moderate Systemic Lupus Erythematosus</w:t>
            </w:r>
          </w:p>
        </w:tc>
      </w:tr>
      <w:tr w:rsidR="0001176C" w:rsidRPr="00F16A5E" w14:paraId="53D98B93" w14:textId="77777777" w:rsidTr="00B13842">
        <w:trPr>
          <w:trHeight w:val="397"/>
        </w:trPr>
        <w:tc>
          <w:tcPr>
            <w:tcW w:w="2192" w:type="dxa"/>
            <w:shd w:val="clear" w:color="auto" w:fill="auto"/>
          </w:tcPr>
          <w:p w14:paraId="0C2BD58D" w14:textId="055CA108" w:rsidR="0001176C" w:rsidRPr="00F16A5E" w:rsidRDefault="007879C2" w:rsidP="00DC675A">
            <w:pPr>
              <w:spacing w:beforeLines="50" w:before="156"/>
              <w:rPr>
                <w:b/>
                <w:kern w:val="0"/>
                <w:sz w:val="24"/>
              </w:rPr>
            </w:pPr>
            <w:r w:rsidRPr="00F16A5E">
              <w:rPr>
                <w:b/>
                <w:kern w:val="0"/>
                <w:sz w:val="24"/>
              </w:rPr>
              <w:t>Study No.</w:t>
            </w:r>
          </w:p>
        </w:tc>
        <w:tc>
          <w:tcPr>
            <w:tcW w:w="6878" w:type="dxa"/>
            <w:shd w:val="clear" w:color="auto" w:fill="auto"/>
            <w:vAlign w:val="center"/>
          </w:tcPr>
          <w:p w14:paraId="08AC44D6" w14:textId="77777777" w:rsidR="0001176C" w:rsidRPr="00F16A5E" w:rsidRDefault="0001176C" w:rsidP="00DC675A">
            <w:pPr>
              <w:spacing w:beforeLines="50" w:before="156"/>
              <w:rPr>
                <w:kern w:val="0"/>
                <w:sz w:val="24"/>
              </w:rPr>
            </w:pPr>
            <w:r w:rsidRPr="00F16A5E">
              <w:rPr>
                <w:bCs/>
                <w:kern w:val="0"/>
                <w:sz w:val="24"/>
                <w:lang w:val="zh-TW"/>
              </w:rPr>
              <w:t>ICP-CL-00109</w:t>
            </w:r>
          </w:p>
        </w:tc>
      </w:tr>
      <w:tr w:rsidR="00B13842" w:rsidRPr="00F16A5E" w14:paraId="11511B60" w14:textId="77777777" w:rsidTr="00B13842">
        <w:trPr>
          <w:trHeight w:val="397"/>
        </w:trPr>
        <w:tc>
          <w:tcPr>
            <w:tcW w:w="2192" w:type="dxa"/>
            <w:shd w:val="clear" w:color="auto" w:fill="auto"/>
          </w:tcPr>
          <w:p w14:paraId="5BCC6B54" w14:textId="3C9D0EF0" w:rsidR="00B13842" w:rsidRPr="00F16A5E" w:rsidRDefault="007879C2" w:rsidP="00DC675A">
            <w:pPr>
              <w:spacing w:beforeLines="50" w:before="156"/>
              <w:rPr>
                <w:b/>
                <w:kern w:val="0"/>
                <w:sz w:val="24"/>
              </w:rPr>
            </w:pPr>
            <w:r w:rsidRPr="00F16A5E">
              <w:rPr>
                <w:b/>
                <w:kern w:val="0"/>
                <w:sz w:val="24"/>
              </w:rPr>
              <w:t>Protocol Version and Date</w:t>
            </w:r>
          </w:p>
        </w:tc>
        <w:tc>
          <w:tcPr>
            <w:tcW w:w="6878" w:type="dxa"/>
            <w:shd w:val="clear" w:color="auto" w:fill="auto"/>
            <w:vAlign w:val="center"/>
          </w:tcPr>
          <w:p w14:paraId="4C3E690E" w14:textId="218BD6CA" w:rsidR="00B13842" w:rsidRPr="00F16A5E" w:rsidRDefault="00052558" w:rsidP="00DC675A">
            <w:pPr>
              <w:spacing w:beforeLines="50" w:before="156"/>
              <w:rPr>
                <w:kern w:val="0"/>
                <w:sz w:val="24"/>
              </w:rPr>
            </w:pPr>
            <w:r w:rsidRPr="00F16A5E">
              <w:rPr>
                <w:bCs/>
                <w:kern w:val="0"/>
                <w:sz w:val="24"/>
                <w:lang w:val="zh-TW" w:eastAsia="zh-TW"/>
              </w:rPr>
              <w:t>v5.0, Jan. 07, 2021</w:t>
            </w:r>
          </w:p>
        </w:tc>
      </w:tr>
      <w:tr w:rsidR="00B13842" w:rsidRPr="00F16A5E" w14:paraId="738144A1" w14:textId="77777777" w:rsidTr="00B13842">
        <w:trPr>
          <w:trHeight w:val="397"/>
        </w:trPr>
        <w:tc>
          <w:tcPr>
            <w:tcW w:w="2192" w:type="dxa"/>
            <w:shd w:val="clear" w:color="auto" w:fill="auto"/>
          </w:tcPr>
          <w:p w14:paraId="6F93EAD1" w14:textId="48ED64BD" w:rsidR="00B13842" w:rsidRPr="00F16A5E" w:rsidRDefault="00052558" w:rsidP="00DC675A">
            <w:pPr>
              <w:spacing w:beforeLines="50" w:before="156"/>
              <w:rPr>
                <w:b/>
                <w:kern w:val="0"/>
                <w:sz w:val="24"/>
              </w:rPr>
            </w:pPr>
            <w:r w:rsidRPr="00F16A5E">
              <w:rPr>
                <w:b/>
                <w:kern w:val="0"/>
                <w:sz w:val="24"/>
              </w:rPr>
              <w:t>Study Drug</w:t>
            </w:r>
          </w:p>
        </w:tc>
        <w:tc>
          <w:tcPr>
            <w:tcW w:w="6878" w:type="dxa"/>
            <w:shd w:val="clear" w:color="auto" w:fill="auto"/>
            <w:vAlign w:val="center"/>
          </w:tcPr>
          <w:p w14:paraId="18A455EE" w14:textId="68309DCA" w:rsidR="00B13842" w:rsidRPr="00F16A5E" w:rsidRDefault="00152A66" w:rsidP="00DC675A">
            <w:pPr>
              <w:spacing w:beforeLines="50" w:before="156"/>
              <w:rPr>
                <w:kern w:val="0"/>
                <w:sz w:val="24"/>
              </w:rPr>
            </w:pPr>
            <w:r w:rsidRPr="00F16A5E">
              <w:rPr>
                <w:kern w:val="0"/>
                <w:sz w:val="24"/>
              </w:rPr>
              <w:t>Orelabrutinib (ICP-022)</w:t>
            </w:r>
          </w:p>
        </w:tc>
      </w:tr>
    </w:tbl>
    <w:p w14:paraId="4132C508" w14:textId="77777777" w:rsidR="0001176C" w:rsidRPr="00F16A5E" w:rsidRDefault="0001176C" w:rsidP="004F7984">
      <w:pPr>
        <w:spacing w:line="360" w:lineRule="auto"/>
        <w:jc w:val="center"/>
        <w:rPr>
          <w:sz w:val="30"/>
          <w:szCs w:val="30"/>
        </w:rPr>
      </w:pPr>
    </w:p>
    <w:p w14:paraId="53BD9727" w14:textId="628E59A8" w:rsidR="0001176C" w:rsidRPr="00F16A5E" w:rsidRDefault="0001176C" w:rsidP="004F7984">
      <w:pPr>
        <w:autoSpaceDE w:val="0"/>
        <w:autoSpaceDN w:val="0"/>
        <w:adjustRightInd w:val="0"/>
        <w:spacing w:line="360" w:lineRule="auto"/>
        <w:jc w:val="center"/>
        <w:rPr>
          <w:b/>
          <w:sz w:val="28"/>
          <w:szCs w:val="28"/>
        </w:rPr>
      </w:pPr>
    </w:p>
    <w:p w14:paraId="17780477" w14:textId="501D22B8" w:rsidR="0001176C" w:rsidRPr="00F16A5E" w:rsidRDefault="00052558" w:rsidP="00052558">
      <w:pPr>
        <w:spacing w:beforeLines="50" w:before="156" w:line="300" w:lineRule="auto"/>
        <w:jc w:val="left"/>
        <w:rPr>
          <w:sz w:val="24"/>
        </w:rPr>
      </w:pPr>
      <w:r w:rsidRPr="00F16A5E">
        <w:rPr>
          <w:sz w:val="24"/>
        </w:rPr>
        <w:t>I will seriously fulfill the responsibility of the sponsor in accordance with the Good Clinical Practices (GCP) and all current applicable regulations, and be responsible for initiating, applying for, organizing, and funding this clinical trial, bear legal responsibility for medical expenses and appropriate economic compensation for subjects who have suffered damage or death related to the trial during the clinical trial, and provide legal guarantees to the investigators. I agree to carry out this clinical trial in accordance with the design and instructions in this protocol.</w:t>
      </w:r>
    </w:p>
    <w:p w14:paraId="724FF67C" w14:textId="77777777" w:rsidR="0001176C" w:rsidRPr="00F16A5E" w:rsidRDefault="0001176C" w:rsidP="004F7984">
      <w:pPr>
        <w:spacing w:line="360" w:lineRule="auto"/>
        <w:jc w:val="center"/>
        <w:rPr>
          <w:sz w:val="24"/>
        </w:rPr>
      </w:pPr>
    </w:p>
    <w:tbl>
      <w:tblPr>
        <w:tblW w:w="5000" w:type="pct"/>
        <w:tblLayout w:type="fixed"/>
        <w:tblCellMar>
          <w:left w:w="60" w:type="dxa"/>
          <w:right w:w="60" w:type="dxa"/>
        </w:tblCellMar>
        <w:tblLook w:val="0000" w:firstRow="0" w:lastRow="0" w:firstColumn="0" w:lastColumn="0" w:noHBand="0" w:noVBand="0"/>
      </w:tblPr>
      <w:tblGrid>
        <w:gridCol w:w="4606"/>
        <w:gridCol w:w="969"/>
        <w:gridCol w:w="3495"/>
      </w:tblGrid>
      <w:tr w:rsidR="0001176C" w:rsidRPr="00F16A5E" w14:paraId="4E4103A2" w14:textId="77777777" w:rsidTr="004F7984">
        <w:trPr>
          <w:cantSplit/>
          <w:trHeight w:val="515"/>
        </w:trPr>
        <w:tc>
          <w:tcPr>
            <w:tcW w:w="4606" w:type="dxa"/>
            <w:tcBorders>
              <w:bottom w:val="single" w:sz="4" w:space="0" w:color="auto"/>
            </w:tcBorders>
            <w:vAlign w:val="center"/>
          </w:tcPr>
          <w:p w14:paraId="00AFE82A" w14:textId="6094B729" w:rsidR="0001176C" w:rsidRPr="00F16A5E" w:rsidRDefault="00052558" w:rsidP="004F7984">
            <w:pPr>
              <w:pStyle w:val="Paragraph"/>
              <w:spacing w:beforeLines="50" w:before="156" w:afterLines="50" w:after="156" w:line="240" w:lineRule="auto"/>
              <w:rPr>
                <w:rFonts w:ascii="Times New Roman" w:hAnsi="Times New Roman"/>
                <w:sz w:val="24"/>
              </w:rPr>
            </w:pPr>
            <w:r w:rsidRPr="00F16A5E">
              <w:rPr>
                <w:rFonts w:ascii="Times New Roman" w:hAnsi="Times New Roman"/>
                <w:sz w:val="24"/>
              </w:rPr>
              <w:t>Sponsor's Contact:</w:t>
            </w:r>
          </w:p>
          <w:p w14:paraId="776A4322" w14:textId="77777777" w:rsidR="0001176C" w:rsidRPr="00F16A5E" w:rsidRDefault="0001176C" w:rsidP="004F7984"/>
        </w:tc>
        <w:tc>
          <w:tcPr>
            <w:tcW w:w="969" w:type="dxa"/>
          </w:tcPr>
          <w:p w14:paraId="429E722D" w14:textId="77777777" w:rsidR="0001176C" w:rsidRPr="00F16A5E" w:rsidRDefault="0001176C" w:rsidP="004F7984">
            <w:pPr>
              <w:pStyle w:val="Paragraph"/>
              <w:spacing w:beforeLines="50" w:before="156" w:afterLines="50" w:after="156" w:line="240" w:lineRule="auto"/>
              <w:rPr>
                <w:rFonts w:ascii="Times New Roman" w:hAnsi="Times New Roman"/>
                <w:bCs/>
                <w:sz w:val="24"/>
              </w:rPr>
            </w:pPr>
          </w:p>
        </w:tc>
        <w:tc>
          <w:tcPr>
            <w:tcW w:w="3495" w:type="dxa"/>
            <w:tcBorders>
              <w:bottom w:val="single" w:sz="4" w:space="0" w:color="auto"/>
            </w:tcBorders>
          </w:tcPr>
          <w:p w14:paraId="538F1345" w14:textId="32084769" w:rsidR="0001176C" w:rsidRPr="00F16A5E" w:rsidRDefault="00052558" w:rsidP="004F7984">
            <w:pPr>
              <w:pStyle w:val="Paragraph"/>
              <w:spacing w:beforeLines="50" w:before="156" w:afterLines="50" w:after="156" w:line="240" w:lineRule="auto"/>
              <w:rPr>
                <w:rFonts w:ascii="Times New Roman" w:hAnsi="Times New Roman"/>
                <w:bCs/>
                <w:sz w:val="24"/>
              </w:rPr>
            </w:pPr>
            <w:r w:rsidRPr="00F16A5E">
              <w:rPr>
                <w:rFonts w:ascii="Times New Roman" w:hAnsi="Times New Roman"/>
                <w:bCs/>
                <w:sz w:val="24"/>
              </w:rPr>
              <w:t>Date</w:t>
            </w:r>
          </w:p>
          <w:p w14:paraId="32E31FA0" w14:textId="77777777" w:rsidR="0001176C" w:rsidRPr="00F16A5E" w:rsidRDefault="0001176C" w:rsidP="004F7984"/>
        </w:tc>
      </w:tr>
      <w:tr w:rsidR="0001176C" w:rsidRPr="00F16A5E" w14:paraId="40110295" w14:textId="77777777" w:rsidTr="004F7984">
        <w:trPr>
          <w:cantSplit/>
          <w:trHeight w:val="918"/>
        </w:trPr>
        <w:tc>
          <w:tcPr>
            <w:tcW w:w="4606" w:type="dxa"/>
            <w:tcBorders>
              <w:top w:val="single" w:sz="4" w:space="0" w:color="auto"/>
            </w:tcBorders>
            <w:vAlign w:val="center"/>
          </w:tcPr>
          <w:p w14:paraId="2F3534C5" w14:textId="6457807F" w:rsidR="0001176C" w:rsidRPr="00F16A5E" w:rsidRDefault="00052558" w:rsidP="004F7984">
            <w:pPr>
              <w:pStyle w:val="Paragraph"/>
              <w:spacing w:beforeLines="50" w:before="156" w:afterLines="50" w:after="156" w:line="240" w:lineRule="auto"/>
              <w:rPr>
                <w:rFonts w:ascii="Times New Roman" w:hAnsi="Times New Roman"/>
                <w:sz w:val="24"/>
              </w:rPr>
            </w:pPr>
            <w:r w:rsidRPr="00F16A5E">
              <w:rPr>
                <w:rFonts w:ascii="Times New Roman" w:hAnsi="Times New Roman"/>
                <w:sz w:val="24"/>
              </w:rPr>
              <w:t>Wei Zhou, M.D., Medical Director</w:t>
            </w:r>
          </w:p>
          <w:p w14:paraId="27363805" w14:textId="300AFEBA" w:rsidR="0001176C" w:rsidRPr="00F16A5E" w:rsidRDefault="0001176C" w:rsidP="004F7984">
            <w:pPr>
              <w:pStyle w:val="Paragraph"/>
              <w:spacing w:beforeLines="50" w:before="156" w:afterLines="50" w:after="156" w:line="240" w:lineRule="auto"/>
              <w:rPr>
                <w:rFonts w:ascii="Times New Roman" w:hAnsi="Times New Roman"/>
                <w:sz w:val="24"/>
              </w:rPr>
            </w:pPr>
          </w:p>
          <w:p w14:paraId="07FC6227" w14:textId="425D7D00" w:rsidR="0001176C" w:rsidRPr="00F16A5E" w:rsidRDefault="00052558" w:rsidP="004F7984">
            <w:pPr>
              <w:rPr>
                <w:sz w:val="24"/>
              </w:rPr>
            </w:pPr>
            <w:r w:rsidRPr="00F16A5E">
              <w:rPr>
                <w:sz w:val="24"/>
              </w:rPr>
              <w:t>Beijing InnoCare Pharma Tech. Co. Ltd.</w:t>
            </w:r>
          </w:p>
        </w:tc>
        <w:tc>
          <w:tcPr>
            <w:tcW w:w="969" w:type="dxa"/>
          </w:tcPr>
          <w:p w14:paraId="784E2DCF" w14:textId="77777777" w:rsidR="0001176C" w:rsidRPr="00F16A5E" w:rsidRDefault="0001176C" w:rsidP="004F7984">
            <w:pPr>
              <w:pStyle w:val="Paragraph"/>
              <w:spacing w:beforeLines="50" w:before="156" w:afterLines="50" w:after="156" w:line="240" w:lineRule="auto"/>
              <w:rPr>
                <w:rFonts w:ascii="Times New Roman" w:hAnsi="Times New Roman"/>
                <w:bCs/>
                <w:sz w:val="24"/>
              </w:rPr>
            </w:pPr>
          </w:p>
        </w:tc>
        <w:tc>
          <w:tcPr>
            <w:tcW w:w="3495" w:type="dxa"/>
            <w:tcBorders>
              <w:top w:val="single" w:sz="4" w:space="0" w:color="auto"/>
            </w:tcBorders>
          </w:tcPr>
          <w:p w14:paraId="6A404E84" w14:textId="77777777" w:rsidR="0001176C" w:rsidRPr="00F16A5E" w:rsidRDefault="0001176C" w:rsidP="004F7984"/>
        </w:tc>
      </w:tr>
    </w:tbl>
    <w:p w14:paraId="679CE5CB" w14:textId="563E7496" w:rsidR="0001176C" w:rsidRPr="00F16A5E" w:rsidRDefault="00052558" w:rsidP="004F7984">
      <w:pPr>
        <w:pStyle w:val="1"/>
        <w:keepNext w:val="0"/>
        <w:pageBreakBefore/>
        <w:spacing w:beforeLines="0" w:before="120" w:line="360" w:lineRule="auto"/>
        <w:jc w:val="both"/>
        <w:rPr>
          <w:rFonts w:eastAsia="宋体"/>
          <w:szCs w:val="28"/>
          <w:lang w:eastAsia="zh-CN"/>
        </w:rPr>
      </w:pPr>
      <w:bookmarkStart w:id="2" w:name="_Toc71149127"/>
      <w:r w:rsidRPr="00F16A5E">
        <w:rPr>
          <w:rFonts w:eastAsia="宋体"/>
          <w:szCs w:val="28"/>
          <w:lang w:eastAsia="zh-CN"/>
        </w:rPr>
        <w:lastRenderedPageBreak/>
        <w:t>Investigator Signature Page</w:t>
      </w:r>
      <w:bookmarkEnd w:id="2"/>
    </w:p>
    <w:p w14:paraId="09288A85" w14:textId="77777777" w:rsidR="0001176C" w:rsidRPr="00F16A5E" w:rsidRDefault="0001176C" w:rsidP="004F7984">
      <w:pPr>
        <w:rPr>
          <w:lang w:val="x-none"/>
        </w:rPr>
      </w:pPr>
    </w:p>
    <w:tbl>
      <w:tblPr>
        <w:tblW w:w="0" w:type="auto"/>
        <w:tblLook w:val="04A0" w:firstRow="1" w:lastRow="0" w:firstColumn="1" w:lastColumn="0" w:noHBand="0" w:noVBand="1"/>
      </w:tblPr>
      <w:tblGrid>
        <w:gridCol w:w="2192"/>
        <w:gridCol w:w="6878"/>
      </w:tblGrid>
      <w:tr w:rsidR="00052558" w:rsidRPr="00F16A5E" w14:paraId="538A128A" w14:textId="77777777" w:rsidTr="00B13842">
        <w:trPr>
          <w:trHeight w:val="397"/>
        </w:trPr>
        <w:tc>
          <w:tcPr>
            <w:tcW w:w="2192" w:type="dxa"/>
            <w:shd w:val="clear" w:color="auto" w:fill="auto"/>
          </w:tcPr>
          <w:p w14:paraId="7356C7C3" w14:textId="568A03A3" w:rsidR="00052558" w:rsidRPr="00F16A5E" w:rsidRDefault="00052558" w:rsidP="00DC675A">
            <w:pPr>
              <w:spacing w:beforeLines="50" w:before="156"/>
              <w:rPr>
                <w:b/>
                <w:kern w:val="0"/>
                <w:sz w:val="24"/>
              </w:rPr>
            </w:pPr>
            <w:r w:rsidRPr="00F16A5E">
              <w:rPr>
                <w:b/>
                <w:kern w:val="0"/>
                <w:sz w:val="24"/>
              </w:rPr>
              <w:t>Title</w:t>
            </w:r>
          </w:p>
        </w:tc>
        <w:tc>
          <w:tcPr>
            <w:tcW w:w="6878" w:type="dxa"/>
            <w:shd w:val="clear" w:color="auto" w:fill="auto"/>
            <w:vAlign w:val="center"/>
          </w:tcPr>
          <w:p w14:paraId="633A6D90" w14:textId="1543BEEA" w:rsidR="00052558" w:rsidRPr="00F16A5E" w:rsidRDefault="00052558" w:rsidP="00DC675A">
            <w:pPr>
              <w:spacing w:beforeLines="50" w:before="156"/>
              <w:rPr>
                <w:kern w:val="0"/>
                <w:sz w:val="24"/>
              </w:rPr>
            </w:pPr>
            <w:r w:rsidRPr="00F16A5E">
              <w:rPr>
                <w:kern w:val="0"/>
                <w:sz w:val="24"/>
              </w:rPr>
              <w:t xml:space="preserve">A Phase </w:t>
            </w:r>
            <w:proofErr w:type="spellStart"/>
            <w:r w:rsidRPr="00F16A5E">
              <w:rPr>
                <w:kern w:val="0"/>
                <w:sz w:val="24"/>
              </w:rPr>
              <w:t>Ib</w:t>
            </w:r>
            <w:proofErr w:type="spellEnd"/>
            <w:r w:rsidRPr="00F16A5E">
              <w:rPr>
                <w:kern w:val="0"/>
                <w:sz w:val="24"/>
              </w:rPr>
              <w:t>/</w:t>
            </w:r>
            <w:proofErr w:type="spellStart"/>
            <w:r w:rsidRPr="00F16A5E">
              <w:rPr>
                <w:kern w:val="0"/>
                <w:sz w:val="24"/>
              </w:rPr>
              <w:t>IIa</w:t>
            </w:r>
            <w:proofErr w:type="spellEnd"/>
            <w:r w:rsidRPr="00F16A5E">
              <w:rPr>
                <w:kern w:val="0"/>
                <w:sz w:val="24"/>
              </w:rPr>
              <w:t>, Randomized, Double-Blind, Placebo-Controlled, Dose-finding Study to Evaluate the Safety, Tolerability, Pharmacokinetics (PK), Pharmacodynamics (PD) and PK/PD Relationship of ICP-022 in Patients with Mild-Moderate Systemic Lupus Erythematosus</w:t>
            </w:r>
          </w:p>
        </w:tc>
      </w:tr>
      <w:tr w:rsidR="00052558" w:rsidRPr="00F16A5E" w14:paraId="7BEA7641" w14:textId="77777777" w:rsidTr="00B13842">
        <w:trPr>
          <w:trHeight w:val="397"/>
        </w:trPr>
        <w:tc>
          <w:tcPr>
            <w:tcW w:w="2192" w:type="dxa"/>
            <w:shd w:val="clear" w:color="auto" w:fill="auto"/>
          </w:tcPr>
          <w:p w14:paraId="72F6212E" w14:textId="0AF93DDC" w:rsidR="00052558" w:rsidRPr="00F16A5E" w:rsidRDefault="00052558" w:rsidP="00DC675A">
            <w:pPr>
              <w:spacing w:beforeLines="50" w:before="156"/>
              <w:rPr>
                <w:b/>
                <w:kern w:val="0"/>
                <w:sz w:val="24"/>
              </w:rPr>
            </w:pPr>
            <w:r w:rsidRPr="00F16A5E">
              <w:rPr>
                <w:b/>
                <w:kern w:val="0"/>
                <w:sz w:val="24"/>
              </w:rPr>
              <w:t>Study No.</w:t>
            </w:r>
          </w:p>
        </w:tc>
        <w:tc>
          <w:tcPr>
            <w:tcW w:w="6878" w:type="dxa"/>
            <w:shd w:val="clear" w:color="auto" w:fill="auto"/>
            <w:vAlign w:val="center"/>
          </w:tcPr>
          <w:p w14:paraId="6763D4E0" w14:textId="649B610D" w:rsidR="00052558" w:rsidRPr="00F16A5E" w:rsidRDefault="00052558" w:rsidP="00DC675A">
            <w:pPr>
              <w:spacing w:beforeLines="50" w:before="156"/>
              <w:rPr>
                <w:kern w:val="0"/>
                <w:sz w:val="24"/>
              </w:rPr>
            </w:pPr>
            <w:r w:rsidRPr="00F16A5E">
              <w:rPr>
                <w:bCs/>
                <w:kern w:val="0"/>
                <w:sz w:val="24"/>
                <w:lang w:val="zh-TW"/>
              </w:rPr>
              <w:t>ICP-CL-00109</w:t>
            </w:r>
          </w:p>
        </w:tc>
      </w:tr>
      <w:tr w:rsidR="00052558" w:rsidRPr="00F16A5E" w14:paraId="5CFED2CF" w14:textId="77777777" w:rsidTr="00B13842">
        <w:trPr>
          <w:trHeight w:val="397"/>
        </w:trPr>
        <w:tc>
          <w:tcPr>
            <w:tcW w:w="2192" w:type="dxa"/>
            <w:shd w:val="clear" w:color="auto" w:fill="auto"/>
          </w:tcPr>
          <w:p w14:paraId="6CC7967E" w14:textId="3AB36DF1" w:rsidR="00052558" w:rsidRPr="00F16A5E" w:rsidRDefault="00052558" w:rsidP="00DC675A">
            <w:pPr>
              <w:spacing w:beforeLines="50" w:before="156"/>
              <w:rPr>
                <w:b/>
                <w:kern w:val="0"/>
                <w:sz w:val="24"/>
              </w:rPr>
            </w:pPr>
            <w:r w:rsidRPr="00F16A5E">
              <w:rPr>
                <w:b/>
                <w:kern w:val="0"/>
                <w:sz w:val="24"/>
              </w:rPr>
              <w:t>Protocol Version and Date</w:t>
            </w:r>
          </w:p>
        </w:tc>
        <w:tc>
          <w:tcPr>
            <w:tcW w:w="6878" w:type="dxa"/>
            <w:shd w:val="clear" w:color="auto" w:fill="auto"/>
            <w:vAlign w:val="center"/>
          </w:tcPr>
          <w:p w14:paraId="3FE55BC8" w14:textId="238CCB1F" w:rsidR="00052558" w:rsidRPr="00F16A5E" w:rsidRDefault="00052558" w:rsidP="00DC675A">
            <w:pPr>
              <w:spacing w:beforeLines="50" w:before="156"/>
              <w:rPr>
                <w:kern w:val="0"/>
                <w:sz w:val="24"/>
                <w:lang w:eastAsia="zh-TW"/>
              </w:rPr>
            </w:pPr>
            <w:r w:rsidRPr="00F16A5E">
              <w:rPr>
                <w:bCs/>
                <w:kern w:val="0"/>
                <w:sz w:val="24"/>
                <w:lang w:val="zh-TW" w:eastAsia="zh-TW"/>
              </w:rPr>
              <w:t>v5.0, Jan. 07, 2021</w:t>
            </w:r>
          </w:p>
        </w:tc>
      </w:tr>
      <w:tr w:rsidR="00052558" w:rsidRPr="00F16A5E" w14:paraId="10927357" w14:textId="77777777" w:rsidTr="00B13842">
        <w:trPr>
          <w:trHeight w:val="397"/>
        </w:trPr>
        <w:tc>
          <w:tcPr>
            <w:tcW w:w="2192" w:type="dxa"/>
            <w:shd w:val="clear" w:color="auto" w:fill="auto"/>
          </w:tcPr>
          <w:p w14:paraId="36EA3028" w14:textId="55B0EB28" w:rsidR="00052558" w:rsidRPr="00F16A5E" w:rsidRDefault="00052558" w:rsidP="00DC675A">
            <w:pPr>
              <w:spacing w:beforeLines="50" w:before="156"/>
              <w:rPr>
                <w:b/>
                <w:kern w:val="0"/>
                <w:sz w:val="24"/>
              </w:rPr>
            </w:pPr>
            <w:r w:rsidRPr="00F16A5E">
              <w:rPr>
                <w:b/>
                <w:kern w:val="0"/>
                <w:sz w:val="24"/>
              </w:rPr>
              <w:t>Study Drug</w:t>
            </w:r>
          </w:p>
        </w:tc>
        <w:tc>
          <w:tcPr>
            <w:tcW w:w="6878" w:type="dxa"/>
            <w:shd w:val="clear" w:color="auto" w:fill="auto"/>
            <w:vAlign w:val="center"/>
          </w:tcPr>
          <w:p w14:paraId="51464A05" w14:textId="6092431A" w:rsidR="00052558" w:rsidRPr="00F16A5E" w:rsidRDefault="00152A66" w:rsidP="00DC675A">
            <w:pPr>
              <w:spacing w:beforeLines="50" w:before="156"/>
              <w:rPr>
                <w:kern w:val="0"/>
                <w:sz w:val="24"/>
              </w:rPr>
            </w:pPr>
            <w:r w:rsidRPr="00F16A5E">
              <w:rPr>
                <w:kern w:val="0"/>
                <w:sz w:val="24"/>
              </w:rPr>
              <w:t>Orelabrutinib (ICP-022)</w:t>
            </w:r>
          </w:p>
        </w:tc>
      </w:tr>
    </w:tbl>
    <w:p w14:paraId="5D5F9C0F" w14:textId="77777777" w:rsidR="0001176C" w:rsidRPr="00F16A5E" w:rsidRDefault="0001176C" w:rsidP="004F7984">
      <w:pPr>
        <w:autoSpaceDE w:val="0"/>
        <w:autoSpaceDN w:val="0"/>
        <w:adjustRightInd w:val="0"/>
        <w:spacing w:line="360" w:lineRule="auto"/>
        <w:jc w:val="center"/>
        <w:rPr>
          <w:b/>
          <w:sz w:val="30"/>
          <w:szCs w:val="30"/>
        </w:rPr>
      </w:pPr>
    </w:p>
    <w:p w14:paraId="630C022B" w14:textId="074DE5B9" w:rsidR="00052558" w:rsidRPr="00F16A5E" w:rsidRDefault="00052558" w:rsidP="00052558">
      <w:pPr>
        <w:spacing w:beforeLines="50" w:before="156"/>
        <w:jc w:val="left"/>
        <w:rPr>
          <w:sz w:val="24"/>
        </w:rPr>
      </w:pPr>
      <w:r w:rsidRPr="00F16A5E">
        <w:rPr>
          <w:sz w:val="24"/>
        </w:rPr>
        <w:t>I have read this study protocol and understand that this clinical trial will be conducted in accordance with the moral, ethical and scientific principles stipulated in the Declaration of Helsinki and the Good Clinical Practice. I know that this trial may be required to be terminated or stop enrollment at any time due to certain pre-specified reasons; I may also stop this trial because of the need to protect the rights and interests of subjects. I agree to carry out this clinical trial in accordance with this protocol and related accompanying documents.</w:t>
      </w:r>
    </w:p>
    <w:p w14:paraId="5EBC0F6D" w14:textId="77777777" w:rsidR="00052558" w:rsidRPr="00F16A5E" w:rsidRDefault="00052558" w:rsidP="00052558">
      <w:pPr>
        <w:spacing w:beforeLines="50" w:before="156"/>
        <w:jc w:val="left"/>
        <w:rPr>
          <w:sz w:val="24"/>
        </w:rPr>
      </w:pPr>
      <w:r w:rsidRPr="00F16A5E">
        <w:rPr>
          <w:sz w:val="24"/>
        </w:rPr>
        <w:t>I guarantee that subjects will receive timely and appropriate treatment when adverse events occur during the study. I know the requirements for properly reporting of serious adverse events, and I will record and report these events as required.</w:t>
      </w:r>
    </w:p>
    <w:p w14:paraId="6FA8A056" w14:textId="77777777" w:rsidR="00052558" w:rsidRPr="00F16A5E" w:rsidRDefault="00052558" w:rsidP="00052558">
      <w:pPr>
        <w:spacing w:beforeLines="50" w:before="156"/>
        <w:jc w:val="left"/>
        <w:rPr>
          <w:sz w:val="24"/>
        </w:rPr>
      </w:pPr>
      <w:r w:rsidRPr="00F16A5E">
        <w:rPr>
          <w:sz w:val="24"/>
        </w:rPr>
        <w:t>I guarantee that the data will be accurately, completely, timely and legally included into the case report form.</w:t>
      </w:r>
    </w:p>
    <w:p w14:paraId="0EE24A83" w14:textId="331BF7FB" w:rsidR="0001176C" w:rsidRPr="00F16A5E" w:rsidRDefault="00052558" w:rsidP="00052558">
      <w:pPr>
        <w:spacing w:beforeLines="50" w:before="156"/>
        <w:jc w:val="left"/>
        <w:rPr>
          <w:sz w:val="24"/>
        </w:rPr>
      </w:pPr>
      <w:r w:rsidRPr="00F16A5E">
        <w:rPr>
          <w:sz w:val="24"/>
        </w:rPr>
        <w:t>I will accept audits and inspections by the sponsor's monitors and the regulatory authorities to ensure the quality of the clinical trial.</w:t>
      </w:r>
    </w:p>
    <w:p w14:paraId="1A512FBA" w14:textId="77777777" w:rsidR="0001176C" w:rsidRPr="00F16A5E" w:rsidRDefault="0001176C" w:rsidP="004F7984">
      <w:pPr>
        <w:spacing w:line="360" w:lineRule="auto"/>
        <w:jc w:val="center"/>
        <w:rPr>
          <w:sz w:val="24"/>
        </w:rPr>
      </w:pPr>
    </w:p>
    <w:tbl>
      <w:tblPr>
        <w:tblW w:w="5000" w:type="pct"/>
        <w:tblLayout w:type="fixed"/>
        <w:tblCellMar>
          <w:left w:w="60" w:type="dxa"/>
          <w:right w:w="60" w:type="dxa"/>
        </w:tblCellMar>
        <w:tblLook w:val="0000" w:firstRow="0" w:lastRow="0" w:firstColumn="0" w:lastColumn="0" w:noHBand="0" w:noVBand="0"/>
      </w:tblPr>
      <w:tblGrid>
        <w:gridCol w:w="4606"/>
        <w:gridCol w:w="969"/>
        <w:gridCol w:w="3495"/>
      </w:tblGrid>
      <w:tr w:rsidR="0001176C" w:rsidRPr="00F16A5E" w14:paraId="6664CEE9" w14:textId="77777777" w:rsidTr="004F7984">
        <w:trPr>
          <w:cantSplit/>
          <w:trHeight w:val="515"/>
        </w:trPr>
        <w:tc>
          <w:tcPr>
            <w:tcW w:w="4961" w:type="dxa"/>
            <w:tcBorders>
              <w:bottom w:val="single" w:sz="4" w:space="0" w:color="auto"/>
            </w:tcBorders>
            <w:vAlign w:val="center"/>
          </w:tcPr>
          <w:p w14:paraId="37A0A586" w14:textId="50DD0F0C" w:rsidR="0001176C" w:rsidRPr="00F16A5E" w:rsidRDefault="00052558" w:rsidP="004F7984">
            <w:pPr>
              <w:pStyle w:val="Paragraph"/>
              <w:spacing w:beforeLines="50" w:before="156" w:afterLines="50" w:after="156" w:line="240" w:lineRule="auto"/>
              <w:rPr>
                <w:rFonts w:ascii="Times New Roman" w:hAnsi="Times New Roman"/>
                <w:sz w:val="24"/>
              </w:rPr>
            </w:pPr>
            <w:r w:rsidRPr="00F16A5E">
              <w:rPr>
                <w:rFonts w:ascii="Times New Roman" w:hAnsi="Times New Roman"/>
                <w:sz w:val="24"/>
              </w:rPr>
              <w:t>Investigator:</w:t>
            </w:r>
          </w:p>
          <w:p w14:paraId="28FACCF0" w14:textId="77777777" w:rsidR="0001176C" w:rsidRPr="00F16A5E" w:rsidRDefault="0001176C" w:rsidP="004F7984">
            <w:pPr>
              <w:pStyle w:val="Paragraph"/>
              <w:spacing w:beforeLines="50" w:before="156" w:afterLines="50" w:after="156" w:line="240" w:lineRule="auto"/>
              <w:rPr>
                <w:rFonts w:ascii="Times New Roman" w:hAnsi="Times New Roman"/>
                <w:sz w:val="24"/>
              </w:rPr>
            </w:pPr>
          </w:p>
        </w:tc>
        <w:tc>
          <w:tcPr>
            <w:tcW w:w="1035" w:type="dxa"/>
          </w:tcPr>
          <w:p w14:paraId="3894E310" w14:textId="77777777" w:rsidR="0001176C" w:rsidRPr="00F16A5E" w:rsidRDefault="0001176C" w:rsidP="004F7984">
            <w:pPr>
              <w:pStyle w:val="Paragraph"/>
              <w:spacing w:beforeLines="50" w:before="156" w:afterLines="50" w:after="156" w:line="240" w:lineRule="auto"/>
              <w:rPr>
                <w:rFonts w:ascii="Times New Roman" w:hAnsi="Times New Roman"/>
                <w:bCs/>
                <w:sz w:val="24"/>
              </w:rPr>
            </w:pPr>
          </w:p>
        </w:tc>
        <w:tc>
          <w:tcPr>
            <w:tcW w:w="3761" w:type="dxa"/>
            <w:tcBorders>
              <w:bottom w:val="single" w:sz="4" w:space="0" w:color="auto"/>
            </w:tcBorders>
          </w:tcPr>
          <w:p w14:paraId="42D7A86A" w14:textId="608E3E5F" w:rsidR="0001176C" w:rsidRPr="00F16A5E" w:rsidRDefault="00052558" w:rsidP="004F7984">
            <w:pPr>
              <w:pStyle w:val="Paragraph"/>
              <w:spacing w:beforeLines="50" w:before="156" w:afterLines="50" w:after="156" w:line="240" w:lineRule="auto"/>
              <w:rPr>
                <w:rFonts w:ascii="Times New Roman" w:hAnsi="Times New Roman"/>
                <w:bCs/>
                <w:sz w:val="24"/>
              </w:rPr>
            </w:pPr>
            <w:r w:rsidRPr="00F16A5E">
              <w:rPr>
                <w:rFonts w:ascii="Times New Roman" w:hAnsi="Times New Roman"/>
                <w:bCs/>
                <w:sz w:val="24"/>
              </w:rPr>
              <w:t>Date</w:t>
            </w:r>
          </w:p>
        </w:tc>
      </w:tr>
      <w:tr w:rsidR="0001176C" w:rsidRPr="00F16A5E" w14:paraId="16A7F136" w14:textId="77777777" w:rsidTr="004F7984">
        <w:trPr>
          <w:cantSplit/>
          <w:trHeight w:val="515"/>
        </w:trPr>
        <w:tc>
          <w:tcPr>
            <w:tcW w:w="4961" w:type="dxa"/>
            <w:tcBorders>
              <w:top w:val="single" w:sz="4" w:space="0" w:color="auto"/>
              <w:bottom w:val="single" w:sz="4" w:space="0" w:color="auto"/>
            </w:tcBorders>
            <w:vAlign w:val="center"/>
          </w:tcPr>
          <w:p w14:paraId="4462A9C5" w14:textId="23C41AE9" w:rsidR="0001176C" w:rsidRPr="00F16A5E" w:rsidRDefault="00052558" w:rsidP="004F7984">
            <w:pPr>
              <w:pStyle w:val="Paragraph"/>
              <w:spacing w:beforeLines="50" w:before="156" w:afterLines="50" w:after="156" w:line="240" w:lineRule="auto"/>
              <w:rPr>
                <w:rFonts w:ascii="Times New Roman" w:hAnsi="Times New Roman"/>
                <w:sz w:val="24"/>
              </w:rPr>
            </w:pPr>
            <w:r w:rsidRPr="00F16A5E">
              <w:rPr>
                <w:rFonts w:ascii="Times New Roman" w:hAnsi="Times New Roman"/>
                <w:sz w:val="24"/>
              </w:rPr>
              <w:t>Study Center:</w:t>
            </w:r>
          </w:p>
          <w:p w14:paraId="1817BE57" w14:textId="77777777" w:rsidR="0001176C" w:rsidRPr="00F16A5E" w:rsidRDefault="0001176C" w:rsidP="004F7984">
            <w:pPr>
              <w:pStyle w:val="Paragraph"/>
              <w:spacing w:beforeLines="50" w:before="156" w:afterLines="50" w:after="156" w:line="240" w:lineRule="auto"/>
              <w:rPr>
                <w:rFonts w:ascii="Times New Roman" w:hAnsi="Times New Roman"/>
                <w:sz w:val="24"/>
              </w:rPr>
            </w:pPr>
          </w:p>
        </w:tc>
        <w:tc>
          <w:tcPr>
            <w:tcW w:w="1035" w:type="dxa"/>
          </w:tcPr>
          <w:p w14:paraId="61EDC5ED" w14:textId="77777777" w:rsidR="0001176C" w:rsidRPr="00F16A5E" w:rsidRDefault="0001176C" w:rsidP="004F7984">
            <w:pPr>
              <w:pStyle w:val="Paragraph"/>
              <w:spacing w:beforeLines="50" w:before="156" w:afterLines="50" w:after="156" w:line="240" w:lineRule="auto"/>
              <w:rPr>
                <w:rFonts w:ascii="Times New Roman" w:hAnsi="Times New Roman"/>
                <w:bCs/>
                <w:sz w:val="24"/>
              </w:rPr>
            </w:pPr>
          </w:p>
        </w:tc>
        <w:tc>
          <w:tcPr>
            <w:tcW w:w="3761" w:type="dxa"/>
            <w:tcBorders>
              <w:top w:val="single" w:sz="4" w:space="0" w:color="auto"/>
            </w:tcBorders>
          </w:tcPr>
          <w:p w14:paraId="79CF0962" w14:textId="77777777" w:rsidR="0001176C" w:rsidRPr="00F16A5E" w:rsidRDefault="0001176C" w:rsidP="004F7984">
            <w:pPr>
              <w:pStyle w:val="Paragraph"/>
              <w:spacing w:beforeLines="50" w:before="156" w:afterLines="50" w:after="156" w:line="240" w:lineRule="auto"/>
              <w:rPr>
                <w:rFonts w:ascii="Times New Roman" w:hAnsi="Times New Roman"/>
                <w:bCs/>
                <w:sz w:val="24"/>
              </w:rPr>
            </w:pPr>
          </w:p>
        </w:tc>
      </w:tr>
    </w:tbl>
    <w:p w14:paraId="43DD5ACA" w14:textId="77777777" w:rsidR="0001176C" w:rsidRPr="00F16A5E" w:rsidRDefault="0001176C" w:rsidP="004F7984">
      <w:pPr>
        <w:autoSpaceDE w:val="0"/>
        <w:autoSpaceDN w:val="0"/>
        <w:adjustRightInd w:val="0"/>
        <w:spacing w:line="360" w:lineRule="auto"/>
        <w:rPr>
          <w:sz w:val="24"/>
          <w:szCs w:val="22"/>
        </w:rPr>
      </w:pPr>
    </w:p>
    <w:p w14:paraId="1DF0DDBD" w14:textId="12C64DB0" w:rsidR="0001176C" w:rsidRPr="00F16A5E" w:rsidRDefault="00052558" w:rsidP="004F7984">
      <w:pPr>
        <w:pStyle w:val="1"/>
        <w:keepNext w:val="0"/>
        <w:pageBreakBefore/>
        <w:spacing w:beforeLines="0" w:before="120" w:line="360" w:lineRule="auto"/>
        <w:jc w:val="both"/>
        <w:rPr>
          <w:rFonts w:eastAsia="宋体"/>
          <w:szCs w:val="28"/>
          <w:lang w:eastAsia="zh-CN"/>
        </w:rPr>
      </w:pPr>
      <w:bookmarkStart w:id="3" w:name="_Toc71149128"/>
      <w:r w:rsidRPr="00F16A5E">
        <w:rPr>
          <w:rFonts w:eastAsia="宋体"/>
          <w:szCs w:val="28"/>
          <w:lang w:eastAsia="zh-CN"/>
        </w:rPr>
        <w:lastRenderedPageBreak/>
        <w:t>Statement of Compliance</w:t>
      </w:r>
      <w:bookmarkEnd w:id="3"/>
    </w:p>
    <w:p w14:paraId="54CFF0C6" w14:textId="03D608FC" w:rsidR="00052558" w:rsidRPr="00F16A5E" w:rsidRDefault="00052558" w:rsidP="00052558">
      <w:pPr>
        <w:snapToGrid w:val="0"/>
        <w:spacing w:beforeLines="50" w:before="156" w:line="300" w:lineRule="auto"/>
        <w:rPr>
          <w:sz w:val="24"/>
        </w:rPr>
      </w:pPr>
      <w:r w:rsidRPr="00F16A5E">
        <w:rPr>
          <w:sz w:val="24"/>
        </w:rPr>
        <w:t xml:space="preserve">This clinical trial will follow the </w:t>
      </w:r>
      <w:r w:rsidR="00F45018" w:rsidRPr="00F16A5E">
        <w:rPr>
          <w:sz w:val="24"/>
        </w:rPr>
        <w:t xml:space="preserve">China’s </w:t>
      </w:r>
      <w:r w:rsidRPr="00F16A5E">
        <w:rPr>
          <w:i/>
          <w:iCs/>
          <w:sz w:val="24"/>
        </w:rPr>
        <w:t>Good Clinical Practice</w:t>
      </w:r>
      <w:r w:rsidRPr="00F16A5E">
        <w:rPr>
          <w:sz w:val="24"/>
        </w:rPr>
        <w:t xml:space="preserve"> (GCP), the </w:t>
      </w:r>
      <w:r w:rsidR="00BF2D0D" w:rsidRPr="00F16A5E">
        <w:rPr>
          <w:sz w:val="24"/>
        </w:rPr>
        <w:t>GCP</w:t>
      </w:r>
      <w:r w:rsidR="00F45018" w:rsidRPr="00F16A5E">
        <w:rPr>
          <w:sz w:val="24"/>
        </w:rPr>
        <w:t xml:space="preserve"> by the </w:t>
      </w:r>
      <w:r w:rsidRPr="00F16A5E">
        <w:rPr>
          <w:sz w:val="24"/>
        </w:rPr>
        <w:t>International Conference on Harmonization of Technical Requirements for Registration of Pharmaceuticals for Human Use (ICH-GCP)</w:t>
      </w:r>
      <w:r w:rsidR="00F45018" w:rsidRPr="00F16A5E">
        <w:rPr>
          <w:sz w:val="24"/>
        </w:rPr>
        <w:t>,</w:t>
      </w:r>
      <w:r w:rsidRPr="00F16A5E">
        <w:rPr>
          <w:sz w:val="24"/>
        </w:rPr>
        <w:t xml:space="preserve"> and applicable regulations and guidelines (</w:t>
      </w:r>
      <w:r w:rsidRPr="00F16A5E">
        <w:rPr>
          <w:i/>
          <w:iCs/>
          <w:sz w:val="24"/>
        </w:rPr>
        <w:t>Drug Administration Law of the People's Republic of China</w:t>
      </w:r>
      <w:r w:rsidRPr="00F16A5E">
        <w:rPr>
          <w:sz w:val="24"/>
        </w:rPr>
        <w:t xml:space="preserve">, </w:t>
      </w:r>
      <w:r w:rsidRPr="00F16A5E">
        <w:rPr>
          <w:i/>
          <w:iCs/>
          <w:sz w:val="24"/>
        </w:rPr>
        <w:t>Administrative Measures for Drug Registration</w:t>
      </w:r>
      <w:r w:rsidRPr="00F16A5E">
        <w:rPr>
          <w:sz w:val="24"/>
        </w:rPr>
        <w:t xml:space="preserve">, </w:t>
      </w:r>
      <w:r w:rsidRPr="00F16A5E">
        <w:rPr>
          <w:i/>
          <w:iCs/>
          <w:sz w:val="24"/>
        </w:rPr>
        <w:t>Technical Guidelines for Clinical Pharmacokinetic Study of Chemical Drugs</w:t>
      </w:r>
      <w:r w:rsidRPr="00F16A5E">
        <w:rPr>
          <w:sz w:val="24"/>
        </w:rPr>
        <w:t>, etc.). Investigators ensure that they will not violate or change the protocol before obtaining the approval from the sponsor and the ethics committee, except in the case of avoiding direct harm to the subjects.</w:t>
      </w:r>
    </w:p>
    <w:p w14:paraId="27DF6AC1" w14:textId="3D267A04" w:rsidR="00411415" w:rsidRPr="00F16A5E" w:rsidRDefault="00052558" w:rsidP="00052558">
      <w:pPr>
        <w:snapToGrid w:val="0"/>
        <w:spacing w:beforeLines="50" w:before="156" w:line="300" w:lineRule="auto"/>
        <w:rPr>
          <w:sz w:val="24"/>
        </w:rPr>
      </w:pPr>
      <w:r w:rsidRPr="00F16A5E">
        <w:rPr>
          <w:sz w:val="24"/>
        </w:rPr>
        <w:t xml:space="preserve">The study protocol, informed consent form, recruitment materials and related materials will be submitted to the ethics committee for approval before implementation. The approval of the ethics committee must be obtained before enrolling subjects. All amendments must be reviewed and approved by the ethics committee before implementation. All changes to the informed consent form need to be approved by the ethics committee; at the same time, it should be determined whether subjects </w:t>
      </w:r>
      <w:r w:rsidR="00411415" w:rsidRPr="00F16A5E">
        <w:rPr>
          <w:sz w:val="24"/>
        </w:rPr>
        <w:t>need to re-sign the informed consent form.</w:t>
      </w:r>
    </w:p>
    <w:p w14:paraId="3B47D943" w14:textId="77777777" w:rsidR="00052558" w:rsidRPr="00F16A5E" w:rsidRDefault="00052558" w:rsidP="00411415">
      <w:pPr>
        <w:snapToGrid w:val="0"/>
        <w:spacing w:line="360" w:lineRule="auto"/>
        <w:rPr>
          <w:sz w:val="24"/>
        </w:rPr>
      </w:pPr>
    </w:p>
    <w:p w14:paraId="54192B93" w14:textId="68C57E01" w:rsidR="0001176C" w:rsidRPr="00F16A5E" w:rsidRDefault="006F7954" w:rsidP="004F7984">
      <w:pPr>
        <w:pStyle w:val="1"/>
        <w:pageBreakBefore/>
        <w:spacing w:beforeLines="0" w:before="120" w:line="360" w:lineRule="auto"/>
        <w:jc w:val="both"/>
        <w:rPr>
          <w:rFonts w:eastAsia="宋体"/>
          <w:szCs w:val="28"/>
          <w:lang w:eastAsia="zh-CN"/>
        </w:rPr>
      </w:pPr>
      <w:bookmarkStart w:id="4" w:name="_Toc71149129"/>
      <w:r w:rsidRPr="00F16A5E">
        <w:rPr>
          <w:rFonts w:eastAsia="宋体"/>
          <w:szCs w:val="28"/>
          <w:lang w:eastAsia="zh-CN"/>
        </w:rPr>
        <w:lastRenderedPageBreak/>
        <w:t>Synopsis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7070"/>
      </w:tblGrid>
      <w:tr w:rsidR="0001176C" w:rsidRPr="00F16A5E" w14:paraId="2B7C209C"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hideMark/>
          </w:tcPr>
          <w:p w14:paraId="64A98BDA" w14:textId="7AEAE3CD" w:rsidR="0001176C" w:rsidRPr="00F16A5E" w:rsidRDefault="006F7954" w:rsidP="00BD1557">
            <w:pPr>
              <w:spacing w:beforeLines="50" w:before="156"/>
              <w:rPr>
                <w:b/>
                <w:szCs w:val="21"/>
              </w:rPr>
            </w:pPr>
            <w:r w:rsidRPr="00F16A5E">
              <w:rPr>
                <w:b/>
                <w:szCs w:val="21"/>
              </w:rPr>
              <w:t>Study Title</w:t>
            </w:r>
          </w:p>
        </w:tc>
        <w:tc>
          <w:tcPr>
            <w:tcW w:w="4184" w:type="pct"/>
            <w:tcBorders>
              <w:top w:val="single" w:sz="4" w:space="0" w:color="auto"/>
              <w:left w:val="single" w:sz="4" w:space="0" w:color="auto"/>
              <w:bottom w:val="single" w:sz="4" w:space="0" w:color="auto"/>
              <w:right w:val="single" w:sz="4" w:space="0" w:color="auto"/>
            </w:tcBorders>
            <w:vAlign w:val="center"/>
            <w:hideMark/>
          </w:tcPr>
          <w:p w14:paraId="57672826" w14:textId="08E423BC" w:rsidR="0001176C" w:rsidRPr="00F16A5E" w:rsidRDefault="006F7954" w:rsidP="00BD1557">
            <w:pPr>
              <w:keepLines/>
              <w:widowControl/>
              <w:spacing w:beforeLines="50" w:before="156"/>
              <w:rPr>
                <w:szCs w:val="21"/>
              </w:rPr>
            </w:pPr>
            <w:r w:rsidRPr="00F16A5E">
              <w:rPr>
                <w:szCs w:val="21"/>
              </w:rPr>
              <w:t xml:space="preserve">A Phase </w:t>
            </w:r>
            <w:proofErr w:type="spellStart"/>
            <w:r w:rsidRPr="00F16A5E">
              <w:rPr>
                <w:szCs w:val="21"/>
              </w:rPr>
              <w:t>Ib</w:t>
            </w:r>
            <w:proofErr w:type="spellEnd"/>
            <w:r w:rsidRPr="00F16A5E">
              <w:rPr>
                <w:szCs w:val="21"/>
              </w:rPr>
              <w:t>/</w:t>
            </w:r>
            <w:proofErr w:type="spellStart"/>
            <w:r w:rsidRPr="00F16A5E">
              <w:rPr>
                <w:szCs w:val="21"/>
              </w:rPr>
              <w:t>IIa</w:t>
            </w:r>
            <w:proofErr w:type="spellEnd"/>
            <w:r w:rsidRPr="00F16A5E">
              <w:rPr>
                <w:szCs w:val="21"/>
              </w:rPr>
              <w:t>, Randomized, Double-Blind, Placebo-Controlled, Dose-finding Study to Evaluate the Safety, Tolerability, Pharmacokinetics (PK), Pharmacodynamics (PD) and PK/PD Relationship of ICP-022 in Patients with Mild-Moderate Systemic Lupus Erythematosus</w:t>
            </w:r>
          </w:p>
        </w:tc>
      </w:tr>
      <w:tr w:rsidR="0001176C" w:rsidRPr="00F16A5E" w14:paraId="4683B8E7"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53FBBC3D" w14:textId="2E51183E" w:rsidR="0001176C" w:rsidRPr="00F16A5E" w:rsidRDefault="006F7954" w:rsidP="00BD1557">
            <w:pPr>
              <w:spacing w:beforeLines="50" w:before="156"/>
              <w:rPr>
                <w:b/>
                <w:szCs w:val="21"/>
              </w:rPr>
            </w:pPr>
            <w:r w:rsidRPr="00F16A5E">
              <w:rPr>
                <w:b/>
                <w:szCs w:val="21"/>
              </w:rPr>
              <w:t>Study No.</w:t>
            </w:r>
          </w:p>
        </w:tc>
        <w:tc>
          <w:tcPr>
            <w:tcW w:w="4184" w:type="pct"/>
            <w:tcBorders>
              <w:top w:val="single" w:sz="4" w:space="0" w:color="auto"/>
              <w:left w:val="single" w:sz="4" w:space="0" w:color="auto"/>
              <w:bottom w:val="single" w:sz="4" w:space="0" w:color="auto"/>
              <w:right w:val="single" w:sz="4" w:space="0" w:color="auto"/>
            </w:tcBorders>
            <w:vAlign w:val="center"/>
          </w:tcPr>
          <w:p w14:paraId="7B715982" w14:textId="77777777" w:rsidR="0001176C" w:rsidRPr="00F16A5E" w:rsidRDefault="0001176C" w:rsidP="00BD1557">
            <w:pPr>
              <w:keepLines/>
              <w:widowControl/>
              <w:spacing w:beforeLines="50" w:before="156"/>
              <w:rPr>
                <w:szCs w:val="21"/>
              </w:rPr>
            </w:pPr>
            <w:r w:rsidRPr="00F16A5E">
              <w:rPr>
                <w:szCs w:val="21"/>
              </w:rPr>
              <w:t>ICP-CL-00109</w:t>
            </w:r>
          </w:p>
        </w:tc>
      </w:tr>
      <w:tr w:rsidR="0001176C" w:rsidRPr="00F16A5E" w14:paraId="06EC47F9"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46594651" w14:textId="0FDCB454" w:rsidR="0001176C" w:rsidRPr="00F16A5E" w:rsidRDefault="006F7954" w:rsidP="00BD1557">
            <w:pPr>
              <w:spacing w:beforeLines="50" w:before="156"/>
              <w:rPr>
                <w:b/>
                <w:szCs w:val="21"/>
              </w:rPr>
            </w:pPr>
            <w:r w:rsidRPr="00F16A5E">
              <w:rPr>
                <w:b/>
                <w:szCs w:val="21"/>
              </w:rPr>
              <w:t>Version</w:t>
            </w:r>
          </w:p>
        </w:tc>
        <w:tc>
          <w:tcPr>
            <w:tcW w:w="4184" w:type="pct"/>
            <w:tcBorders>
              <w:top w:val="single" w:sz="4" w:space="0" w:color="auto"/>
              <w:left w:val="single" w:sz="4" w:space="0" w:color="auto"/>
              <w:bottom w:val="single" w:sz="4" w:space="0" w:color="auto"/>
              <w:right w:val="single" w:sz="4" w:space="0" w:color="auto"/>
            </w:tcBorders>
            <w:vAlign w:val="center"/>
          </w:tcPr>
          <w:p w14:paraId="69EB6771" w14:textId="47A98007" w:rsidR="0001176C" w:rsidRPr="00F16A5E" w:rsidRDefault="006F7954" w:rsidP="00BD1557">
            <w:pPr>
              <w:keepLines/>
              <w:widowControl/>
              <w:spacing w:beforeLines="50" w:before="156"/>
              <w:rPr>
                <w:szCs w:val="21"/>
              </w:rPr>
            </w:pPr>
            <w:r w:rsidRPr="00F16A5E">
              <w:rPr>
                <w:bCs/>
                <w:kern w:val="0"/>
                <w:szCs w:val="21"/>
                <w:lang w:val="zh-TW" w:eastAsia="zh-TW"/>
              </w:rPr>
              <w:t>V5.0, Jan 7, 2021</w:t>
            </w:r>
          </w:p>
        </w:tc>
      </w:tr>
      <w:tr w:rsidR="0001176C" w:rsidRPr="00F16A5E" w14:paraId="6A245564"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3191E0D8" w14:textId="63879B84" w:rsidR="0001176C" w:rsidRPr="00F16A5E" w:rsidRDefault="006F7954" w:rsidP="00BD1557">
            <w:pPr>
              <w:spacing w:beforeLines="50" w:before="156"/>
              <w:rPr>
                <w:b/>
                <w:szCs w:val="21"/>
              </w:rPr>
            </w:pPr>
            <w:r w:rsidRPr="00F16A5E">
              <w:rPr>
                <w:b/>
                <w:szCs w:val="21"/>
              </w:rPr>
              <w:t>Sponsor</w:t>
            </w:r>
          </w:p>
        </w:tc>
        <w:tc>
          <w:tcPr>
            <w:tcW w:w="4184" w:type="pct"/>
            <w:tcBorders>
              <w:top w:val="single" w:sz="4" w:space="0" w:color="auto"/>
              <w:left w:val="single" w:sz="4" w:space="0" w:color="auto"/>
              <w:bottom w:val="single" w:sz="4" w:space="0" w:color="auto"/>
              <w:right w:val="single" w:sz="4" w:space="0" w:color="auto"/>
            </w:tcBorders>
            <w:vAlign w:val="center"/>
          </w:tcPr>
          <w:p w14:paraId="446B7996" w14:textId="5FDC875A" w:rsidR="0001176C" w:rsidRPr="00F16A5E" w:rsidRDefault="006F7954" w:rsidP="00BD1557">
            <w:pPr>
              <w:keepLines/>
              <w:widowControl/>
              <w:spacing w:beforeLines="50" w:before="156"/>
              <w:rPr>
                <w:szCs w:val="21"/>
              </w:rPr>
            </w:pPr>
            <w:r w:rsidRPr="00F16A5E">
              <w:rPr>
                <w:szCs w:val="21"/>
              </w:rPr>
              <w:t>Beijing InnoCare Pharma Tech. Co.</w:t>
            </w:r>
            <w:r w:rsidR="003347E5" w:rsidRPr="00F16A5E">
              <w:rPr>
                <w:szCs w:val="21"/>
              </w:rPr>
              <w:t xml:space="preserve"> </w:t>
            </w:r>
            <w:r w:rsidRPr="00F16A5E">
              <w:rPr>
                <w:szCs w:val="21"/>
              </w:rPr>
              <w:t>Ltd</w:t>
            </w:r>
            <w:r w:rsidR="003347E5" w:rsidRPr="00F16A5E">
              <w:rPr>
                <w:szCs w:val="21"/>
              </w:rPr>
              <w:t>.</w:t>
            </w:r>
          </w:p>
        </w:tc>
      </w:tr>
      <w:tr w:rsidR="0001176C" w:rsidRPr="00F16A5E" w14:paraId="423A82E8"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0EECDEBC" w14:textId="22755ED7" w:rsidR="0001176C" w:rsidRPr="00F16A5E" w:rsidRDefault="006F7954" w:rsidP="00BD1557">
            <w:pPr>
              <w:spacing w:beforeLines="50" w:before="156"/>
              <w:rPr>
                <w:b/>
                <w:szCs w:val="21"/>
              </w:rPr>
            </w:pPr>
            <w:r w:rsidRPr="00F16A5E">
              <w:rPr>
                <w:b/>
                <w:szCs w:val="21"/>
              </w:rPr>
              <w:t>Phase</w:t>
            </w:r>
          </w:p>
        </w:tc>
        <w:tc>
          <w:tcPr>
            <w:tcW w:w="4184" w:type="pct"/>
            <w:tcBorders>
              <w:top w:val="single" w:sz="4" w:space="0" w:color="auto"/>
              <w:left w:val="single" w:sz="4" w:space="0" w:color="auto"/>
              <w:bottom w:val="single" w:sz="4" w:space="0" w:color="auto"/>
              <w:right w:val="single" w:sz="4" w:space="0" w:color="auto"/>
            </w:tcBorders>
            <w:vAlign w:val="center"/>
          </w:tcPr>
          <w:p w14:paraId="30297A03" w14:textId="662E1495" w:rsidR="0001176C" w:rsidRPr="00F16A5E" w:rsidRDefault="006F7954" w:rsidP="00BD1557">
            <w:pPr>
              <w:keepLines/>
              <w:widowControl/>
              <w:spacing w:beforeLines="50" w:before="156"/>
              <w:rPr>
                <w:szCs w:val="21"/>
              </w:rPr>
            </w:pPr>
            <w:r w:rsidRPr="00F16A5E">
              <w:rPr>
                <w:szCs w:val="21"/>
              </w:rPr>
              <w:t xml:space="preserve">Phase </w:t>
            </w:r>
            <w:proofErr w:type="spellStart"/>
            <w:r w:rsidR="00F52DFE" w:rsidRPr="00F16A5E">
              <w:rPr>
                <w:szCs w:val="21"/>
              </w:rPr>
              <w:t>Ib</w:t>
            </w:r>
            <w:proofErr w:type="spellEnd"/>
            <w:r w:rsidR="00F52DFE" w:rsidRPr="00F16A5E">
              <w:rPr>
                <w:szCs w:val="21"/>
              </w:rPr>
              <w:t>/</w:t>
            </w:r>
            <w:proofErr w:type="spellStart"/>
            <w:r w:rsidR="00F52DFE" w:rsidRPr="00F16A5E">
              <w:rPr>
                <w:szCs w:val="21"/>
              </w:rPr>
              <w:t>Ⅱa</w:t>
            </w:r>
            <w:proofErr w:type="spellEnd"/>
          </w:p>
        </w:tc>
      </w:tr>
      <w:tr w:rsidR="0001176C" w:rsidRPr="00F16A5E" w14:paraId="42291A6A"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59BCD280" w14:textId="267097D6" w:rsidR="0001176C" w:rsidRPr="00F16A5E" w:rsidRDefault="006F7954" w:rsidP="00BD1557">
            <w:pPr>
              <w:spacing w:beforeLines="50" w:before="156"/>
              <w:rPr>
                <w:b/>
                <w:szCs w:val="21"/>
              </w:rPr>
            </w:pPr>
            <w:r w:rsidRPr="00F16A5E">
              <w:rPr>
                <w:b/>
                <w:szCs w:val="21"/>
              </w:rPr>
              <w:t>Study center(s)</w:t>
            </w:r>
          </w:p>
        </w:tc>
        <w:tc>
          <w:tcPr>
            <w:tcW w:w="4184" w:type="pct"/>
            <w:tcBorders>
              <w:top w:val="single" w:sz="4" w:space="0" w:color="auto"/>
              <w:left w:val="single" w:sz="4" w:space="0" w:color="auto"/>
              <w:bottom w:val="single" w:sz="4" w:space="0" w:color="auto"/>
              <w:right w:val="single" w:sz="4" w:space="0" w:color="auto"/>
            </w:tcBorders>
            <w:vAlign w:val="center"/>
          </w:tcPr>
          <w:p w14:paraId="3BE458A2" w14:textId="289E2D19" w:rsidR="0001176C" w:rsidRPr="00F16A5E" w:rsidRDefault="006F7954" w:rsidP="00BD1557">
            <w:pPr>
              <w:keepLines/>
              <w:widowControl/>
              <w:spacing w:beforeLines="50" w:before="156"/>
              <w:rPr>
                <w:szCs w:val="21"/>
              </w:rPr>
            </w:pPr>
            <w:r w:rsidRPr="00F16A5E">
              <w:rPr>
                <w:szCs w:val="21"/>
              </w:rPr>
              <w:t>Multi-center</w:t>
            </w:r>
          </w:p>
        </w:tc>
      </w:tr>
      <w:tr w:rsidR="0001176C" w:rsidRPr="00F16A5E" w14:paraId="2E0333B9"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3DE72D00" w14:textId="4A01DC98" w:rsidR="0001176C" w:rsidRPr="00F16A5E" w:rsidRDefault="006F7954" w:rsidP="00BD1557">
            <w:pPr>
              <w:spacing w:beforeLines="50" w:before="156"/>
              <w:rPr>
                <w:b/>
                <w:szCs w:val="21"/>
              </w:rPr>
            </w:pPr>
            <w:r w:rsidRPr="00F16A5E">
              <w:rPr>
                <w:b/>
                <w:szCs w:val="21"/>
              </w:rPr>
              <w:t>Indication</w:t>
            </w:r>
          </w:p>
        </w:tc>
        <w:tc>
          <w:tcPr>
            <w:tcW w:w="4184" w:type="pct"/>
            <w:tcBorders>
              <w:top w:val="single" w:sz="4" w:space="0" w:color="auto"/>
              <w:left w:val="single" w:sz="4" w:space="0" w:color="auto"/>
              <w:bottom w:val="single" w:sz="4" w:space="0" w:color="auto"/>
              <w:right w:val="single" w:sz="4" w:space="0" w:color="auto"/>
            </w:tcBorders>
            <w:vAlign w:val="center"/>
          </w:tcPr>
          <w:p w14:paraId="68B62054" w14:textId="52E8FA00" w:rsidR="0001176C" w:rsidRPr="00F16A5E" w:rsidRDefault="006F7954" w:rsidP="00BD1557">
            <w:pPr>
              <w:keepLines/>
              <w:widowControl/>
              <w:spacing w:beforeLines="50" w:before="156"/>
              <w:rPr>
                <w:szCs w:val="21"/>
              </w:rPr>
            </w:pPr>
            <w:r w:rsidRPr="00F16A5E">
              <w:rPr>
                <w:szCs w:val="21"/>
              </w:rPr>
              <w:t>Systemic Lupus Erythematosus (SLE)</w:t>
            </w:r>
          </w:p>
        </w:tc>
      </w:tr>
      <w:tr w:rsidR="0001176C" w:rsidRPr="00F16A5E" w14:paraId="6B9A492A"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4BE407B0" w14:textId="6625256B" w:rsidR="0001176C" w:rsidRPr="00F16A5E" w:rsidRDefault="00AE6F3B" w:rsidP="00BD1557">
            <w:pPr>
              <w:spacing w:beforeLines="50" w:before="156"/>
              <w:rPr>
                <w:b/>
                <w:szCs w:val="21"/>
              </w:rPr>
            </w:pPr>
            <w:r w:rsidRPr="00F16A5E">
              <w:rPr>
                <w:b/>
                <w:szCs w:val="21"/>
              </w:rPr>
              <w:t>Investigational drug</w:t>
            </w:r>
            <w:r w:rsidR="00152A66" w:rsidRPr="00F16A5E">
              <w:rPr>
                <w:b/>
                <w:szCs w:val="21"/>
              </w:rPr>
              <w:t>s</w:t>
            </w:r>
          </w:p>
        </w:tc>
        <w:tc>
          <w:tcPr>
            <w:tcW w:w="4184" w:type="pct"/>
            <w:tcBorders>
              <w:top w:val="single" w:sz="4" w:space="0" w:color="auto"/>
              <w:left w:val="single" w:sz="4" w:space="0" w:color="auto"/>
              <w:bottom w:val="single" w:sz="4" w:space="0" w:color="auto"/>
              <w:right w:val="single" w:sz="4" w:space="0" w:color="auto"/>
            </w:tcBorders>
            <w:vAlign w:val="center"/>
          </w:tcPr>
          <w:p w14:paraId="0607CFB8" w14:textId="4F7DFEDB" w:rsidR="0001176C" w:rsidRPr="00F16A5E" w:rsidRDefault="006F7954" w:rsidP="00BD1557">
            <w:pPr>
              <w:keepLines/>
              <w:widowControl/>
              <w:spacing w:beforeLines="50" w:before="156"/>
              <w:rPr>
                <w:spacing w:val="-6"/>
                <w:kern w:val="0"/>
                <w:szCs w:val="21"/>
              </w:rPr>
            </w:pPr>
            <w:r w:rsidRPr="00F16A5E">
              <w:rPr>
                <w:spacing w:val="-6"/>
                <w:kern w:val="0"/>
                <w:szCs w:val="21"/>
              </w:rPr>
              <w:t>Bruton’s Tyrosine Kinase (BTK) inhibitor</w:t>
            </w:r>
          </w:p>
          <w:p w14:paraId="5BA4CCF2" w14:textId="77777777" w:rsidR="006F7954" w:rsidRPr="00F16A5E" w:rsidRDefault="006F7954" w:rsidP="00BD1557">
            <w:pPr>
              <w:keepLines/>
              <w:widowControl/>
              <w:spacing w:before="50"/>
              <w:rPr>
                <w:szCs w:val="21"/>
              </w:rPr>
            </w:pPr>
            <w:r w:rsidRPr="00F16A5E">
              <w:rPr>
                <w:b/>
                <w:bCs/>
                <w:szCs w:val="21"/>
              </w:rPr>
              <w:t>Study Drug:</w:t>
            </w:r>
            <w:r w:rsidRPr="00F16A5E">
              <w:rPr>
                <w:szCs w:val="21"/>
              </w:rPr>
              <w:t xml:space="preserve"> Orelabrutinib (ICP-022), strength: 10 mg; 50 mg</w:t>
            </w:r>
          </w:p>
          <w:p w14:paraId="65D65C28" w14:textId="6FB1FEE1" w:rsidR="006F7954" w:rsidRPr="00F16A5E" w:rsidRDefault="006F7954" w:rsidP="00BD1557">
            <w:pPr>
              <w:keepLines/>
              <w:widowControl/>
              <w:spacing w:before="50"/>
              <w:rPr>
                <w:szCs w:val="21"/>
              </w:rPr>
            </w:pPr>
            <w:r w:rsidRPr="00F16A5E">
              <w:rPr>
                <w:b/>
                <w:bCs/>
                <w:szCs w:val="21"/>
              </w:rPr>
              <w:t>Placebo:</w:t>
            </w:r>
            <w:r w:rsidRPr="00F16A5E">
              <w:rPr>
                <w:szCs w:val="21"/>
              </w:rPr>
              <w:t xml:space="preserve"> Orelabrutinib simulant, </w:t>
            </w:r>
            <w:r w:rsidR="00DC675A" w:rsidRPr="00F16A5E">
              <w:rPr>
                <w:szCs w:val="21"/>
              </w:rPr>
              <w:t>identical</w:t>
            </w:r>
            <w:r w:rsidRPr="00F16A5E">
              <w:rPr>
                <w:szCs w:val="21"/>
              </w:rPr>
              <w:t xml:space="preserve"> with the corresponding strengths of orelabrutinib in terms of appearance, packaging, instructions for use, and labels.</w:t>
            </w:r>
          </w:p>
        </w:tc>
      </w:tr>
      <w:tr w:rsidR="0001176C" w:rsidRPr="00F16A5E" w14:paraId="1701962D"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18F5B9E9" w14:textId="13FFC066" w:rsidR="0001176C" w:rsidRPr="00F16A5E" w:rsidRDefault="006F7954" w:rsidP="00BD1557">
            <w:pPr>
              <w:spacing w:beforeLines="50" w:before="156"/>
              <w:rPr>
                <w:b/>
                <w:szCs w:val="21"/>
              </w:rPr>
            </w:pPr>
            <w:r w:rsidRPr="00F16A5E">
              <w:rPr>
                <w:b/>
                <w:szCs w:val="21"/>
              </w:rPr>
              <w:t>Route of Administration</w:t>
            </w:r>
          </w:p>
        </w:tc>
        <w:tc>
          <w:tcPr>
            <w:tcW w:w="4184" w:type="pct"/>
            <w:tcBorders>
              <w:top w:val="single" w:sz="4" w:space="0" w:color="auto"/>
              <w:left w:val="single" w:sz="4" w:space="0" w:color="auto"/>
              <w:bottom w:val="single" w:sz="4" w:space="0" w:color="auto"/>
              <w:right w:val="single" w:sz="4" w:space="0" w:color="auto"/>
            </w:tcBorders>
            <w:vAlign w:val="center"/>
          </w:tcPr>
          <w:p w14:paraId="25E9D79E" w14:textId="6F5B58C0" w:rsidR="0001176C" w:rsidRPr="00F16A5E" w:rsidRDefault="006F7954" w:rsidP="00BD1557">
            <w:pPr>
              <w:keepLines/>
              <w:widowControl/>
              <w:spacing w:beforeLines="50" w:before="156"/>
              <w:rPr>
                <w:szCs w:val="21"/>
              </w:rPr>
            </w:pPr>
            <w:r w:rsidRPr="00F16A5E">
              <w:rPr>
                <w:szCs w:val="21"/>
              </w:rPr>
              <w:t>Oral use</w:t>
            </w:r>
          </w:p>
        </w:tc>
      </w:tr>
      <w:tr w:rsidR="0001176C" w:rsidRPr="00F16A5E" w14:paraId="455E96B5"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32EB04A8" w14:textId="123EFD5A" w:rsidR="0001176C" w:rsidRPr="00F16A5E" w:rsidRDefault="006F7954" w:rsidP="00BD1557">
            <w:pPr>
              <w:spacing w:beforeLines="50" w:before="156"/>
              <w:rPr>
                <w:b/>
                <w:szCs w:val="21"/>
              </w:rPr>
            </w:pPr>
            <w:r w:rsidRPr="00F16A5E">
              <w:rPr>
                <w:b/>
                <w:szCs w:val="21"/>
              </w:rPr>
              <w:t>Study Objectives</w:t>
            </w:r>
          </w:p>
        </w:tc>
        <w:tc>
          <w:tcPr>
            <w:tcW w:w="4184" w:type="pct"/>
            <w:tcBorders>
              <w:top w:val="single" w:sz="4" w:space="0" w:color="auto"/>
              <w:left w:val="single" w:sz="4" w:space="0" w:color="auto"/>
              <w:bottom w:val="single" w:sz="4" w:space="0" w:color="auto"/>
              <w:right w:val="single" w:sz="4" w:space="0" w:color="auto"/>
            </w:tcBorders>
            <w:vAlign w:val="center"/>
          </w:tcPr>
          <w:p w14:paraId="7D1E5F5E" w14:textId="3374FBA1" w:rsidR="0001176C" w:rsidRPr="00F16A5E" w:rsidRDefault="006F7954" w:rsidP="00BD1557">
            <w:pPr>
              <w:keepLines/>
              <w:widowControl/>
              <w:spacing w:beforeLines="50" w:before="156"/>
              <w:rPr>
                <w:szCs w:val="21"/>
              </w:rPr>
            </w:pPr>
            <w:r w:rsidRPr="00F16A5E">
              <w:rPr>
                <w:b/>
                <w:szCs w:val="21"/>
              </w:rPr>
              <w:t>Primary Objective</w:t>
            </w:r>
          </w:p>
          <w:p w14:paraId="113D9E26" w14:textId="64C15F62" w:rsidR="0001176C" w:rsidRPr="00F16A5E" w:rsidRDefault="006F7954" w:rsidP="00BD1557">
            <w:pPr>
              <w:pStyle w:val="aa"/>
              <w:keepLines/>
              <w:widowControl/>
              <w:numPr>
                <w:ilvl w:val="0"/>
                <w:numId w:val="1"/>
              </w:numPr>
              <w:spacing w:before="50"/>
              <w:ind w:left="817" w:firstLineChars="0"/>
              <w:rPr>
                <w:rFonts w:ascii="Times New Roman" w:hAnsi="Times New Roman"/>
                <w:szCs w:val="21"/>
              </w:rPr>
            </w:pPr>
            <w:r w:rsidRPr="00F16A5E">
              <w:rPr>
                <w:rFonts w:ascii="Times New Roman" w:hAnsi="Times New Roman"/>
                <w:szCs w:val="21"/>
              </w:rPr>
              <w:t>To evaluate the safety and tolerability of orelabrutinib in mild-moderate SLE patients.</w:t>
            </w:r>
          </w:p>
          <w:p w14:paraId="03E8DB2B" w14:textId="26C18E9A" w:rsidR="0001176C" w:rsidRPr="00F16A5E" w:rsidRDefault="006F7954" w:rsidP="00BD1557">
            <w:pPr>
              <w:keepLines/>
              <w:widowControl/>
              <w:spacing w:before="50"/>
              <w:rPr>
                <w:b/>
                <w:szCs w:val="21"/>
              </w:rPr>
            </w:pPr>
            <w:r w:rsidRPr="00F16A5E">
              <w:rPr>
                <w:b/>
                <w:szCs w:val="21"/>
              </w:rPr>
              <w:t>Secondary Objectives</w:t>
            </w:r>
          </w:p>
          <w:p w14:paraId="193D347D" w14:textId="77777777" w:rsidR="006F7954" w:rsidRPr="00F16A5E" w:rsidRDefault="006F7954" w:rsidP="00BD1557">
            <w:pPr>
              <w:pStyle w:val="aa"/>
              <w:numPr>
                <w:ilvl w:val="0"/>
                <w:numId w:val="1"/>
              </w:numPr>
              <w:spacing w:before="50"/>
              <w:ind w:firstLineChars="0"/>
              <w:rPr>
                <w:rFonts w:ascii="Times New Roman" w:hAnsi="Times New Roman"/>
                <w:szCs w:val="21"/>
              </w:rPr>
            </w:pPr>
            <w:r w:rsidRPr="00F16A5E">
              <w:rPr>
                <w:rFonts w:ascii="Times New Roman" w:hAnsi="Times New Roman"/>
                <w:szCs w:val="21"/>
              </w:rPr>
              <w:t>To evaluate the pharmacokinetics (PK) of orelabrutinib in mild-moderate SLE patients;</w:t>
            </w:r>
          </w:p>
          <w:p w14:paraId="5C13507D" w14:textId="77777777" w:rsidR="006F7954" w:rsidRPr="00F16A5E" w:rsidRDefault="006F7954" w:rsidP="00BD1557">
            <w:pPr>
              <w:pStyle w:val="aa"/>
              <w:numPr>
                <w:ilvl w:val="0"/>
                <w:numId w:val="1"/>
              </w:numPr>
              <w:spacing w:before="50"/>
              <w:ind w:firstLineChars="0"/>
              <w:rPr>
                <w:rFonts w:ascii="Times New Roman" w:hAnsi="Times New Roman"/>
                <w:szCs w:val="21"/>
              </w:rPr>
            </w:pPr>
            <w:r w:rsidRPr="00F16A5E">
              <w:rPr>
                <w:rFonts w:ascii="Times New Roman" w:hAnsi="Times New Roman"/>
                <w:szCs w:val="21"/>
              </w:rPr>
              <w:t>To evaluate the pharmacodynamics (PD) of orelabrutinib in mild-moderate SLE patients;</w:t>
            </w:r>
          </w:p>
          <w:p w14:paraId="6C03A446" w14:textId="77777777" w:rsidR="006F7954" w:rsidRPr="00F16A5E" w:rsidRDefault="006F7954" w:rsidP="00BD1557">
            <w:pPr>
              <w:pStyle w:val="aa"/>
              <w:numPr>
                <w:ilvl w:val="0"/>
                <w:numId w:val="1"/>
              </w:numPr>
              <w:spacing w:before="50"/>
              <w:ind w:firstLineChars="0"/>
              <w:rPr>
                <w:rFonts w:ascii="Times New Roman" w:hAnsi="Times New Roman"/>
                <w:szCs w:val="21"/>
              </w:rPr>
            </w:pPr>
            <w:r w:rsidRPr="00F16A5E">
              <w:rPr>
                <w:rFonts w:ascii="Times New Roman" w:hAnsi="Times New Roman"/>
                <w:szCs w:val="21"/>
              </w:rPr>
              <w:t>To evaluate the PK/PD relationship of orelabrutinib in mild-moderate SLE patients;</w:t>
            </w:r>
          </w:p>
          <w:p w14:paraId="7013DEFE" w14:textId="62C1FB9A" w:rsidR="006F7954" w:rsidRPr="00F16A5E" w:rsidRDefault="006F7954" w:rsidP="00BD1557">
            <w:pPr>
              <w:pStyle w:val="aa"/>
              <w:numPr>
                <w:ilvl w:val="0"/>
                <w:numId w:val="1"/>
              </w:numPr>
              <w:spacing w:before="50"/>
              <w:ind w:firstLineChars="0"/>
              <w:rPr>
                <w:rFonts w:ascii="Times New Roman" w:hAnsi="Times New Roman"/>
                <w:szCs w:val="21"/>
              </w:rPr>
            </w:pPr>
            <w:r w:rsidRPr="00F16A5E">
              <w:rPr>
                <w:rFonts w:ascii="Times New Roman" w:hAnsi="Times New Roman"/>
                <w:szCs w:val="21"/>
              </w:rPr>
              <w:t>To evaluate the efficacy of orelabrutinib in mild-moderate SLE patients.</w:t>
            </w:r>
          </w:p>
        </w:tc>
      </w:tr>
      <w:tr w:rsidR="0001176C" w:rsidRPr="00F16A5E" w14:paraId="309AA9B0"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58C86EE6" w14:textId="33253781" w:rsidR="0001176C" w:rsidRPr="00F16A5E" w:rsidRDefault="006F7954" w:rsidP="00BD1557">
            <w:pPr>
              <w:spacing w:beforeLines="50" w:before="156"/>
              <w:rPr>
                <w:b/>
                <w:szCs w:val="21"/>
              </w:rPr>
            </w:pPr>
            <w:r w:rsidRPr="00F16A5E">
              <w:rPr>
                <w:b/>
                <w:szCs w:val="21"/>
              </w:rPr>
              <w:t>Study Endpoints</w:t>
            </w:r>
          </w:p>
        </w:tc>
        <w:tc>
          <w:tcPr>
            <w:tcW w:w="4184" w:type="pct"/>
            <w:tcBorders>
              <w:top w:val="single" w:sz="4" w:space="0" w:color="auto"/>
              <w:left w:val="single" w:sz="4" w:space="0" w:color="auto"/>
              <w:bottom w:val="single" w:sz="4" w:space="0" w:color="auto"/>
              <w:right w:val="single" w:sz="4" w:space="0" w:color="auto"/>
            </w:tcBorders>
            <w:vAlign w:val="center"/>
          </w:tcPr>
          <w:p w14:paraId="1C5362E5" w14:textId="13592DAB" w:rsidR="0001176C" w:rsidRPr="00F16A5E" w:rsidRDefault="006F7954" w:rsidP="00BD1557">
            <w:pPr>
              <w:spacing w:beforeLines="50" w:before="156"/>
              <w:rPr>
                <w:szCs w:val="21"/>
              </w:rPr>
            </w:pPr>
            <w:r w:rsidRPr="00F16A5E">
              <w:rPr>
                <w:b/>
                <w:szCs w:val="21"/>
              </w:rPr>
              <w:t>Primary Endpoints</w:t>
            </w:r>
          </w:p>
          <w:p w14:paraId="0551087B" w14:textId="77777777"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The occurrences of Treatment Emergent Serious Adverse Events (TESAEs) and Treatment Related Serious Adverse Events (TRSAEs);</w:t>
            </w:r>
          </w:p>
          <w:p w14:paraId="10BEF854" w14:textId="77777777"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 xml:space="preserve">The occurrences of Treatment Emergent Adverse Events (TEAEs) and Treatment Related Adverse Events (TRAEs), as evaluated by severity; </w:t>
            </w:r>
          </w:p>
          <w:p w14:paraId="42154176" w14:textId="09497759"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Vital signs, electrocardiogram (ECG), and laboratory findings.</w:t>
            </w:r>
          </w:p>
          <w:p w14:paraId="746A3695" w14:textId="77777777" w:rsidR="006F7954" w:rsidRPr="00F16A5E" w:rsidRDefault="006F7954" w:rsidP="00BD1557">
            <w:pPr>
              <w:keepNext/>
              <w:keepLines/>
              <w:widowControl/>
              <w:spacing w:before="50"/>
              <w:rPr>
                <w:b/>
                <w:szCs w:val="21"/>
              </w:rPr>
            </w:pPr>
          </w:p>
          <w:p w14:paraId="59BFFB93" w14:textId="7587C3AA" w:rsidR="0001176C" w:rsidRPr="00F16A5E" w:rsidRDefault="006F7954" w:rsidP="00BD1557">
            <w:pPr>
              <w:keepNext/>
              <w:keepLines/>
              <w:widowControl/>
              <w:spacing w:before="50"/>
              <w:rPr>
                <w:b/>
                <w:szCs w:val="21"/>
              </w:rPr>
            </w:pPr>
            <w:r w:rsidRPr="00F16A5E">
              <w:rPr>
                <w:b/>
                <w:szCs w:val="21"/>
              </w:rPr>
              <w:t>Secondary Endpoints</w:t>
            </w:r>
          </w:p>
          <w:p w14:paraId="3523242C" w14:textId="345F582C" w:rsidR="0001176C" w:rsidRPr="00F16A5E" w:rsidRDefault="006F7954" w:rsidP="00BD1557">
            <w:pPr>
              <w:pStyle w:val="SynopsisText"/>
              <w:keepLines/>
              <w:numPr>
                <w:ilvl w:val="0"/>
                <w:numId w:val="2"/>
              </w:numPr>
              <w:spacing w:before="50" w:after="0" w:line="240" w:lineRule="auto"/>
              <w:jc w:val="both"/>
              <w:rPr>
                <w:rFonts w:ascii="Times New Roman" w:hAnsi="Times New Roman"/>
                <w:sz w:val="21"/>
                <w:szCs w:val="21"/>
              </w:rPr>
            </w:pPr>
            <w:r w:rsidRPr="00F16A5E">
              <w:rPr>
                <w:rFonts w:ascii="Times New Roman" w:hAnsi="Times New Roman"/>
                <w:b/>
                <w:sz w:val="21"/>
                <w:szCs w:val="21"/>
              </w:rPr>
              <w:t>Target Occupancy Rate:</w:t>
            </w:r>
          </w:p>
          <w:p w14:paraId="202F89CC" w14:textId="4B31D605" w:rsidR="0001176C" w:rsidRPr="00F16A5E" w:rsidRDefault="006F7954" w:rsidP="00BD1557">
            <w:pPr>
              <w:pStyle w:val="aa"/>
              <w:keepLines/>
              <w:widowControl/>
              <w:numPr>
                <w:ilvl w:val="0"/>
                <w:numId w:val="1"/>
              </w:numPr>
              <w:spacing w:before="50"/>
              <w:ind w:left="817" w:firstLineChars="0"/>
              <w:rPr>
                <w:rFonts w:ascii="Times New Roman" w:hAnsi="Times New Roman"/>
                <w:szCs w:val="21"/>
              </w:rPr>
            </w:pPr>
            <w:r w:rsidRPr="00F16A5E">
              <w:rPr>
                <w:rFonts w:ascii="Times New Roman" w:hAnsi="Times New Roman"/>
                <w:szCs w:val="21"/>
              </w:rPr>
              <w:t>BTK occupancy rate (Days -1, 1, and 14).</w:t>
            </w:r>
          </w:p>
          <w:p w14:paraId="0785AEAB" w14:textId="77777777" w:rsidR="006F7954" w:rsidRPr="00F16A5E" w:rsidRDefault="006F7954" w:rsidP="00BD1557">
            <w:pPr>
              <w:pStyle w:val="SynopsisText"/>
              <w:keepLines/>
              <w:numPr>
                <w:ilvl w:val="0"/>
                <w:numId w:val="2"/>
              </w:numPr>
              <w:spacing w:before="50" w:after="0" w:line="240" w:lineRule="auto"/>
              <w:jc w:val="both"/>
              <w:rPr>
                <w:rFonts w:ascii="Times New Roman" w:hAnsi="Times New Roman"/>
                <w:sz w:val="21"/>
                <w:szCs w:val="21"/>
              </w:rPr>
            </w:pPr>
            <w:bookmarkStart w:id="5" w:name="_Hlk9000191"/>
            <w:r w:rsidRPr="00F16A5E">
              <w:rPr>
                <w:rFonts w:ascii="Times New Roman" w:hAnsi="Times New Roman"/>
                <w:b/>
                <w:bCs/>
                <w:sz w:val="21"/>
                <w:szCs w:val="21"/>
              </w:rPr>
              <w:t>Pharmacodynamics:</w:t>
            </w:r>
            <w:r w:rsidRPr="00F16A5E">
              <w:rPr>
                <w:rFonts w:ascii="Times New Roman" w:hAnsi="Times New Roman"/>
                <w:sz w:val="21"/>
                <w:szCs w:val="21"/>
              </w:rPr>
              <w:t xml:space="preserve"> The followings biomarkers are selected to evaluate the pharmacodynamics of orelabrutinib.</w:t>
            </w:r>
          </w:p>
          <w:p w14:paraId="2E8A8361" w14:textId="77777777"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Serum immunoglobulin (Ig) levels (IgA, IgG, IgM) at Days 28 and 84;</w:t>
            </w:r>
          </w:p>
          <w:p w14:paraId="12DEEEFE" w14:textId="77777777"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Changes from baseline in Ig levels (IgA, IgG, IgM) and C3 and C4 levels at Days 28 and 84;</w:t>
            </w:r>
          </w:p>
          <w:p w14:paraId="0D833615" w14:textId="77777777"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Changes from baseline in serum anti-dsDNA antibody and antinuclear antibody (ANA) at Days 28 and 84;</w:t>
            </w:r>
          </w:p>
          <w:p w14:paraId="7DBE72C1" w14:textId="77777777"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Changes from baseline in cytokine levels [Interferon-α (IFN-α) and Interleukin 6 (IL-6)] at Days 28 and 84;</w:t>
            </w:r>
          </w:p>
          <w:p w14:paraId="0E455FFC" w14:textId="77777777"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Changes from baseline in total B cell counts at Days 28 and 84;</w:t>
            </w:r>
          </w:p>
          <w:p w14:paraId="1680026B" w14:textId="2476FF7E"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Changes from baseline in effector B cell counts (</w:t>
            </w:r>
            <w:proofErr w:type="spellStart"/>
            <w:r w:rsidRPr="00F16A5E">
              <w:rPr>
                <w:rFonts w:ascii="Times New Roman" w:hAnsi="Times New Roman"/>
                <w:szCs w:val="21"/>
              </w:rPr>
              <w:t>B</w:t>
            </w:r>
            <w:r w:rsidRPr="00F16A5E">
              <w:rPr>
                <w:rFonts w:ascii="Times New Roman" w:hAnsi="Times New Roman"/>
                <w:szCs w:val="21"/>
                <w:vertAlign w:val="subscript"/>
              </w:rPr>
              <w:t>effs</w:t>
            </w:r>
            <w:proofErr w:type="spellEnd"/>
            <w:r w:rsidRPr="00F16A5E">
              <w:rPr>
                <w:rFonts w:ascii="Times New Roman" w:hAnsi="Times New Roman"/>
                <w:szCs w:val="21"/>
              </w:rPr>
              <w:t>)</w:t>
            </w:r>
            <w:r w:rsidR="0030384E" w:rsidRPr="00F16A5E">
              <w:rPr>
                <w:rFonts w:ascii="Times New Roman" w:hAnsi="Times New Roman"/>
                <w:szCs w:val="21"/>
              </w:rPr>
              <w:t xml:space="preserve"> </w:t>
            </w:r>
            <w:r w:rsidRPr="00F16A5E">
              <w:rPr>
                <w:rFonts w:ascii="Times New Roman" w:hAnsi="Times New Roman"/>
                <w:szCs w:val="21"/>
              </w:rPr>
              <w:t>at Day 28s and 84;</w:t>
            </w:r>
          </w:p>
          <w:p w14:paraId="47E97B5E" w14:textId="77777777"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Changes from baseline in regulatory B cell counts (</w:t>
            </w:r>
            <w:proofErr w:type="spellStart"/>
            <w:r w:rsidRPr="00F16A5E">
              <w:rPr>
                <w:rFonts w:ascii="Times New Roman" w:hAnsi="Times New Roman"/>
                <w:szCs w:val="21"/>
              </w:rPr>
              <w:t>B</w:t>
            </w:r>
            <w:r w:rsidRPr="00F16A5E">
              <w:rPr>
                <w:rFonts w:ascii="Times New Roman" w:hAnsi="Times New Roman"/>
                <w:szCs w:val="21"/>
                <w:vertAlign w:val="subscript"/>
              </w:rPr>
              <w:t>regs</w:t>
            </w:r>
            <w:proofErr w:type="spellEnd"/>
            <w:r w:rsidRPr="00F16A5E">
              <w:rPr>
                <w:rFonts w:ascii="Times New Roman" w:hAnsi="Times New Roman"/>
                <w:szCs w:val="21"/>
              </w:rPr>
              <w:t>) at Days 28 and 84;</w:t>
            </w:r>
          </w:p>
          <w:p w14:paraId="632E9D56" w14:textId="77777777"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 xml:space="preserve">Changes from baseline in the ratio of </w:t>
            </w:r>
            <w:proofErr w:type="spellStart"/>
            <w:r w:rsidRPr="00F16A5E">
              <w:rPr>
                <w:rFonts w:ascii="Times New Roman" w:hAnsi="Times New Roman"/>
                <w:szCs w:val="21"/>
              </w:rPr>
              <w:t>B</w:t>
            </w:r>
            <w:r w:rsidRPr="00F16A5E">
              <w:rPr>
                <w:rFonts w:ascii="Times New Roman" w:hAnsi="Times New Roman"/>
                <w:szCs w:val="21"/>
                <w:vertAlign w:val="subscript"/>
              </w:rPr>
              <w:t>regs</w:t>
            </w:r>
            <w:proofErr w:type="spellEnd"/>
            <w:r w:rsidRPr="00F16A5E">
              <w:rPr>
                <w:rFonts w:ascii="Times New Roman" w:hAnsi="Times New Roman"/>
                <w:szCs w:val="21"/>
              </w:rPr>
              <w:t xml:space="preserve"> to </w:t>
            </w:r>
            <w:proofErr w:type="spellStart"/>
            <w:r w:rsidRPr="00F16A5E">
              <w:rPr>
                <w:rFonts w:ascii="Times New Roman" w:hAnsi="Times New Roman"/>
                <w:szCs w:val="21"/>
              </w:rPr>
              <w:t>B</w:t>
            </w:r>
            <w:r w:rsidRPr="00F16A5E">
              <w:rPr>
                <w:rFonts w:ascii="Times New Roman" w:hAnsi="Times New Roman"/>
                <w:szCs w:val="21"/>
                <w:vertAlign w:val="subscript"/>
              </w:rPr>
              <w:t>effs</w:t>
            </w:r>
            <w:proofErr w:type="spellEnd"/>
            <w:r w:rsidRPr="00F16A5E">
              <w:rPr>
                <w:rFonts w:ascii="Times New Roman" w:hAnsi="Times New Roman"/>
                <w:szCs w:val="21"/>
              </w:rPr>
              <w:t xml:space="preserve"> (</w:t>
            </w:r>
            <w:proofErr w:type="spellStart"/>
            <w:r w:rsidRPr="00F16A5E">
              <w:rPr>
                <w:rFonts w:ascii="Times New Roman" w:hAnsi="Times New Roman"/>
                <w:szCs w:val="21"/>
              </w:rPr>
              <w:t>B</w:t>
            </w:r>
            <w:r w:rsidRPr="00F16A5E">
              <w:rPr>
                <w:rFonts w:ascii="Times New Roman" w:hAnsi="Times New Roman"/>
                <w:szCs w:val="21"/>
                <w:vertAlign w:val="subscript"/>
              </w:rPr>
              <w:t>regs</w:t>
            </w:r>
            <w:proofErr w:type="spellEnd"/>
            <w:r w:rsidRPr="00F16A5E">
              <w:rPr>
                <w:rFonts w:ascii="Times New Roman" w:hAnsi="Times New Roman"/>
                <w:szCs w:val="21"/>
              </w:rPr>
              <w:t>/</w:t>
            </w:r>
            <w:proofErr w:type="spellStart"/>
            <w:r w:rsidRPr="00F16A5E">
              <w:rPr>
                <w:rFonts w:ascii="Times New Roman" w:hAnsi="Times New Roman"/>
                <w:szCs w:val="21"/>
              </w:rPr>
              <w:t>B</w:t>
            </w:r>
            <w:r w:rsidRPr="00F16A5E">
              <w:rPr>
                <w:rFonts w:ascii="Times New Roman" w:hAnsi="Times New Roman"/>
                <w:szCs w:val="21"/>
                <w:vertAlign w:val="subscript"/>
              </w:rPr>
              <w:t>effs</w:t>
            </w:r>
            <w:proofErr w:type="spellEnd"/>
            <w:r w:rsidRPr="00F16A5E">
              <w:rPr>
                <w:rFonts w:ascii="Times New Roman" w:hAnsi="Times New Roman"/>
                <w:szCs w:val="21"/>
              </w:rPr>
              <w:t>) at Days 28 and 84;</w:t>
            </w:r>
          </w:p>
          <w:p w14:paraId="76277474" w14:textId="0E56E46E" w:rsidR="006F7954" w:rsidRPr="00F16A5E" w:rsidRDefault="006F7954"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Changes from baseline in erythrocyte sedimentation rate at Days 28 and 84.</w:t>
            </w:r>
          </w:p>
          <w:bookmarkEnd w:id="5"/>
          <w:p w14:paraId="5944B421" w14:textId="219C2426" w:rsidR="0001176C" w:rsidRPr="00F16A5E" w:rsidRDefault="00577B01" w:rsidP="00BD1557">
            <w:pPr>
              <w:pStyle w:val="SynopsisText"/>
              <w:keepNext/>
              <w:keepLines/>
              <w:numPr>
                <w:ilvl w:val="0"/>
                <w:numId w:val="2"/>
              </w:numPr>
              <w:spacing w:before="50" w:after="0" w:line="240" w:lineRule="auto"/>
              <w:ind w:left="494" w:right="74"/>
              <w:contextualSpacing/>
              <w:jc w:val="both"/>
              <w:rPr>
                <w:rFonts w:ascii="Times New Roman" w:hAnsi="Times New Roman"/>
                <w:b/>
                <w:bCs/>
                <w:sz w:val="21"/>
                <w:szCs w:val="21"/>
              </w:rPr>
            </w:pPr>
            <w:r w:rsidRPr="00F16A5E">
              <w:rPr>
                <w:rFonts w:ascii="Times New Roman" w:hAnsi="Times New Roman"/>
                <w:b/>
                <w:bCs/>
                <w:sz w:val="21"/>
                <w:szCs w:val="21"/>
              </w:rPr>
              <w:t>Pharmacokinetics</w:t>
            </w:r>
          </w:p>
          <w:p w14:paraId="291275DF" w14:textId="4EE31E3B" w:rsidR="00577B01" w:rsidRPr="00F16A5E" w:rsidRDefault="00577B01"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To evaluate the pharmacokinetic characteristics through the plasma concentration-time curve and pharmacokinetic parameters after administration of orelabrutinib, including: maximum concentration (</w:t>
            </w:r>
            <w:proofErr w:type="spellStart"/>
            <w:r w:rsidRPr="00F16A5E">
              <w:rPr>
                <w:rFonts w:ascii="Times New Roman" w:hAnsi="Times New Roman"/>
                <w:szCs w:val="21"/>
              </w:rPr>
              <w:t>C</w:t>
            </w:r>
            <w:r w:rsidRPr="00F16A5E">
              <w:rPr>
                <w:rFonts w:ascii="Times New Roman" w:hAnsi="Times New Roman"/>
                <w:szCs w:val="21"/>
                <w:vertAlign w:val="subscript"/>
              </w:rPr>
              <w:t>max</w:t>
            </w:r>
            <w:proofErr w:type="spellEnd"/>
            <w:r w:rsidRPr="00F16A5E">
              <w:rPr>
                <w:rFonts w:ascii="Times New Roman" w:hAnsi="Times New Roman"/>
                <w:szCs w:val="21"/>
              </w:rPr>
              <w:t>); time to maximum concentration (</w:t>
            </w:r>
            <w:proofErr w:type="spellStart"/>
            <w:r w:rsidRPr="00F16A5E">
              <w:rPr>
                <w:rFonts w:ascii="Times New Roman" w:hAnsi="Times New Roman"/>
                <w:szCs w:val="21"/>
              </w:rPr>
              <w:t>T</w:t>
            </w:r>
            <w:r w:rsidRPr="00F16A5E">
              <w:rPr>
                <w:rFonts w:ascii="Times New Roman" w:hAnsi="Times New Roman"/>
                <w:szCs w:val="21"/>
                <w:vertAlign w:val="subscript"/>
              </w:rPr>
              <w:t>max</w:t>
            </w:r>
            <w:proofErr w:type="spellEnd"/>
            <w:r w:rsidRPr="00F16A5E">
              <w:rPr>
                <w:rFonts w:ascii="Times New Roman" w:hAnsi="Times New Roman"/>
                <w:szCs w:val="21"/>
              </w:rPr>
              <w:t>); half-life (T</w:t>
            </w:r>
            <w:r w:rsidRPr="00F16A5E">
              <w:rPr>
                <w:rFonts w:ascii="Times New Roman" w:hAnsi="Times New Roman"/>
                <w:szCs w:val="21"/>
                <w:vertAlign w:val="subscript"/>
              </w:rPr>
              <w:t>1/2</w:t>
            </w:r>
            <w:r w:rsidRPr="00F16A5E">
              <w:rPr>
                <w:rFonts w:ascii="Times New Roman" w:hAnsi="Times New Roman"/>
                <w:szCs w:val="21"/>
              </w:rPr>
              <w:t>); area under the drug concentration-time curve (AUC); apparent clearance (CL/F); terminal apparent volume of distribution (</w:t>
            </w:r>
            <w:proofErr w:type="spellStart"/>
            <w:r w:rsidRPr="00F16A5E">
              <w:rPr>
                <w:rFonts w:ascii="Times New Roman" w:hAnsi="Times New Roman"/>
                <w:szCs w:val="21"/>
              </w:rPr>
              <w:t>Vz</w:t>
            </w:r>
            <w:proofErr w:type="spellEnd"/>
            <w:r w:rsidRPr="00F16A5E">
              <w:rPr>
                <w:rFonts w:ascii="Times New Roman" w:hAnsi="Times New Roman"/>
                <w:szCs w:val="21"/>
              </w:rPr>
              <w:t>/F); accumulation factor (R), etc.</w:t>
            </w:r>
          </w:p>
          <w:p w14:paraId="525903F9" w14:textId="39D9C906" w:rsidR="00F32115" w:rsidRPr="00F16A5E" w:rsidRDefault="00051652" w:rsidP="00BD1557">
            <w:pPr>
              <w:pStyle w:val="SynopsisText"/>
              <w:keepNext/>
              <w:keepLines/>
              <w:numPr>
                <w:ilvl w:val="0"/>
                <w:numId w:val="2"/>
              </w:numPr>
              <w:spacing w:before="50" w:after="0" w:line="240" w:lineRule="auto"/>
              <w:ind w:left="494" w:right="74"/>
              <w:contextualSpacing/>
              <w:jc w:val="both"/>
              <w:rPr>
                <w:rFonts w:ascii="Times New Roman" w:hAnsi="Times New Roman"/>
                <w:b/>
                <w:sz w:val="21"/>
                <w:szCs w:val="21"/>
              </w:rPr>
            </w:pPr>
            <w:r w:rsidRPr="00F16A5E">
              <w:rPr>
                <w:rFonts w:ascii="Times New Roman" w:hAnsi="Times New Roman"/>
                <w:b/>
                <w:sz w:val="21"/>
                <w:szCs w:val="21"/>
              </w:rPr>
              <w:t>Efficacy</w:t>
            </w:r>
          </w:p>
          <w:p w14:paraId="26671F65" w14:textId="77777777" w:rsidR="00051652" w:rsidRPr="00F16A5E" w:rsidRDefault="00051652"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 xml:space="preserve">The </w:t>
            </w:r>
            <w:proofErr w:type="spellStart"/>
            <w:r w:rsidRPr="00F16A5E">
              <w:rPr>
                <w:rFonts w:ascii="Times New Roman" w:hAnsi="Times New Roman"/>
                <w:szCs w:val="21"/>
              </w:rPr>
              <w:t>responser</w:t>
            </w:r>
            <w:proofErr w:type="spellEnd"/>
            <w:r w:rsidRPr="00F16A5E">
              <w:rPr>
                <w:rFonts w:ascii="Times New Roman" w:hAnsi="Times New Roman"/>
                <w:szCs w:val="21"/>
              </w:rPr>
              <w:t xml:space="preserve"> ratio, as measured by SLE Responder Index-4 (SRI-4) at Days 28 and 84; </w:t>
            </w:r>
          </w:p>
          <w:p w14:paraId="5D2C33C4" w14:textId="1EB7A405" w:rsidR="00051652" w:rsidRPr="00F16A5E" w:rsidRDefault="00051652"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 xml:space="preserve">The </w:t>
            </w:r>
            <w:proofErr w:type="spellStart"/>
            <w:r w:rsidRPr="00F16A5E">
              <w:rPr>
                <w:rFonts w:ascii="Times New Roman" w:hAnsi="Times New Roman"/>
                <w:szCs w:val="21"/>
              </w:rPr>
              <w:t>responser</w:t>
            </w:r>
            <w:proofErr w:type="spellEnd"/>
            <w:r w:rsidRPr="00F16A5E">
              <w:rPr>
                <w:rFonts w:ascii="Times New Roman" w:hAnsi="Times New Roman"/>
                <w:szCs w:val="21"/>
              </w:rPr>
              <w:t xml:space="preserve"> ratio, as measured by SRI-6, between Days 28 and 84; </w:t>
            </w:r>
          </w:p>
          <w:p w14:paraId="03CACA63" w14:textId="77777777" w:rsidR="00051652" w:rsidRPr="00F16A5E" w:rsidRDefault="00051652"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 xml:space="preserve">The rates of the SLE disease activity index-2000 (SLEDAI-2K) score at Days 28 and 84 decreased by 4 points from the baseline; </w:t>
            </w:r>
          </w:p>
          <w:p w14:paraId="15C2E5D3" w14:textId="6A17BA6F" w:rsidR="00051652" w:rsidRPr="00F16A5E" w:rsidRDefault="00051652"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 xml:space="preserve">Change in the proportion of subjects </w:t>
            </w:r>
            <w:r w:rsidR="00F62D2B" w:rsidRPr="00F16A5E">
              <w:rPr>
                <w:rFonts w:ascii="Times New Roman" w:hAnsi="Times New Roman"/>
                <w:szCs w:val="21"/>
              </w:rPr>
              <w:t xml:space="preserve">at Day 84 </w:t>
            </w:r>
            <w:r w:rsidRPr="00F16A5E">
              <w:rPr>
                <w:rFonts w:ascii="Times New Roman" w:hAnsi="Times New Roman"/>
                <w:szCs w:val="21"/>
              </w:rPr>
              <w:t xml:space="preserve">whose arthritis and/or rash have resolved </w:t>
            </w:r>
            <w:r w:rsidR="00F62D2B" w:rsidRPr="00F16A5E">
              <w:rPr>
                <w:rFonts w:ascii="Times New Roman" w:hAnsi="Times New Roman"/>
                <w:szCs w:val="21"/>
              </w:rPr>
              <w:t>relative to baseline</w:t>
            </w:r>
            <w:r w:rsidRPr="00F16A5E">
              <w:rPr>
                <w:rFonts w:ascii="Times New Roman" w:hAnsi="Times New Roman"/>
                <w:szCs w:val="21"/>
              </w:rPr>
              <w:t xml:space="preserve"> (as </w:t>
            </w:r>
            <w:r w:rsidR="00F62D2B" w:rsidRPr="00F16A5E">
              <w:rPr>
                <w:rFonts w:ascii="Times New Roman" w:hAnsi="Times New Roman"/>
                <w:szCs w:val="21"/>
              </w:rPr>
              <w:t>measured</w:t>
            </w:r>
            <w:r w:rsidRPr="00F16A5E">
              <w:rPr>
                <w:rFonts w:ascii="Times New Roman" w:hAnsi="Times New Roman"/>
                <w:szCs w:val="21"/>
              </w:rPr>
              <w:t xml:space="preserve"> by SLEDAI-2K);</w:t>
            </w:r>
          </w:p>
          <w:p w14:paraId="70F7896B" w14:textId="6DB39DBF" w:rsidR="00051652" w:rsidRPr="00F16A5E" w:rsidRDefault="00051652"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lastRenderedPageBreak/>
              <w:t>The change from baseline in counts of painful joints, tender joints, and swollen joints (66/68 joint counts) at Days 28 and 84, in subjects with arthritis at baseline.</w:t>
            </w:r>
          </w:p>
          <w:p w14:paraId="3BBF2FD4" w14:textId="635FCFCC" w:rsidR="00051652" w:rsidRPr="00F16A5E" w:rsidRDefault="00051652"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The proportion of subjects with proteinuria ≤0.5 g/24 h or a decrease of ≥25% from baseline at Day 84, in subjects with baseline proteinuria &gt;0.5 g/24 h.</w:t>
            </w:r>
          </w:p>
        </w:tc>
      </w:tr>
      <w:tr w:rsidR="0001176C" w:rsidRPr="00F16A5E" w14:paraId="217EF3F3"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386C9E54" w14:textId="5C439BAB" w:rsidR="0001176C" w:rsidRPr="00F16A5E" w:rsidRDefault="009D20C3" w:rsidP="00BD1557">
            <w:pPr>
              <w:spacing w:beforeLines="50" w:before="156"/>
              <w:rPr>
                <w:b/>
                <w:szCs w:val="21"/>
              </w:rPr>
            </w:pPr>
            <w:r w:rsidRPr="00F16A5E">
              <w:rPr>
                <w:b/>
                <w:szCs w:val="21"/>
              </w:rPr>
              <w:lastRenderedPageBreak/>
              <w:t>Study Design</w:t>
            </w:r>
          </w:p>
        </w:tc>
        <w:tc>
          <w:tcPr>
            <w:tcW w:w="4184" w:type="pct"/>
            <w:tcBorders>
              <w:top w:val="single" w:sz="4" w:space="0" w:color="auto"/>
              <w:left w:val="single" w:sz="4" w:space="0" w:color="auto"/>
              <w:bottom w:val="single" w:sz="4" w:space="0" w:color="auto"/>
              <w:right w:val="single" w:sz="4" w:space="0" w:color="auto"/>
            </w:tcBorders>
            <w:vAlign w:val="center"/>
          </w:tcPr>
          <w:p w14:paraId="683B89D1" w14:textId="3ED0FEA8" w:rsidR="009D20C3" w:rsidRPr="00F16A5E" w:rsidRDefault="009D20C3" w:rsidP="00BD1557">
            <w:pPr>
              <w:pStyle w:val="31"/>
              <w:spacing w:before="120"/>
              <w:ind w:firstLineChars="0" w:firstLine="0"/>
              <w:rPr>
                <w:rFonts w:ascii="Times New Roman" w:hAnsi="Times New Roman"/>
                <w:sz w:val="21"/>
                <w:szCs w:val="21"/>
              </w:rPr>
            </w:pPr>
            <w:r w:rsidRPr="00F16A5E">
              <w:rPr>
                <w:rFonts w:ascii="Times New Roman" w:hAnsi="Times New Roman"/>
                <w:sz w:val="21"/>
                <w:szCs w:val="21"/>
              </w:rPr>
              <w:t>This study is designed as a randomized, double-blind, placebo-controlled trial. It includes</w:t>
            </w:r>
            <w:r w:rsidR="000364A6" w:rsidRPr="00F16A5E">
              <w:rPr>
                <w:rFonts w:ascii="Times New Roman" w:hAnsi="Times New Roman"/>
                <w:sz w:val="21"/>
                <w:szCs w:val="21"/>
              </w:rPr>
              <w:t xml:space="preserve"> a</w:t>
            </w:r>
            <w:r w:rsidRPr="00F16A5E">
              <w:rPr>
                <w:rFonts w:ascii="Times New Roman" w:hAnsi="Times New Roman"/>
                <w:sz w:val="21"/>
                <w:szCs w:val="21"/>
              </w:rPr>
              <w:t xml:space="preserve"> screening period (no more than 28 days after the subject signs the informed consent to the first dose),</w:t>
            </w:r>
            <w:r w:rsidR="000364A6" w:rsidRPr="00F16A5E">
              <w:rPr>
                <w:rFonts w:ascii="Times New Roman" w:hAnsi="Times New Roman"/>
                <w:sz w:val="21"/>
                <w:szCs w:val="21"/>
              </w:rPr>
              <w:t xml:space="preserve"> a</w:t>
            </w:r>
            <w:r w:rsidRPr="00F16A5E">
              <w:rPr>
                <w:rFonts w:ascii="Times New Roman" w:hAnsi="Times New Roman"/>
                <w:sz w:val="21"/>
                <w:szCs w:val="21"/>
              </w:rPr>
              <w:t xml:space="preserve"> treatment period (12 consecutive weeks after the first dose), and </w:t>
            </w:r>
            <w:r w:rsidR="000364A6" w:rsidRPr="00F16A5E">
              <w:rPr>
                <w:rFonts w:ascii="Times New Roman" w:hAnsi="Times New Roman"/>
                <w:sz w:val="21"/>
                <w:szCs w:val="21"/>
              </w:rPr>
              <w:t xml:space="preserve">a </w:t>
            </w:r>
            <w:r w:rsidRPr="00F16A5E">
              <w:rPr>
                <w:rFonts w:ascii="Times New Roman" w:hAnsi="Times New Roman"/>
                <w:sz w:val="21"/>
                <w:szCs w:val="21"/>
              </w:rPr>
              <w:t xml:space="preserve">follow-up period (28 days after the last dose). </w:t>
            </w:r>
          </w:p>
          <w:p w14:paraId="6A92EC45" w14:textId="526C23A3" w:rsidR="009D20C3" w:rsidRPr="00F16A5E" w:rsidRDefault="009D20C3" w:rsidP="00BD1557">
            <w:pPr>
              <w:pStyle w:val="31"/>
              <w:spacing w:before="120"/>
              <w:ind w:firstLineChars="0" w:firstLine="0"/>
              <w:rPr>
                <w:rFonts w:ascii="Times New Roman" w:hAnsi="Times New Roman"/>
                <w:sz w:val="21"/>
                <w:szCs w:val="21"/>
              </w:rPr>
            </w:pPr>
            <w:r w:rsidRPr="00F16A5E">
              <w:rPr>
                <w:rFonts w:ascii="Times New Roman" w:hAnsi="Times New Roman"/>
                <w:sz w:val="21"/>
                <w:szCs w:val="21"/>
              </w:rPr>
              <w:t xml:space="preserve">The subjects to be included in this study should be patients undergoing standard treatment. These patients will be randomized into the placebo group (n=15) and the orelabrutinib group (n=45), of which the orelabrutinib group will be divided into three cohorts: 50 mg (n=15), 80 mg (n=15) and 100 mg (n=15). The </w:t>
            </w:r>
            <w:r w:rsidR="00152A66" w:rsidRPr="00F16A5E">
              <w:rPr>
                <w:rFonts w:ascii="Times New Roman" w:hAnsi="Times New Roman"/>
                <w:sz w:val="21"/>
                <w:szCs w:val="21"/>
              </w:rPr>
              <w:t>investigational</w:t>
            </w:r>
            <w:r w:rsidRPr="00F16A5E">
              <w:rPr>
                <w:rFonts w:ascii="Times New Roman" w:hAnsi="Times New Roman"/>
                <w:sz w:val="21"/>
                <w:szCs w:val="21"/>
              </w:rPr>
              <w:t xml:space="preserve"> drug</w:t>
            </w:r>
            <w:r w:rsidR="00152A66" w:rsidRPr="00F16A5E">
              <w:rPr>
                <w:rFonts w:ascii="Times New Roman" w:hAnsi="Times New Roman"/>
                <w:sz w:val="21"/>
                <w:szCs w:val="21"/>
              </w:rPr>
              <w:t>s</w:t>
            </w:r>
            <w:r w:rsidRPr="00F16A5E">
              <w:rPr>
                <w:rFonts w:ascii="Times New Roman" w:hAnsi="Times New Roman"/>
                <w:sz w:val="21"/>
                <w:szCs w:val="21"/>
              </w:rPr>
              <w:t xml:space="preserve"> will be taken orally once a day for 12 weeks.</w:t>
            </w:r>
          </w:p>
        </w:tc>
      </w:tr>
      <w:tr w:rsidR="0001176C" w:rsidRPr="00F16A5E" w14:paraId="7FFA8F30"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1E6185CD" w14:textId="4CF5CD86" w:rsidR="0001176C" w:rsidRPr="00F16A5E" w:rsidRDefault="00BD1557" w:rsidP="00BD1557">
            <w:pPr>
              <w:spacing w:beforeLines="50" w:before="156"/>
              <w:rPr>
                <w:b/>
                <w:bCs/>
                <w:szCs w:val="21"/>
              </w:rPr>
            </w:pPr>
            <w:r w:rsidRPr="00F16A5E">
              <w:rPr>
                <w:b/>
                <w:szCs w:val="21"/>
              </w:rPr>
              <w:t>Sample Size</w:t>
            </w:r>
          </w:p>
        </w:tc>
        <w:tc>
          <w:tcPr>
            <w:tcW w:w="4184" w:type="pct"/>
            <w:tcBorders>
              <w:top w:val="single" w:sz="4" w:space="0" w:color="auto"/>
              <w:left w:val="single" w:sz="4" w:space="0" w:color="auto"/>
              <w:bottom w:val="single" w:sz="4" w:space="0" w:color="auto"/>
              <w:right w:val="single" w:sz="4" w:space="0" w:color="auto"/>
            </w:tcBorders>
            <w:vAlign w:val="center"/>
          </w:tcPr>
          <w:p w14:paraId="1E56B8C1" w14:textId="06C5235E" w:rsidR="0001176C" w:rsidRPr="00F16A5E" w:rsidRDefault="00BD1557" w:rsidP="00BD1557">
            <w:pPr>
              <w:pStyle w:val="31"/>
              <w:spacing w:beforeLines="50" w:before="156"/>
              <w:ind w:firstLineChars="0" w:firstLine="0"/>
              <w:rPr>
                <w:rFonts w:ascii="Times New Roman" w:hAnsi="Times New Roman"/>
                <w:sz w:val="21"/>
                <w:szCs w:val="21"/>
              </w:rPr>
            </w:pPr>
            <w:r w:rsidRPr="00F16A5E">
              <w:rPr>
                <w:rFonts w:ascii="Times New Roman" w:hAnsi="Times New Roman"/>
                <w:sz w:val="21"/>
                <w:szCs w:val="21"/>
              </w:rPr>
              <w:t>It is planned to recruit 60 subjects in this study.</w:t>
            </w:r>
          </w:p>
        </w:tc>
      </w:tr>
      <w:tr w:rsidR="0001176C" w:rsidRPr="00F16A5E" w14:paraId="18F5C8AA"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4A5424CA" w14:textId="68889803" w:rsidR="0001176C" w:rsidRPr="00F16A5E" w:rsidRDefault="00BD1557" w:rsidP="00BD1557">
            <w:pPr>
              <w:spacing w:beforeLines="50" w:before="156"/>
              <w:rPr>
                <w:b/>
                <w:szCs w:val="21"/>
              </w:rPr>
            </w:pPr>
            <w:r w:rsidRPr="00F16A5E">
              <w:rPr>
                <w:b/>
                <w:szCs w:val="21"/>
              </w:rPr>
              <w:t>Inclusion Criteria</w:t>
            </w:r>
          </w:p>
        </w:tc>
        <w:tc>
          <w:tcPr>
            <w:tcW w:w="4184" w:type="pct"/>
            <w:tcBorders>
              <w:top w:val="single" w:sz="4" w:space="0" w:color="auto"/>
              <w:left w:val="single" w:sz="4" w:space="0" w:color="auto"/>
              <w:bottom w:val="single" w:sz="4" w:space="0" w:color="auto"/>
              <w:right w:val="single" w:sz="4" w:space="0" w:color="auto"/>
            </w:tcBorders>
            <w:vAlign w:val="center"/>
          </w:tcPr>
          <w:p w14:paraId="19143912" w14:textId="6CE1931B" w:rsidR="0001176C" w:rsidRPr="00F16A5E" w:rsidRDefault="00BD1557" w:rsidP="00BD1557">
            <w:pPr>
              <w:pStyle w:val="31"/>
              <w:spacing w:beforeLines="50" w:before="156"/>
              <w:ind w:firstLineChars="0" w:firstLine="0"/>
              <w:rPr>
                <w:rFonts w:ascii="Times New Roman" w:hAnsi="Times New Roman"/>
                <w:b/>
                <w:sz w:val="21"/>
                <w:szCs w:val="21"/>
              </w:rPr>
            </w:pPr>
            <w:r w:rsidRPr="00F16A5E">
              <w:rPr>
                <w:rFonts w:ascii="Times New Roman" w:hAnsi="Times New Roman"/>
                <w:b/>
                <w:sz w:val="21"/>
                <w:szCs w:val="21"/>
              </w:rPr>
              <w:t>Subjects eligible for the study must meet all of the following criteria:</w:t>
            </w:r>
          </w:p>
          <w:p w14:paraId="643E765D" w14:textId="7511B572" w:rsidR="00BD1557" w:rsidRPr="00F16A5E" w:rsidRDefault="00892D81" w:rsidP="00BD1557">
            <w:pPr>
              <w:pStyle w:val="SynopsisBullet"/>
              <w:numPr>
                <w:ilvl w:val="0"/>
                <w:numId w:val="5"/>
              </w:numPr>
              <w:spacing w:before="50" w:after="0" w:line="240" w:lineRule="auto"/>
              <w:ind w:left="431" w:right="74" w:hanging="357"/>
              <w:rPr>
                <w:rFonts w:ascii="Times New Roman" w:hAnsi="Times New Roman"/>
                <w:sz w:val="21"/>
                <w:szCs w:val="21"/>
              </w:rPr>
            </w:pPr>
            <w:r w:rsidRPr="00F16A5E">
              <w:rPr>
                <w:rFonts w:ascii="Times New Roman" w:hAnsi="Times New Roman"/>
                <w:sz w:val="21"/>
                <w:szCs w:val="21"/>
              </w:rPr>
              <w:t>Able to provide written informed consent</w:t>
            </w:r>
            <w:r w:rsidR="00BD1557" w:rsidRPr="00F16A5E">
              <w:rPr>
                <w:rFonts w:ascii="Times New Roman" w:hAnsi="Times New Roman"/>
                <w:sz w:val="21"/>
                <w:szCs w:val="21"/>
              </w:rPr>
              <w:t>.</w:t>
            </w:r>
          </w:p>
          <w:p w14:paraId="4B4FBF4D" w14:textId="77777777" w:rsidR="00BD1557" w:rsidRPr="00F16A5E" w:rsidRDefault="00BD1557" w:rsidP="00BD1557">
            <w:pPr>
              <w:pStyle w:val="SynopsisBullet"/>
              <w:numPr>
                <w:ilvl w:val="0"/>
                <w:numId w:val="5"/>
              </w:numPr>
              <w:spacing w:before="50" w:after="0" w:line="240" w:lineRule="auto"/>
              <w:ind w:left="431" w:right="74" w:hanging="357"/>
              <w:rPr>
                <w:rFonts w:ascii="Times New Roman" w:hAnsi="Times New Roman"/>
                <w:sz w:val="21"/>
                <w:szCs w:val="21"/>
              </w:rPr>
            </w:pPr>
            <w:r w:rsidRPr="00F16A5E">
              <w:rPr>
                <w:rFonts w:ascii="Times New Roman" w:hAnsi="Times New Roman"/>
                <w:sz w:val="21"/>
                <w:szCs w:val="21"/>
              </w:rPr>
              <w:t>Male or female subjects aged 18-75 years.</w:t>
            </w:r>
          </w:p>
          <w:p w14:paraId="4D6ACDEE" w14:textId="77777777" w:rsidR="00BD1557" w:rsidRPr="00F16A5E" w:rsidRDefault="00BD1557" w:rsidP="00BD1557">
            <w:pPr>
              <w:pStyle w:val="SynopsisBullet"/>
              <w:numPr>
                <w:ilvl w:val="0"/>
                <w:numId w:val="5"/>
              </w:numPr>
              <w:spacing w:before="50" w:after="0" w:line="240" w:lineRule="auto"/>
              <w:ind w:left="431" w:right="74" w:hanging="357"/>
              <w:rPr>
                <w:rFonts w:ascii="Times New Roman" w:hAnsi="Times New Roman"/>
                <w:sz w:val="21"/>
                <w:szCs w:val="21"/>
              </w:rPr>
            </w:pPr>
            <w:r w:rsidRPr="00F16A5E">
              <w:rPr>
                <w:rFonts w:ascii="Times New Roman" w:hAnsi="Times New Roman"/>
                <w:sz w:val="21"/>
                <w:szCs w:val="21"/>
              </w:rPr>
              <w:t>Diagnosis of SLE at &gt;6 months before signing the informed consent, meeting at least 4 out of 11 criteria of American College of Rheumatology (ACR) classification criteria for SLE.</w:t>
            </w:r>
          </w:p>
          <w:p w14:paraId="156AFEF4" w14:textId="77777777" w:rsidR="00BD1557" w:rsidRPr="00F16A5E" w:rsidRDefault="00BD1557" w:rsidP="00BD1557">
            <w:pPr>
              <w:pStyle w:val="SynopsisBullet"/>
              <w:numPr>
                <w:ilvl w:val="0"/>
                <w:numId w:val="5"/>
              </w:numPr>
              <w:spacing w:before="50" w:after="0" w:line="240" w:lineRule="auto"/>
              <w:ind w:left="431" w:right="74" w:hanging="357"/>
              <w:rPr>
                <w:rFonts w:ascii="Times New Roman" w:hAnsi="Times New Roman"/>
                <w:sz w:val="21"/>
                <w:szCs w:val="21"/>
              </w:rPr>
            </w:pPr>
            <w:r w:rsidRPr="00F16A5E">
              <w:rPr>
                <w:rFonts w:ascii="Times New Roman" w:hAnsi="Times New Roman"/>
                <w:sz w:val="21"/>
                <w:szCs w:val="21"/>
              </w:rPr>
              <w:t>The total score of SLEDAI-2K at screening is 5-12 (including cut-off value).</w:t>
            </w:r>
          </w:p>
          <w:p w14:paraId="1B5760EE" w14:textId="38E5FBA8" w:rsidR="00BD1557" w:rsidRPr="00F16A5E" w:rsidRDefault="00BD1557" w:rsidP="00BD1557">
            <w:pPr>
              <w:pStyle w:val="SynopsisBullet"/>
              <w:numPr>
                <w:ilvl w:val="0"/>
                <w:numId w:val="5"/>
              </w:numPr>
              <w:spacing w:before="50" w:after="0" w:line="240" w:lineRule="auto"/>
              <w:ind w:left="431" w:right="74" w:hanging="357"/>
              <w:rPr>
                <w:rFonts w:ascii="Times New Roman" w:hAnsi="Times New Roman"/>
                <w:sz w:val="21"/>
                <w:szCs w:val="21"/>
              </w:rPr>
            </w:pPr>
            <w:r w:rsidRPr="00F16A5E">
              <w:rPr>
                <w:rFonts w:ascii="Times New Roman" w:hAnsi="Times New Roman"/>
                <w:sz w:val="21"/>
                <w:szCs w:val="21"/>
              </w:rPr>
              <w:t xml:space="preserve">Currently under standard treatment for SLE and has been treated for at least 3 months. The standard treatment for SLE can be corticosteroids, and/or antimalarials (such as chloroquine or hydroxychloroquine), and/or immunosuppressants (such as azathioprine, methotrexate, mycophenolate mofetil, or sodium mycophenolate, cyclosporine, leflunomide, tacrolimus, sirolimus, </w:t>
            </w:r>
            <w:proofErr w:type="spellStart"/>
            <w:r w:rsidRPr="00F16A5E">
              <w:rPr>
                <w:rFonts w:ascii="Times New Roman" w:hAnsi="Times New Roman"/>
                <w:sz w:val="21"/>
                <w:szCs w:val="21"/>
              </w:rPr>
              <w:t>mizoribine</w:t>
            </w:r>
            <w:proofErr w:type="spellEnd"/>
            <w:r w:rsidRPr="00F16A5E">
              <w:rPr>
                <w:rFonts w:ascii="Times New Roman" w:hAnsi="Times New Roman"/>
                <w:sz w:val="21"/>
                <w:szCs w:val="21"/>
              </w:rPr>
              <w:t xml:space="preserve">, 6-mercaptopurine, </w:t>
            </w:r>
            <w:proofErr w:type="spellStart"/>
            <w:r w:rsidRPr="00F16A5E">
              <w:rPr>
                <w:rFonts w:ascii="Times New Roman" w:hAnsi="Times New Roman"/>
                <w:sz w:val="21"/>
                <w:szCs w:val="21"/>
              </w:rPr>
              <w:t>iguratimod</w:t>
            </w:r>
            <w:proofErr w:type="spellEnd"/>
            <w:r w:rsidRPr="00F16A5E">
              <w:rPr>
                <w:rFonts w:ascii="Times New Roman" w:hAnsi="Times New Roman"/>
                <w:sz w:val="21"/>
                <w:szCs w:val="21"/>
              </w:rPr>
              <w:t xml:space="preserve"> or thalidomide).</w:t>
            </w:r>
          </w:p>
          <w:p w14:paraId="005005A9" w14:textId="078B4F5E" w:rsidR="0001176C" w:rsidRPr="00F16A5E" w:rsidRDefault="00BD1557" w:rsidP="00BD1557">
            <w:pPr>
              <w:pStyle w:val="SynopsisBullet"/>
              <w:numPr>
                <w:ilvl w:val="0"/>
                <w:numId w:val="5"/>
              </w:numPr>
              <w:spacing w:before="50" w:after="0" w:line="240" w:lineRule="auto"/>
              <w:ind w:left="431" w:right="74" w:hanging="357"/>
              <w:jc w:val="both"/>
              <w:rPr>
                <w:rFonts w:ascii="Times New Roman" w:hAnsi="Times New Roman"/>
                <w:sz w:val="21"/>
                <w:szCs w:val="21"/>
              </w:rPr>
            </w:pPr>
            <w:r w:rsidRPr="00F16A5E">
              <w:rPr>
                <w:rFonts w:ascii="Times New Roman" w:hAnsi="Times New Roman"/>
                <w:sz w:val="21"/>
                <w:szCs w:val="21"/>
              </w:rPr>
              <w:t>Anti-dsDNA antibody positive and/or ANA positive and/or anti-Smith antibody positive, all based on the normal reference ranges provided by the local hospital.</w:t>
            </w:r>
          </w:p>
        </w:tc>
      </w:tr>
      <w:tr w:rsidR="0001176C" w:rsidRPr="00F16A5E" w14:paraId="68B6C71D"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281FD1F1" w14:textId="5CB45A32" w:rsidR="0001176C" w:rsidRPr="00F16A5E" w:rsidRDefault="00BD1557" w:rsidP="00BD1557">
            <w:pPr>
              <w:spacing w:beforeLines="50" w:before="156"/>
              <w:rPr>
                <w:b/>
                <w:szCs w:val="21"/>
              </w:rPr>
            </w:pPr>
            <w:r w:rsidRPr="00F16A5E">
              <w:rPr>
                <w:b/>
                <w:szCs w:val="21"/>
              </w:rPr>
              <w:t>Exclusions Criteria</w:t>
            </w:r>
          </w:p>
        </w:tc>
        <w:tc>
          <w:tcPr>
            <w:tcW w:w="4184" w:type="pct"/>
            <w:tcBorders>
              <w:top w:val="single" w:sz="4" w:space="0" w:color="auto"/>
              <w:left w:val="single" w:sz="4" w:space="0" w:color="auto"/>
              <w:bottom w:val="single" w:sz="4" w:space="0" w:color="auto"/>
              <w:right w:val="single" w:sz="4" w:space="0" w:color="auto"/>
            </w:tcBorders>
            <w:vAlign w:val="center"/>
          </w:tcPr>
          <w:p w14:paraId="67C5C486" w14:textId="5F2F31B2" w:rsidR="0001176C" w:rsidRPr="00F16A5E" w:rsidRDefault="0053453D" w:rsidP="00BD1557">
            <w:pPr>
              <w:pStyle w:val="31"/>
              <w:spacing w:beforeLines="50" w:before="156"/>
              <w:ind w:firstLineChars="0" w:firstLine="0"/>
              <w:rPr>
                <w:rFonts w:ascii="Times New Roman" w:hAnsi="Times New Roman"/>
                <w:b/>
                <w:sz w:val="21"/>
                <w:szCs w:val="21"/>
              </w:rPr>
            </w:pPr>
            <w:r w:rsidRPr="00F16A5E">
              <w:rPr>
                <w:rFonts w:ascii="Times New Roman" w:hAnsi="Times New Roman"/>
                <w:b/>
                <w:sz w:val="21"/>
                <w:szCs w:val="21"/>
              </w:rPr>
              <w:t>Subjects who meet any of the following criteria will be excluded from this study:</w:t>
            </w:r>
          </w:p>
          <w:p w14:paraId="08163855" w14:textId="77777777" w:rsidR="0053453D" w:rsidRPr="00F16A5E" w:rsidRDefault="0053453D" w:rsidP="0053453D">
            <w:pPr>
              <w:pStyle w:val="SynopsisText"/>
              <w:numPr>
                <w:ilvl w:val="0"/>
                <w:numId w:val="6"/>
              </w:numPr>
              <w:spacing w:before="50"/>
              <w:rPr>
                <w:rFonts w:ascii="Times New Roman" w:hAnsi="Times New Roman"/>
                <w:sz w:val="21"/>
                <w:szCs w:val="21"/>
              </w:rPr>
            </w:pPr>
            <w:r w:rsidRPr="00F16A5E">
              <w:rPr>
                <w:rFonts w:ascii="Times New Roman" w:hAnsi="Times New Roman"/>
                <w:sz w:val="21"/>
                <w:szCs w:val="21"/>
              </w:rPr>
              <w:t>Not able to abide by the protocol requirements.</w:t>
            </w:r>
          </w:p>
          <w:p w14:paraId="7AE4B326" w14:textId="577BC941" w:rsidR="0053453D" w:rsidRPr="00F16A5E" w:rsidRDefault="0053453D" w:rsidP="0053453D">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Females who are pregnant or breastfeeding or intend to become pregnant during the study or male partners.</w:t>
            </w:r>
          </w:p>
          <w:p w14:paraId="66F231CC" w14:textId="244230B5" w:rsidR="0001176C" w:rsidRPr="00F16A5E" w:rsidRDefault="0053453D" w:rsidP="00BD1557">
            <w:pPr>
              <w:pStyle w:val="aa"/>
              <w:keepLines/>
              <w:widowControl/>
              <w:numPr>
                <w:ilvl w:val="0"/>
                <w:numId w:val="1"/>
              </w:numPr>
              <w:spacing w:before="50"/>
              <w:ind w:left="817" w:firstLineChars="0"/>
              <w:rPr>
                <w:rFonts w:ascii="Times New Roman" w:hAnsi="Times New Roman"/>
                <w:szCs w:val="21"/>
              </w:rPr>
            </w:pPr>
            <w:r w:rsidRPr="00F16A5E">
              <w:rPr>
                <w:rFonts w:ascii="Times New Roman" w:hAnsi="Times New Roman"/>
                <w:szCs w:val="21"/>
              </w:rPr>
              <w:lastRenderedPageBreak/>
              <w:t>Pregnancy test is not required for women of non-childbearing potential who have been postmenopausal (at least 12 months of non-therapy-induced amenorrhea) or surgically sterilized (absence of ovaries and/or uterus).</w:t>
            </w:r>
          </w:p>
          <w:p w14:paraId="4500A08D" w14:textId="1437F697" w:rsidR="0053453D" w:rsidRPr="00F16A5E" w:rsidRDefault="0053453D" w:rsidP="0053453D">
            <w:pPr>
              <w:pStyle w:val="SynopsisText"/>
              <w:numPr>
                <w:ilvl w:val="0"/>
                <w:numId w:val="6"/>
              </w:numPr>
              <w:spacing w:before="50"/>
              <w:rPr>
                <w:rFonts w:ascii="Times New Roman" w:hAnsi="Times New Roman"/>
                <w:sz w:val="21"/>
                <w:szCs w:val="21"/>
              </w:rPr>
            </w:pPr>
            <w:r w:rsidRPr="00F16A5E">
              <w:rPr>
                <w:rFonts w:ascii="Times New Roman" w:hAnsi="Times New Roman"/>
                <w:sz w:val="21"/>
                <w:szCs w:val="21"/>
              </w:rPr>
              <w:t>Pr</w:t>
            </w:r>
            <w:r w:rsidR="002A1E41" w:rsidRPr="00F16A5E">
              <w:rPr>
                <w:rFonts w:ascii="Times New Roman" w:hAnsi="Times New Roman"/>
                <w:sz w:val="21"/>
                <w:szCs w:val="21"/>
              </w:rPr>
              <w:t>ior exposure to a BTK inhib</w:t>
            </w:r>
            <w:r w:rsidRPr="00F16A5E">
              <w:rPr>
                <w:rFonts w:ascii="Times New Roman" w:hAnsi="Times New Roman"/>
                <w:sz w:val="21"/>
                <w:szCs w:val="21"/>
              </w:rPr>
              <w:t>ito</w:t>
            </w:r>
            <w:r w:rsidR="002A1E41" w:rsidRPr="00F16A5E">
              <w:rPr>
                <w:rFonts w:ascii="Times New Roman" w:hAnsi="Times New Roman"/>
                <w:sz w:val="21"/>
                <w:szCs w:val="21"/>
              </w:rPr>
              <w:t>r.</w:t>
            </w:r>
          </w:p>
          <w:p w14:paraId="746D52B9" w14:textId="441C2B52" w:rsidR="0001176C" w:rsidRPr="00F16A5E" w:rsidRDefault="0053453D" w:rsidP="0053453D">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Suffering from Neuropsychiatric Systemic Lupus Erythematosus (NPSLE), manifested as mental confusion, organic encephalopathy syndrome, cranial nerve disease, lupus headache, or new cerebrovascular accident, etc.).</w:t>
            </w:r>
          </w:p>
          <w:p w14:paraId="14CEFA62" w14:textId="77777777" w:rsidR="0053453D" w:rsidRPr="00F16A5E" w:rsidRDefault="0053453D" w:rsidP="0053453D">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Severe or rapidly progressive type III or IV glomerulitis, simple type V or VI lupus nephritis, or active nephritis that requires the use of drugs prohibited by the protocol, or active nephritis that requires hemodialysis treatment.</w:t>
            </w:r>
          </w:p>
          <w:p w14:paraId="210B6777" w14:textId="63684A81" w:rsidR="0001176C" w:rsidRPr="00F16A5E" w:rsidRDefault="0053453D" w:rsidP="0053453D">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Suffering from other autoimmune diseases except SLE (excluding secondary Sjogren’s syndrome).</w:t>
            </w:r>
          </w:p>
          <w:p w14:paraId="4D8CF534" w14:textId="74244D78" w:rsidR="0001176C" w:rsidRPr="00F16A5E" w:rsidRDefault="0053453D"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Subjects who intend to start or change anti-SLE treatment after the screening visit.</w:t>
            </w:r>
          </w:p>
          <w:p w14:paraId="33A7B5D7" w14:textId="2BC17458" w:rsidR="0001176C" w:rsidRPr="00F16A5E" w:rsidRDefault="0053453D"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Prior corticosteroids given in excess of prednisone 25 mg/day or its equivalent or previously changed the corticosteroid dose, within the 28 days before randomization.</w:t>
            </w:r>
          </w:p>
          <w:p w14:paraId="43F7CCCD" w14:textId="50F21A3E" w:rsidR="0001176C" w:rsidRPr="00F16A5E" w:rsidRDefault="004751B5"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Hav</w:t>
            </w:r>
            <w:r w:rsidR="00F15766" w:rsidRPr="00F16A5E">
              <w:rPr>
                <w:rFonts w:ascii="Times New Roman" w:hAnsi="Times New Roman"/>
                <w:sz w:val="21"/>
                <w:szCs w:val="21"/>
              </w:rPr>
              <w:t>e</w:t>
            </w:r>
            <w:r w:rsidRPr="00F16A5E">
              <w:rPr>
                <w:rFonts w:ascii="Times New Roman" w:hAnsi="Times New Roman"/>
                <w:sz w:val="21"/>
                <w:szCs w:val="21"/>
              </w:rPr>
              <w:t xml:space="preserve"> started any angiotensin-converting enzyme inhibitor or angiotensin receptor blocker, or nonsteroidal anti-inflammatory drug (NSAID) or changed their doses, within 1 week before screening or during screening.</w:t>
            </w:r>
          </w:p>
          <w:p w14:paraId="29AC6F66" w14:textId="6E80EB8A" w:rsidR="00A30F9E" w:rsidRPr="00F16A5E" w:rsidRDefault="004751B5" w:rsidP="00BD1557">
            <w:pPr>
              <w:pStyle w:val="SynopsisText"/>
              <w:numPr>
                <w:ilvl w:val="0"/>
                <w:numId w:val="6"/>
              </w:numPr>
              <w:spacing w:before="50" w:after="0" w:line="240" w:lineRule="auto"/>
              <w:jc w:val="both"/>
              <w:rPr>
                <w:rFonts w:ascii="Times New Roman" w:hAnsi="Times New Roman"/>
                <w:sz w:val="21"/>
                <w:szCs w:val="21"/>
              </w:rPr>
            </w:pPr>
            <w:bookmarkStart w:id="6" w:name="_Hlk12633661"/>
            <w:r w:rsidRPr="00F16A5E">
              <w:rPr>
                <w:rFonts w:ascii="Times New Roman" w:hAnsi="Times New Roman"/>
                <w:sz w:val="21"/>
                <w:szCs w:val="21"/>
              </w:rPr>
              <w:t>Hav</w:t>
            </w:r>
            <w:r w:rsidR="00F15766" w:rsidRPr="00F16A5E">
              <w:rPr>
                <w:rFonts w:ascii="Times New Roman" w:hAnsi="Times New Roman"/>
                <w:sz w:val="21"/>
                <w:szCs w:val="21"/>
              </w:rPr>
              <w:t>e</w:t>
            </w:r>
            <w:r w:rsidRPr="00F16A5E">
              <w:rPr>
                <w:rFonts w:ascii="Times New Roman" w:hAnsi="Times New Roman"/>
                <w:sz w:val="21"/>
                <w:szCs w:val="21"/>
              </w:rPr>
              <w:t xml:space="preserve"> started the following antimalarials or immunosuppressants within 3 months before randomization, or changed their doses within 28 days before randomization:</w:t>
            </w:r>
          </w:p>
          <w:p w14:paraId="20C887C5" w14:textId="5F1E7B44" w:rsidR="002D5641" w:rsidRPr="00F16A5E" w:rsidRDefault="004751B5"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Antimalarial drugs, including chloroquine or hydroxychloroquine;</w:t>
            </w:r>
          </w:p>
          <w:p w14:paraId="3398D9DB" w14:textId="50E4B1E1" w:rsidR="002D5641" w:rsidRPr="00F16A5E" w:rsidRDefault="004751B5" w:rsidP="00BD1557">
            <w:pPr>
              <w:pStyle w:val="aa"/>
              <w:keepLines/>
              <w:widowControl/>
              <w:numPr>
                <w:ilvl w:val="0"/>
                <w:numId w:val="1"/>
              </w:numPr>
              <w:spacing w:before="50"/>
              <w:ind w:firstLineChars="0"/>
              <w:rPr>
                <w:rFonts w:ascii="Times New Roman" w:hAnsi="Times New Roman"/>
                <w:szCs w:val="21"/>
              </w:rPr>
            </w:pPr>
            <w:r w:rsidRPr="00F16A5E">
              <w:rPr>
                <w:rFonts w:ascii="Times New Roman" w:hAnsi="Times New Roman"/>
                <w:szCs w:val="21"/>
              </w:rPr>
              <w:t xml:space="preserve">Immunosuppressants, including methotrexate, azathioprine, mycophenolate mofetil or sodium mycophenolate, cyclosporine, tacrolimus, sirolimus, leflunomide, </w:t>
            </w:r>
            <w:proofErr w:type="spellStart"/>
            <w:r w:rsidRPr="00F16A5E">
              <w:rPr>
                <w:rFonts w:ascii="Times New Roman" w:hAnsi="Times New Roman"/>
                <w:szCs w:val="21"/>
              </w:rPr>
              <w:t>mizoribine</w:t>
            </w:r>
            <w:proofErr w:type="spellEnd"/>
            <w:r w:rsidRPr="00F16A5E">
              <w:rPr>
                <w:rFonts w:ascii="Times New Roman" w:hAnsi="Times New Roman"/>
                <w:szCs w:val="21"/>
              </w:rPr>
              <w:t xml:space="preserve">, 6-mercaptopurine, </w:t>
            </w:r>
            <w:proofErr w:type="spellStart"/>
            <w:r w:rsidRPr="00F16A5E">
              <w:rPr>
                <w:rFonts w:ascii="Times New Roman" w:hAnsi="Times New Roman"/>
                <w:szCs w:val="21"/>
              </w:rPr>
              <w:t>iguratimod</w:t>
            </w:r>
            <w:proofErr w:type="spellEnd"/>
            <w:r w:rsidRPr="00F16A5E">
              <w:rPr>
                <w:rFonts w:ascii="Times New Roman" w:hAnsi="Times New Roman"/>
                <w:szCs w:val="21"/>
              </w:rPr>
              <w:t xml:space="preserve"> or thalidomide.</w:t>
            </w:r>
          </w:p>
          <w:p w14:paraId="08F9FBBD" w14:textId="38B112B8" w:rsidR="009F1FEE" w:rsidRPr="00F16A5E" w:rsidRDefault="004751B5" w:rsidP="00BD1557">
            <w:pPr>
              <w:pStyle w:val="SynopsisText"/>
              <w:numPr>
                <w:ilvl w:val="0"/>
                <w:numId w:val="6"/>
              </w:numPr>
              <w:spacing w:before="50" w:after="0" w:line="240" w:lineRule="auto"/>
              <w:jc w:val="both"/>
              <w:rPr>
                <w:rFonts w:ascii="Times New Roman" w:hAnsi="Times New Roman"/>
                <w:sz w:val="21"/>
                <w:szCs w:val="21"/>
              </w:rPr>
            </w:pPr>
            <w:bookmarkStart w:id="7" w:name="_Hlk12352258"/>
            <w:bookmarkEnd w:id="6"/>
            <w:r w:rsidRPr="00F16A5E">
              <w:rPr>
                <w:rFonts w:ascii="Times New Roman" w:hAnsi="Times New Roman"/>
                <w:sz w:val="21"/>
                <w:szCs w:val="21"/>
              </w:rPr>
              <w:t>Hav</w:t>
            </w:r>
            <w:r w:rsidR="00F15766" w:rsidRPr="00F16A5E">
              <w:rPr>
                <w:rFonts w:ascii="Times New Roman" w:hAnsi="Times New Roman"/>
                <w:sz w:val="21"/>
                <w:szCs w:val="21"/>
              </w:rPr>
              <w:t>e</w:t>
            </w:r>
            <w:r w:rsidRPr="00F16A5E">
              <w:rPr>
                <w:rFonts w:ascii="Times New Roman" w:hAnsi="Times New Roman"/>
                <w:sz w:val="21"/>
                <w:szCs w:val="21"/>
              </w:rPr>
              <w:t xml:space="preserve"> used rituximab, epratuzumab, or any other B-cell depletion treatment within 12 months before randomization.</w:t>
            </w:r>
          </w:p>
          <w:bookmarkEnd w:id="7"/>
          <w:p w14:paraId="0497749D" w14:textId="22551E96" w:rsidR="002D5641" w:rsidRPr="00F16A5E" w:rsidRDefault="004751B5"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Hav</w:t>
            </w:r>
            <w:r w:rsidR="00F15766" w:rsidRPr="00F16A5E">
              <w:rPr>
                <w:rFonts w:ascii="Times New Roman" w:hAnsi="Times New Roman"/>
                <w:sz w:val="21"/>
                <w:szCs w:val="21"/>
              </w:rPr>
              <w:t>e</w:t>
            </w:r>
            <w:r w:rsidRPr="00F16A5E">
              <w:rPr>
                <w:rFonts w:ascii="Times New Roman" w:hAnsi="Times New Roman"/>
                <w:sz w:val="21"/>
                <w:szCs w:val="21"/>
              </w:rPr>
              <w:t xml:space="preserve"> used cyclophosphamide and chlorambucil within 6 months before randomization.</w:t>
            </w:r>
          </w:p>
          <w:p w14:paraId="2F21EA01" w14:textId="61BDF36E" w:rsidR="00D826A9" w:rsidRPr="00F16A5E" w:rsidRDefault="004751B5" w:rsidP="00BD1557">
            <w:pPr>
              <w:pStyle w:val="SynopsisText"/>
              <w:numPr>
                <w:ilvl w:val="0"/>
                <w:numId w:val="6"/>
              </w:numPr>
              <w:spacing w:before="50" w:after="0" w:line="240" w:lineRule="auto"/>
              <w:rPr>
                <w:rFonts w:ascii="Times New Roman" w:hAnsi="Times New Roman"/>
                <w:sz w:val="21"/>
                <w:szCs w:val="21"/>
              </w:rPr>
            </w:pPr>
            <w:r w:rsidRPr="00F16A5E">
              <w:rPr>
                <w:rFonts w:ascii="Times New Roman" w:hAnsi="Times New Roman"/>
                <w:sz w:val="21"/>
                <w:szCs w:val="21"/>
              </w:rPr>
              <w:t>Hav</w:t>
            </w:r>
            <w:r w:rsidR="00F15766" w:rsidRPr="00F16A5E">
              <w:rPr>
                <w:rFonts w:ascii="Times New Roman" w:hAnsi="Times New Roman"/>
                <w:sz w:val="21"/>
                <w:szCs w:val="21"/>
              </w:rPr>
              <w:t>e</w:t>
            </w:r>
            <w:r w:rsidRPr="00F16A5E">
              <w:rPr>
                <w:rFonts w:ascii="Times New Roman" w:hAnsi="Times New Roman"/>
                <w:sz w:val="21"/>
                <w:szCs w:val="21"/>
              </w:rPr>
              <w:t xml:space="preserve"> received belimumab, tumor necrosis factor (TNF) blockers, interleukin receptor blockers or other biological agents, intravenous immunoglobulin, or plasma exchange therapy, within 3 months before randomization (or 5 half-lives, whichever is longer).</w:t>
            </w:r>
          </w:p>
          <w:p w14:paraId="431AEB20" w14:textId="06EFD083" w:rsidR="00D826A9" w:rsidRPr="00F16A5E" w:rsidRDefault="004751B5" w:rsidP="00BD1557">
            <w:pPr>
              <w:pStyle w:val="SynopsisText"/>
              <w:numPr>
                <w:ilvl w:val="0"/>
                <w:numId w:val="6"/>
              </w:numPr>
              <w:spacing w:before="50" w:after="0" w:line="240" w:lineRule="auto"/>
              <w:rPr>
                <w:rFonts w:ascii="Times New Roman" w:hAnsi="Times New Roman"/>
                <w:sz w:val="21"/>
                <w:szCs w:val="21"/>
              </w:rPr>
            </w:pPr>
            <w:r w:rsidRPr="00F16A5E">
              <w:rPr>
                <w:rFonts w:ascii="Times New Roman" w:hAnsi="Times New Roman"/>
                <w:sz w:val="21"/>
                <w:szCs w:val="21"/>
              </w:rPr>
              <w:t>Hav</w:t>
            </w:r>
            <w:r w:rsidR="00F15766" w:rsidRPr="00F16A5E">
              <w:rPr>
                <w:rFonts w:ascii="Times New Roman" w:hAnsi="Times New Roman"/>
                <w:sz w:val="21"/>
                <w:szCs w:val="21"/>
              </w:rPr>
              <w:t>e</w:t>
            </w:r>
            <w:r w:rsidRPr="00F16A5E">
              <w:rPr>
                <w:rFonts w:ascii="Times New Roman" w:hAnsi="Times New Roman"/>
                <w:sz w:val="21"/>
                <w:szCs w:val="21"/>
              </w:rPr>
              <w:t xml:space="preserve"> participated in any other clinical trial or hav</w:t>
            </w:r>
            <w:r w:rsidR="00F15766" w:rsidRPr="00F16A5E">
              <w:rPr>
                <w:rFonts w:ascii="Times New Roman" w:hAnsi="Times New Roman"/>
                <w:sz w:val="21"/>
                <w:szCs w:val="21"/>
              </w:rPr>
              <w:t>e</w:t>
            </w:r>
            <w:r w:rsidRPr="00F16A5E">
              <w:rPr>
                <w:rFonts w:ascii="Times New Roman" w:hAnsi="Times New Roman"/>
                <w:sz w:val="21"/>
                <w:szCs w:val="21"/>
              </w:rPr>
              <w:t xml:space="preserve"> used </w:t>
            </w:r>
            <w:r w:rsidR="00F15766" w:rsidRPr="00F16A5E">
              <w:rPr>
                <w:rFonts w:ascii="Times New Roman" w:hAnsi="Times New Roman"/>
                <w:sz w:val="21"/>
                <w:szCs w:val="21"/>
              </w:rPr>
              <w:t xml:space="preserve">any </w:t>
            </w:r>
            <w:r w:rsidRPr="00F16A5E">
              <w:rPr>
                <w:rFonts w:ascii="Times New Roman" w:hAnsi="Times New Roman"/>
                <w:sz w:val="21"/>
                <w:szCs w:val="21"/>
              </w:rPr>
              <w:t>investigational drug or other immunosuppressants/modulators (unless approved by the medical monitor) within 28 days before the screening period (or 5 half-lives, whichever is longer).</w:t>
            </w:r>
          </w:p>
          <w:p w14:paraId="14F625ED" w14:textId="72158589" w:rsidR="00A8297E" w:rsidRPr="00F16A5E" w:rsidRDefault="004751B5"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lastRenderedPageBreak/>
              <w:t>Hav</w:t>
            </w:r>
            <w:r w:rsidR="00F15766" w:rsidRPr="00F16A5E">
              <w:rPr>
                <w:rFonts w:ascii="Times New Roman" w:hAnsi="Times New Roman"/>
                <w:sz w:val="21"/>
                <w:szCs w:val="21"/>
              </w:rPr>
              <w:t>e</w:t>
            </w:r>
            <w:r w:rsidRPr="00F16A5E">
              <w:rPr>
                <w:rFonts w:ascii="Times New Roman" w:hAnsi="Times New Roman"/>
                <w:sz w:val="21"/>
                <w:szCs w:val="21"/>
              </w:rPr>
              <w:t xml:space="preserve"> received cyclosporine A topical cream/ointment preparations (except ophthalmic drugs), strong topical glucocorticoids (as per World Health Organization coding dictionary) or other local immunomodulators (such as tacrolimus, pimecrolimus) withing 28 days before randomization.</w:t>
            </w:r>
          </w:p>
          <w:p w14:paraId="3B41E829" w14:textId="0C5ECF4B" w:rsidR="0001176C" w:rsidRPr="00F16A5E" w:rsidRDefault="004751B5"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Vaccination with live or live-attenuated virus vaccine within 1 month before screening or during screening.</w:t>
            </w:r>
          </w:p>
          <w:p w14:paraId="6A744888" w14:textId="7894EAEA" w:rsidR="0001176C" w:rsidRPr="00F16A5E" w:rsidRDefault="004751B5" w:rsidP="00BD1557">
            <w:pPr>
              <w:pStyle w:val="aa"/>
              <w:numPr>
                <w:ilvl w:val="0"/>
                <w:numId w:val="1"/>
              </w:numPr>
              <w:spacing w:before="50"/>
              <w:ind w:left="817" w:firstLineChars="0"/>
              <w:rPr>
                <w:rFonts w:ascii="Times New Roman" w:hAnsi="Times New Roman"/>
                <w:szCs w:val="21"/>
              </w:rPr>
            </w:pPr>
            <w:r w:rsidRPr="00F16A5E">
              <w:rPr>
                <w:rFonts w:ascii="Times New Roman" w:hAnsi="Times New Roman"/>
                <w:szCs w:val="21"/>
              </w:rPr>
              <w:t>Patients who have been vaccinated against Streptococcus pneumoniae vaccine (23-valent pneumococcal polysaccharide vaccine or 13-valent pneumococcal conjugate vaccine) as per local guidelines are allowed;</w:t>
            </w:r>
          </w:p>
          <w:p w14:paraId="0A0F68DE" w14:textId="23160197" w:rsidR="0001176C" w:rsidRPr="00F16A5E" w:rsidRDefault="004751B5" w:rsidP="00BD1557">
            <w:pPr>
              <w:pStyle w:val="aa"/>
              <w:keepLines/>
              <w:widowControl/>
              <w:numPr>
                <w:ilvl w:val="0"/>
                <w:numId w:val="1"/>
              </w:numPr>
              <w:spacing w:before="50"/>
              <w:ind w:left="817" w:firstLineChars="0"/>
              <w:rPr>
                <w:rFonts w:ascii="Times New Roman" w:hAnsi="Times New Roman"/>
                <w:szCs w:val="21"/>
              </w:rPr>
            </w:pPr>
            <w:r w:rsidRPr="00F16A5E">
              <w:rPr>
                <w:rFonts w:ascii="Times New Roman" w:hAnsi="Times New Roman"/>
                <w:szCs w:val="21"/>
              </w:rPr>
              <w:t xml:space="preserve">For subjects who have received one or more influenza vaccines during screening, an interval of at least 2 weeks from the date of vaccination to the first administration of the </w:t>
            </w:r>
            <w:r w:rsidR="00C8602B" w:rsidRPr="00F16A5E">
              <w:rPr>
                <w:rFonts w:ascii="Times New Roman" w:hAnsi="Times New Roman"/>
                <w:szCs w:val="21"/>
              </w:rPr>
              <w:t>investigational</w:t>
            </w:r>
            <w:r w:rsidRPr="00F16A5E">
              <w:rPr>
                <w:rFonts w:ascii="Times New Roman" w:hAnsi="Times New Roman"/>
                <w:szCs w:val="21"/>
              </w:rPr>
              <w:t xml:space="preserve"> drug is required.</w:t>
            </w:r>
          </w:p>
          <w:p w14:paraId="0C36CFDD" w14:textId="1D368B9C" w:rsidR="0001176C" w:rsidRPr="00F16A5E" w:rsidRDefault="004751B5"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Active and uncontrolled infection (clinically significant viral, bacterial or fungal infection, etc.), or any severe infection that requires hospitalization in the past 6 months; or hav</w:t>
            </w:r>
            <w:r w:rsidR="00F15766" w:rsidRPr="00F16A5E">
              <w:rPr>
                <w:rFonts w:ascii="Times New Roman" w:hAnsi="Times New Roman"/>
                <w:sz w:val="21"/>
                <w:szCs w:val="21"/>
              </w:rPr>
              <w:t>e</w:t>
            </w:r>
            <w:r w:rsidRPr="00F16A5E">
              <w:rPr>
                <w:rFonts w:ascii="Times New Roman" w:hAnsi="Times New Roman"/>
                <w:sz w:val="21"/>
                <w:szCs w:val="21"/>
              </w:rPr>
              <w:t xml:space="preserve"> received anti-infective treatment recently (within 14 days before the first dose).</w:t>
            </w:r>
          </w:p>
          <w:p w14:paraId="19963919" w14:textId="7122165D" w:rsidR="00D826A9" w:rsidRPr="00F16A5E" w:rsidRDefault="004751B5"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Herpes zoster infection within 12 weeks prior to screening, or a history of disseminated/complex herpes zoster (</w:t>
            </w:r>
            <w:proofErr w:type="spellStart"/>
            <w:r w:rsidRPr="00F16A5E">
              <w:rPr>
                <w:rFonts w:ascii="Times New Roman" w:hAnsi="Times New Roman"/>
                <w:sz w:val="21"/>
                <w:szCs w:val="21"/>
              </w:rPr>
              <w:t>eg</w:t>
            </w:r>
            <w:proofErr w:type="spellEnd"/>
            <w:r w:rsidRPr="00F16A5E">
              <w:rPr>
                <w:rFonts w:ascii="Times New Roman" w:hAnsi="Times New Roman"/>
                <w:sz w:val="21"/>
                <w:szCs w:val="21"/>
              </w:rPr>
              <w:t>: multiple skin involvement, ocular herpes zoster, central nervous system involvement, or postherpetic neuralgia).</w:t>
            </w:r>
          </w:p>
          <w:p w14:paraId="465D737D" w14:textId="6DB57C80" w:rsidR="00651EF1" w:rsidRPr="00F16A5E" w:rsidRDefault="004751B5"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Positive tuberculosis screening during the screening period (as per the interferon-γ release assay for the diagnosis of tuberculosis, including T-SPOT</w:t>
            </w:r>
            <w:r w:rsidRPr="00F16A5E">
              <w:rPr>
                <w:rFonts w:ascii="Times New Roman" w:hAnsi="Times New Roman"/>
                <w:sz w:val="21"/>
                <w:szCs w:val="21"/>
                <w:vertAlign w:val="superscript"/>
              </w:rPr>
              <w:t>®</w:t>
            </w:r>
            <w:r w:rsidRPr="00F16A5E">
              <w:rPr>
                <w:rFonts w:ascii="Times New Roman" w:hAnsi="Times New Roman"/>
                <w:sz w:val="21"/>
                <w:szCs w:val="21"/>
              </w:rPr>
              <w:t>, etc.), or patients with active or latent tuberculosis, or tuberculosis patients who have not completed the appropriate standard treatment.</w:t>
            </w:r>
          </w:p>
          <w:p w14:paraId="464BE30A" w14:textId="2296F21B" w:rsidR="0001176C" w:rsidRPr="00F16A5E" w:rsidRDefault="004751B5"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 xml:space="preserve">The interval between the last dose of the CYP3A4 inhibitor and the first dose of </w:t>
            </w:r>
            <w:r w:rsidR="00C8602B" w:rsidRPr="00F16A5E">
              <w:rPr>
                <w:rFonts w:ascii="Times New Roman" w:hAnsi="Times New Roman"/>
                <w:sz w:val="21"/>
                <w:szCs w:val="21"/>
              </w:rPr>
              <w:t>investigational</w:t>
            </w:r>
            <w:r w:rsidRPr="00F16A5E">
              <w:rPr>
                <w:rFonts w:ascii="Times New Roman" w:hAnsi="Times New Roman"/>
                <w:sz w:val="21"/>
                <w:szCs w:val="21"/>
              </w:rPr>
              <w:t xml:space="preserve"> drug is less than 5 half-lives of CYP3A4 inhibitor.</w:t>
            </w:r>
          </w:p>
          <w:p w14:paraId="6851C6CE" w14:textId="1D343EA5" w:rsidR="0001176C" w:rsidRPr="00F16A5E" w:rsidRDefault="004751B5"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Known human immunodeficiency virus (Human Immunodeficiency Virus, HIV) infection, as evidenced by positive serological test.</w:t>
            </w:r>
          </w:p>
          <w:p w14:paraId="7AC634FB" w14:textId="38FE87E9" w:rsidR="0001176C" w:rsidRPr="00F16A5E" w:rsidRDefault="00612400" w:rsidP="00BD1557">
            <w:pPr>
              <w:pStyle w:val="SynopsisText"/>
              <w:numPr>
                <w:ilvl w:val="0"/>
                <w:numId w:val="6"/>
              </w:numPr>
              <w:spacing w:before="50" w:after="0" w:line="240" w:lineRule="auto"/>
              <w:jc w:val="both"/>
              <w:rPr>
                <w:rFonts w:ascii="Times New Roman" w:hAnsi="Times New Roman"/>
                <w:sz w:val="21"/>
                <w:szCs w:val="21"/>
              </w:rPr>
            </w:pPr>
            <w:r>
              <w:rPr>
                <w:rFonts w:ascii="Times New Roman" w:hAnsi="Times New Roman"/>
                <w:sz w:val="21"/>
                <w:szCs w:val="21"/>
              </w:rPr>
              <w:t>C</w:t>
            </w:r>
            <w:r w:rsidR="004751B5" w:rsidRPr="00F16A5E">
              <w:rPr>
                <w:rFonts w:ascii="Times New Roman" w:hAnsi="Times New Roman"/>
                <w:sz w:val="21"/>
                <w:szCs w:val="21"/>
              </w:rPr>
              <w:t xml:space="preserve">urrent </w:t>
            </w:r>
            <w:r>
              <w:rPr>
                <w:rFonts w:ascii="Times New Roman" w:hAnsi="Times New Roman"/>
                <w:sz w:val="21"/>
                <w:szCs w:val="21"/>
              </w:rPr>
              <w:t xml:space="preserve">or history of </w:t>
            </w:r>
            <w:r w:rsidR="004751B5" w:rsidRPr="00F16A5E">
              <w:rPr>
                <w:rFonts w:ascii="Times New Roman" w:hAnsi="Times New Roman"/>
                <w:sz w:val="21"/>
                <w:szCs w:val="21"/>
              </w:rPr>
              <w:t>Central Nervous System (CNS) diseases, such as epilepsy, CNS vasculitis or neurodegenerative diseases, patients with a history of stroke who have had a stroke or transient ischemic attack within 2 years before screening, or have residual neurological defects as judged by the investigator.</w:t>
            </w:r>
          </w:p>
          <w:p w14:paraId="20EB6BCF" w14:textId="4B9DA803" w:rsidR="0001176C" w:rsidRPr="00F16A5E" w:rsidRDefault="004751B5" w:rsidP="00BD1557">
            <w:pPr>
              <w:pStyle w:val="SynopsisText"/>
              <w:numPr>
                <w:ilvl w:val="0"/>
                <w:numId w:val="6"/>
              </w:numPr>
              <w:spacing w:before="50" w:after="0" w:line="240" w:lineRule="auto"/>
              <w:ind w:left="431" w:right="0" w:hanging="357"/>
              <w:jc w:val="both"/>
              <w:rPr>
                <w:rFonts w:ascii="Times New Roman" w:hAnsi="Times New Roman"/>
                <w:sz w:val="21"/>
                <w:szCs w:val="21"/>
              </w:rPr>
            </w:pPr>
            <w:r w:rsidRPr="00F16A5E">
              <w:rPr>
                <w:rFonts w:ascii="Times New Roman" w:hAnsi="Times New Roman"/>
                <w:sz w:val="21"/>
                <w:szCs w:val="21"/>
              </w:rPr>
              <w:t>Major and uncontrolled concomitant diseases (including poorly controlled diabetes and related medical history) that may affect compliance with the protocol or the interpretation of study results.</w:t>
            </w:r>
          </w:p>
          <w:p w14:paraId="0293A9F6" w14:textId="4D9C5144" w:rsidR="0001176C" w:rsidRPr="00F16A5E" w:rsidRDefault="00420294" w:rsidP="00BD1557">
            <w:pPr>
              <w:pStyle w:val="SynopsisText"/>
              <w:numPr>
                <w:ilvl w:val="0"/>
                <w:numId w:val="6"/>
              </w:numPr>
              <w:spacing w:before="50" w:after="0" w:line="240" w:lineRule="auto"/>
              <w:jc w:val="both"/>
              <w:rPr>
                <w:rFonts w:ascii="Times New Roman" w:hAnsi="Times New Roman"/>
                <w:sz w:val="21"/>
                <w:szCs w:val="21"/>
              </w:rPr>
            </w:pPr>
            <w:r w:rsidRPr="00F16A5E">
              <w:rPr>
                <w:rFonts w:ascii="Times New Roman" w:hAnsi="Times New Roman"/>
                <w:sz w:val="21"/>
                <w:szCs w:val="21"/>
              </w:rPr>
              <w:t xml:space="preserve">Major surgery or major traumatic injury (excluding biopsy) </w:t>
            </w:r>
            <w:r w:rsidR="003169DF">
              <w:rPr>
                <w:rFonts w:ascii="Times New Roman" w:hAnsi="Times New Roman"/>
                <w:sz w:val="21"/>
                <w:szCs w:val="21"/>
              </w:rPr>
              <w:t>within</w:t>
            </w:r>
            <w:r w:rsidRPr="00F16A5E">
              <w:rPr>
                <w:rFonts w:ascii="Times New Roman" w:hAnsi="Times New Roman"/>
                <w:sz w:val="21"/>
                <w:szCs w:val="21"/>
              </w:rPr>
              <w:t xml:space="preserve"> 28 days before the first administration, or major surgery is expected during the study treatment period.</w:t>
            </w:r>
          </w:p>
          <w:p w14:paraId="75EBF9F6" w14:textId="4A08F417" w:rsidR="0001176C" w:rsidRPr="00F16A5E" w:rsidRDefault="00420294" w:rsidP="00BD1557">
            <w:pPr>
              <w:pStyle w:val="SynopsisText"/>
              <w:numPr>
                <w:ilvl w:val="0"/>
                <w:numId w:val="6"/>
              </w:numPr>
              <w:spacing w:before="50" w:after="0" w:line="240" w:lineRule="auto"/>
              <w:ind w:left="431" w:right="74" w:hanging="357"/>
              <w:jc w:val="both"/>
              <w:rPr>
                <w:rFonts w:ascii="Times New Roman" w:hAnsi="Times New Roman"/>
                <w:sz w:val="21"/>
                <w:szCs w:val="21"/>
              </w:rPr>
            </w:pPr>
            <w:r w:rsidRPr="00F16A5E">
              <w:rPr>
                <w:rFonts w:ascii="Times New Roman" w:hAnsi="Times New Roman"/>
                <w:sz w:val="21"/>
                <w:szCs w:val="21"/>
              </w:rPr>
              <w:t xml:space="preserve">Clinically documented cardiovascular diseases that are obviously unstable or not effectively treated, such as heart disease class III or IV according to the New York Heart Association (NYHA) classification (see Appendix 3 for </w:t>
            </w:r>
            <w:r w:rsidRPr="00F16A5E">
              <w:rPr>
                <w:rFonts w:ascii="Times New Roman" w:hAnsi="Times New Roman"/>
                <w:sz w:val="21"/>
                <w:szCs w:val="21"/>
              </w:rPr>
              <w:lastRenderedPageBreak/>
              <w:t>details), or have had myocardial infarction, malignant arrhythmia, unstable angina pectoris in the past 6 months, or hypertension that cannot be controlled by medication.</w:t>
            </w:r>
          </w:p>
          <w:p w14:paraId="78E14A07" w14:textId="2D958893" w:rsidR="0001176C" w:rsidRPr="00F16A5E" w:rsidRDefault="00420294" w:rsidP="00BD1557">
            <w:pPr>
              <w:pStyle w:val="SynopsisText"/>
              <w:numPr>
                <w:ilvl w:val="0"/>
                <w:numId w:val="6"/>
              </w:numPr>
              <w:spacing w:before="50" w:after="0" w:line="240" w:lineRule="auto"/>
              <w:ind w:left="431" w:right="74" w:hanging="357"/>
              <w:jc w:val="both"/>
              <w:rPr>
                <w:rFonts w:ascii="Times New Roman" w:hAnsi="Times New Roman"/>
                <w:sz w:val="21"/>
                <w:szCs w:val="21"/>
              </w:rPr>
            </w:pPr>
            <w:r w:rsidRPr="00F16A5E">
              <w:rPr>
                <w:rFonts w:ascii="Times New Roman" w:hAnsi="Times New Roman"/>
                <w:sz w:val="21"/>
                <w:szCs w:val="21"/>
              </w:rPr>
              <w:t>Significant active lung disease (such as interstitial lung disease and/or obstructive lung disease, etc.).</w:t>
            </w:r>
          </w:p>
          <w:p w14:paraId="75E1E274" w14:textId="4F0F11B4" w:rsidR="0001176C" w:rsidRPr="00F16A5E" w:rsidRDefault="00420294" w:rsidP="00BD1557">
            <w:pPr>
              <w:pStyle w:val="SynopsisText"/>
              <w:numPr>
                <w:ilvl w:val="0"/>
                <w:numId w:val="6"/>
              </w:numPr>
              <w:spacing w:before="50" w:after="0" w:line="240" w:lineRule="auto"/>
              <w:ind w:left="431" w:right="74" w:hanging="357"/>
              <w:jc w:val="both"/>
              <w:rPr>
                <w:rFonts w:ascii="Times New Roman" w:hAnsi="Times New Roman"/>
                <w:sz w:val="21"/>
                <w:szCs w:val="21"/>
              </w:rPr>
            </w:pPr>
            <w:r w:rsidRPr="00F16A5E">
              <w:rPr>
                <w:rFonts w:ascii="Times New Roman" w:hAnsi="Times New Roman"/>
                <w:sz w:val="21"/>
                <w:szCs w:val="21"/>
              </w:rPr>
              <w:t>Any other disease, metabolic dysfunction, physical examination findings, or clinical laboratory findings that may be contraindicated to use the study drug.</w:t>
            </w:r>
          </w:p>
          <w:p w14:paraId="3A8BF673" w14:textId="32D97B03" w:rsidR="002D40E2" w:rsidRPr="00F16A5E" w:rsidRDefault="00420294" w:rsidP="00BD1557">
            <w:pPr>
              <w:pStyle w:val="SynopsisText"/>
              <w:numPr>
                <w:ilvl w:val="0"/>
                <w:numId w:val="6"/>
              </w:numPr>
              <w:spacing w:before="50" w:after="0" w:line="240" w:lineRule="auto"/>
              <w:ind w:left="431" w:right="74" w:hanging="357"/>
              <w:jc w:val="both"/>
              <w:rPr>
                <w:rFonts w:ascii="Times New Roman" w:hAnsi="Times New Roman"/>
                <w:sz w:val="21"/>
                <w:szCs w:val="21"/>
              </w:rPr>
            </w:pPr>
            <w:r w:rsidRPr="00F16A5E">
              <w:rPr>
                <w:rFonts w:ascii="Times New Roman" w:hAnsi="Times New Roman"/>
                <w:sz w:val="21"/>
                <w:szCs w:val="21"/>
              </w:rPr>
              <w:t>HBV [Hepatitis B Surface Antigen (HBsAg)] or HCV antibody positive, or the HBV DNA positive by Polymerase Chain Reaction (PCR) test for patients with Hepatitis B Core Antibody (</w:t>
            </w:r>
            <w:proofErr w:type="spellStart"/>
            <w:r w:rsidRPr="00F16A5E">
              <w:rPr>
                <w:rFonts w:ascii="Times New Roman" w:hAnsi="Times New Roman"/>
                <w:sz w:val="21"/>
                <w:szCs w:val="21"/>
              </w:rPr>
              <w:t>HbcAb</w:t>
            </w:r>
            <w:proofErr w:type="spellEnd"/>
            <w:r w:rsidRPr="00F16A5E">
              <w:rPr>
                <w:rFonts w:ascii="Times New Roman" w:hAnsi="Times New Roman"/>
                <w:sz w:val="21"/>
                <w:szCs w:val="21"/>
              </w:rPr>
              <w:t>) positive.</w:t>
            </w:r>
          </w:p>
          <w:p w14:paraId="0917CF7F" w14:textId="0FA61F2C" w:rsidR="00AF3FF4" w:rsidRPr="00F16A5E" w:rsidRDefault="00420294" w:rsidP="00BD1557">
            <w:pPr>
              <w:pStyle w:val="SynopsisText"/>
              <w:numPr>
                <w:ilvl w:val="0"/>
                <w:numId w:val="6"/>
              </w:numPr>
              <w:spacing w:before="50" w:after="0" w:line="240" w:lineRule="auto"/>
              <w:ind w:left="431" w:right="74" w:hanging="357"/>
              <w:jc w:val="both"/>
              <w:rPr>
                <w:rFonts w:ascii="Times New Roman" w:hAnsi="Times New Roman"/>
                <w:sz w:val="21"/>
                <w:szCs w:val="21"/>
              </w:rPr>
            </w:pPr>
            <w:bookmarkStart w:id="8" w:name="OLE_LINK18"/>
            <w:bookmarkStart w:id="9" w:name="OLE_LINK19"/>
            <w:r w:rsidRPr="00F16A5E">
              <w:rPr>
                <w:rFonts w:ascii="Times New Roman" w:hAnsi="Times New Roman"/>
                <w:sz w:val="21"/>
                <w:szCs w:val="21"/>
              </w:rPr>
              <w:t>Abnormal tissue or organ functions, as evidenced by the following laboratory tests before randomization:</w:t>
            </w:r>
          </w:p>
          <w:p w14:paraId="2266A611" w14:textId="47BC75DA" w:rsidR="00AF3FF4" w:rsidRPr="00F16A5E" w:rsidRDefault="00420294" w:rsidP="00EA5F3A">
            <w:pPr>
              <w:pStyle w:val="SynopsisText"/>
              <w:numPr>
                <w:ilvl w:val="0"/>
                <w:numId w:val="17"/>
              </w:numPr>
              <w:spacing w:before="50" w:after="0" w:line="240" w:lineRule="auto"/>
              <w:ind w:left="817" w:right="0"/>
              <w:jc w:val="both"/>
              <w:rPr>
                <w:rFonts w:ascii="Times New Roman" w:hAnsi="Times New Roman"/>
                <w:sz w:val="21"/>
                <w:szCs w:val="21"/>
              </w:rPr>
            </w:pPr>
            <w:r w:rsidRPr="00F16A5E">
              <w:rPr>
                <w:rFonts w:ascii="Times New Roman" w:hAnsi="Times New Roman"/>
                <w:sz w:val="21"/>
                <w:szCs w:val="21"/>
              </w:rPr>
              <w:t>Absolute neutrophil count (ANC) &lt; 1.5 x 10</w:t>
            </w:r>
            <w:r w:rsidRPr="00F16A5E">
              <w:rPr>
                <w:rFonts w:ascii="Times New Roman" w:hAnsi="Times New Roman"/>
                <w:sz w:val="21"/>
                <w:szCs w:val="21"/>
                <w:vertAlign w:val="superscript"/>
              </w:rPr>
              <w:t>9</w:t>
            </w:r>
            <w:r w:rsidRPr="00F16A5E">
              <w:rPr>
                <w:rFonts w:ascii="Times New Roman" w:hAnsi="Times New Roman"/>
                <w:sz w:val="21"/>
                <w:szCs w:val="21"/>
              </w:rPr>
              <w:t>/L; platelet &lt; 75 x 10</w:t>
            </w:r>
            <w:r w:rsidRPr="00F16A5E">
              <w:rPr>
                <w:rFonts w:ascii="Times New Roman" w:hAnsi="Times New Roman"/>
                <w:sz w:val="21"/>
                <w:szCs w:val="21"/>
                <w:vertAlign w:val="superscript"/>
              </w:rPr>
              <w:t>9</w:t>
            </w:r>
            <w:r w:rsidRPr="00F16A5E">
              <w:rPr>
                <w:rFonts w:ascii="Times New Roman" w:hAnsi="Times New Roman"/>
                <w:sz w:val="21"/>
                <w:szCs w:val="21"/>
              </w:rPr>
              <w:t>/L; hemoglobin&lt;90 g/L; lymphocyte count&lt;0.8 x 10</w:t>
            </w:r>
            <w:r w:rsidRPr="00F16A5E">
              <w:rPr>
                <w:rFonts w:ascii="Times New Roman" w:hAnsi="Times New Roman"/>
                <w:sz w:val="21"/>
                <w:szCs w:val="21"/>
                <w:vertAlign w:val="superscript"/>
              </w:rPr>
              <w:t>9</w:t>
            </w:r>
            <w:r w:rsidRPr="00F16A5E">
              <w:rPr>
                <w:rFonts w:ascii="Times New Roman" w:hAnsi="Times New Roman"/>
                <w:sz w:val="21"/>
                <w:szCs w:val="21"/>
              </w:rPr>
              <w:t>/L;</w:t>
            </w:r>
          </w:p>
          <w:p w14:paraId="56FD9D63" w14:textId="0542239C" w:rsidR="00AF3FF4" w:rsidRPr="00F16A5E" w:rsidRDefault="00420294" w:rsidP="00EA5F3A">
            <w:pPr>
              <w:pStyle w:val="SynopsisText"/>
              <w:numPr>
                <w:ilvl w:val="0"/>
                <w:numId w:val="17"/>
              </w:numPr>
              <w:spacing w:before="50" w:after="0" w:line="240" w:lineRule="auto"/>
              <w:ind w:left="817" w:right="0"/>
              <w:jc w:val="both"/>
              <w:rPr>
                <w:rFonts w:ascii="Times New Roman" w:hAnsi="Times New Roman"/>
                <w:sz w:val="21"/>
                <w:szCs w:val="21"/>
              </w:rPr>
            </w:pPr>
            <w:r w:rsidRPr="00F16A5E">
              <w:rPr>
                <w:rFonts w:ascii="Times New Roman" w:hAnsi="Times New Roman"/>
                <w:sz w:val="21"/>
                <w:szCs w:val="21"/>
              </w:rPr>
              <w:t>Total bilirubin&gt;1.5 x Upper Limit of Normal (ULN) (for subjects with history of Gilbert syndrome, &gt;3 x ULN); aspartate aminotransferase (AST) or alanine aminotransferase (ALT)&gt;2 x ULN;</w:t>
            </w:r>
          </w:p>
          <w:p w14:paraId="5A8BB62E" w14:textId="555CD197" w:rsidR="00AF3FF4" w:rsidRPr="00F16A5E" w:rsidRDefault="00420294" w:rsidP="00EA5F3A">
            <w:pPr>
              <w:pStyle w:val="SynopsisText"/>
              <w:numPr>
                <w:ilvl w:val="0"/>
                <w:numId w:val="17"/>
              </w:numPr>
              <w:spacing w:before="50" w:after="0" w:line="240" w:lineRule="auto"/>
              <w:ind w:left="817" w:right="0"/>
              <w:jc w:val="both"/>
              <w:rPr>
                <w:rFonts w:ascii="Times New Roman" w:hAnsi="Times New Roman"/>
                <w:sz w:val="21"/>
                <w:szCs w:val="21"/>
              </w:rPr>
            </w:pPr>
            <w:r w:rsidRPr="00F16A5E">
              <w:rPr>
                <w:rFonts w:ascii="Times New Roman" w:hAnsi="Times New Roman"/>
                <w:sz w:val="21"/>
                <w:szCs w:val="21"/>
              </w:rPr>
              <w:t>Estimated glomerular filtration rate &lt; 40 ml/min/1.73m</w:t>
            </w:r>
            <w:r w:rsidRPr="00F16A5E">
              <w:rPr>
                <w:rFonts w:ascii="Times New Roman" w:hAnsi="Times New Roman"/>
                <w:sz w:val="21"/>
                <w:szCs w:val="21"/>
                <w:vertAlign w:val="superscript"/>
              </w:rPr>
              <w:t>2</w:t>
            </w:r>
            <w:r w:rsidRPr="00F16A5E">
              <w:rPr>
                <w:rFonts w:ascii="Times New Roman" w:hAnsi="Times New Roman"/>
                <w:sz w:val="21"/>
                <w:szCs w:val="21"/>
              </w:rPr>
              <w:t xml:space="preserve"> from the Modification of Diet in Renal Disease (MDRD) formula;</w:t>
            </w:r>
          </w:p>
          <w:bookmarkEnd w:id="8"/>
          <w:bookmarkEnd w:id="9"/>
          <w:p w14:paraId="7721DA0B" w14:textId="685795F3" w:rsidR="00AF3FF4" w:rsidRPr="00F16A5E" w:rsidRDefault="00420294" w:rsidP="00EA5F3A">
            <w:pPr>
              <w:pStyle w:val="SynopsisText"/>
              <w:numPr>
                <w:ilvl w:val="0"/>
                <w:numId w:val="17"/>
              </w:numPr>
              <w:spacing w:before="50" w:after="0" w:line="240" w:lineRule="auto"/>
              <w:ind w:left="817" w:right="0"/>
              <w:jc w:val="both"/>
              <w:rPr>
                <w:rFonts w:ascii="Times New Roman" w:hAnsi="Times New Roman"/>
                <w:sz w:val="21"/>
                <w:szCs w:val="21"/>
              </w:rPr>
            </w:pPr>
            <w:r w:rsidRPr="00F16A5E">
              <w:rPr>
                <w:rFonts w:ascii="Times New Roman" w:hAnsi="Times New Roman"/>
                <w:kern w:val="2"/>
                <w:sz w:val="21"/>
                <w:szCs w:val="21"/>
              </w:rPr>
              <w:t>Protein urine in 24 hours ≥3.5 g.</w:t>
            </w:r>
          </w:p>
        </w:tc>
      </w:tr>
      <w:tr w:rsidR="0001176C" w:rsidRPr="00F16A5E" w14:paraId="4EFF4841"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47018BC3" w14:textId="39B1ADEA" w:rsidR="0001176C" w:rsidRPr="00F16A5E" w:rsidRDefault="00544E56" w:rsidP="00BD1557">
            <w:pPr>
              <w:spacing w:beforeLines="50" w:before="156"/>
              <w:rPr>
                <w:b/>
                <w:szCs w:val="21"/>
              </w:rPr>
            </w:pPr>
            <w:r w:rsidRPr="00F16A5E">
              <w:rPr>
                <w:b/>
                <w:szCs w:val="21"/>
              </w:rPr>
              <w:lastRenderedPageBreak/>
              <w:t>Safety Evaluation Index</w:t>
            </w:r>
          </w:p>
        </w:tc>
        <w:tc>
          <w:tcPr>
            <w:tcW w:w="4184" w:type="pct"/>
            <w:tcBorders>
              <w:top w:val="single" w:sz="4" w:space="0" w:color="auto"/>
              <w:left w:val="single" w:sz="4" w:space="0" w:color="auto"/>
              <w:bottom w:val="single" w:sz="4" w:space="0" w:color="auto"/>
              <w:right w:val="single" w:sz="4" w:space="0" w:color="auto"/>
            </w:tcBorders>
            <w:vAlign w:val="center"/>
          </w:tcPr>
          <w:p w14:paraId="215B84B8" w14:textId="799C1CAD" w:rsidR="0001176C" w:rsidRPr="00F16A5E" w:rsidRDefault="00544E56" w:rsidP="00544E56">
            <w:pPr>
              <w:pStyle w:val="31"/>
              <w:spacing w:before="50"/>
              <w:ind w:firstLineChars="0" w:firstLine="0"/>
              <w:rPr>
                <w:rFonts w:ascii="Times New Roman" w:hAnsi="Times New Roman"/>
                <w:sz w:val="21"/>
                <w:szCs w:val="21"/>
              </w:rPr>
            </w:pPr>
            <w:r w:rsidRPr="00F16A5E">
              <w:rPr>
                <w:rFonts w:ascii="Times New Roman" w:hAnsi="Times New Roman"/>
                <w:sz w:val="21"/>
                <w:szCs w:val="21"/>
              </w:rPr>
              <w:t>Safety evaluation will include adverse events, vital signs, physical examination, laboratory test, electrocardiogram examination, echocardiography, etc.</w:t>
            </w:r>
          </w:p>
        </w:tc>
      </w:tr>
      <w:tr w:rsidR="0001176C" w:rsidRPr="00F16A5E" w14:paraId="6C42E7E7"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3283D568" w14:textId="51D7836B" w:rsidR="0001176C" w:rsidRPr="00F16A5E" w:rsidRDefault="00544E56" w:rsidP="00BD1557">
            <w:pPr>
              <w:spacing w:beforeLines="50" w:before="156"/>
              <w:rPr>
                <w:b/>
                <w:szCs w:val="21"/>
              </w:rPr>
            </w:pPr>
            <w:r w:rsidRPr="00F16A5E">
              <w:rPr>
                <w:b/>
                <w:szCs w:val="21"/>
              </w:rPr>
              <w:t>Pharmacokinetics Study</w:t>
            </w:r>
          </w:p>
        </w:tc>
        <w:tc>
          <w:tcPr>
            <w:tcW w:w="4184" w:type="pct"/>
            <w:tcBorders>
              <w:top w:val="single" w:sz="4" w:space="0" w:color="auto"/>
              <w:left w:val="single" w:sz="4" w:space="0" w:color="auto"/>
              <w:bottom w:val="single" w:sz="4" w:space="0" w:color="auto"/>
              <w:right w:val="single" w:sz="4" w:space="0" w:color="auto"/>
            </w:tcBorders>
            <w:vAlign w:val="center"/>
          </w:tcPr>
          <w:p w14:paraId="069ED0EC" w14:textId="39542C99" w:rsidR="0001176C" w:rsidRPr="00F16A5E" w:rsidRDefault="003643BD" w:rsidP="00BD1557">
            <w:pPr>
              <w:pStyle w:val="31"/>
              <w:keepNext/>
              <w:spacing w:beforeLines="50" w:before="156"/>
              <w:ind w:firstLineChars="0" w:firstLine="0"/>
              <w:rPr>
                <w:rFonts w:ascii="Times New Roman" w:hAnsi="Times New Roman"/>
                <w:b/>
                <w:sz w:val="21"/>
                <w:szCs w:val="21"/>
              </w:rPr>
            </w:pPr>
            <w:r w:rsidRPr="00F16A5E">
              <w:rPr>
                <w:rFonts w:ascii="Times New Roman" w:hAnsi="Times New Roman"/>
                <w:b/>
                <w:sz w:val="21"/>
                <w:szCs w:val="21"/>
              </w:rPr>
              <w:t>Blood sampling time points</w:t>
            </w:r>
          </w:p>
          <w:p w14:paraId="26558E12" w14:textId="701F8535" w:rsidR="003643BD" w:rsidRPr="00F16A5E" w:rsidRDefault="003643BD" w:rsidP="003643BD">
            <w:pPr>
              <w:pStyle w:val="31"/>
              <w:spacing w:before="50"/>
              <w:ind w:firstLineChars="0" w:firstLine="0"/>
              <w:rPr>
                <w:rFonts w:ascii="Times New Roman" w:hAnsi="Times New Roman"/>
                <w:sz w:val="21"/>
                <w:szCs w:val="21"/>
              </w:rPr>
            </w:pPr>
            <w:r w:rsidRPr="00F16A5E">
              <w:rPr>
                <w:rFonts w:ascii="Times New Roman" w:hAnsi="Times New Roman"/>
                <w:sz w:val="21"/>
                <w:szCs w:val="21"/>
              </w:rPr>
              <w:t xml:space="preserve">All </w:t>
            </w:r>
            <w:r w:rsidR="00F16A5E" w:rsidRPr="00F16A5E">
              <w:rPr>
                <w:rFonts w:ascii="Times New Roman" w:hAnsi="Times New Roman"/>
                <w:sz w:val="21"/>
                <w:szCs w:val="21"/>
              </w:rPr>
              <w:t xml:space="preserve">participating </w:t>
            </w:r>
            <w:r w:rsidRPr="00F16A5E">
              <w:rPr>
                <w:rFonts w:ascii="Times New Roman" w:hAnsi="Times New Roman"/>
                <w:sz w:val="21"/>
                <w:szCs w:val="21"/>
              </w:rPr>
              <w:t xml:space="preserve">subjects are required to provide PK blood samples, about 3 ml at each blood sampling time point. The blood sample will be tested in a designated laboratory. Subjects will stay fasting from 10 hours pre-dose to 4 hours post-dose at Days 1 and 14, and can be given a piece of Snickers or chocolate 2 hours post-dose. However, only PK samples from orelabrutinib-treated subjects will be measured. Please refer to the "PK Sample Collection Manual” for the specific requirements for blood sample collection, processing and storage. The blood sampling time points are tentatively set as follows: </w:t>
            </w:r>
          </w:p>
          <w:p w14:paraId="6FE648AC" w14:textId="084DA8E8" w:rsidR="002E42BB" w:rsidRPr="00F16A5E" w:rsidRDefault="003643BD" w:rsidP="00EA5F3A">
            <w:pPr>
              <w:pStyle w:val="31"/>
              <w:numPr>
                <w:ilvl w:val="0"/>
                <w:numId w:val="22"/>
              </w:numPr>
              <w:spacing w:before="50"/>
              <w:ind w:firstLineChars="0"/>
              <w:rPr>
                <w:rFonts w:ascii="Times New Roman" w:hAnsi="Times New Roman"/>
                <w:sz w:val="21"/>
                <w:szCs w:val="21"/>
              </w:rPr>
            </w:pPr>
            <w:r w:rsidRPr="00F16A5E">
              <w:rPr>
                <w:rFonts w:ascii="Times New Roman" w:hAnsi="Times New Roman"/>
                <w:sz w:val="21"/>
                <w:szCs w:val="21"/>
              </w:rPr>
              <w:t>Days 1 and 14: 60 min pre-dose; 30 min, 1 h, 2 h, 4 h, 8 h, 12 h, 24 h (that is, prior to the D2 and D15 administration) post-dose.</w:t>
            </w:r>
          </w:p>
          <w:p w14:paraId="7E81C783" w14:textId="1D184498" w:rsidR="0001176C" w:rsidRPr="00F16A5E" w:rsidRDefault="003643BD" w:rsidP="00BD1557">
            <w:pPr>
              <w:pStyle w:val="31"/>
              <w:keepNext/>
              <w:spacing w:before="50"/>
              <w:ind w:firstLineChars="0" w:firstLine="0"/>
              <w:rPr>
                <w:rFonts w:ascii="Times New Roman" w:hAnsi="Times New Roman"/>
                <w:b/>
                <w:kern w:val="0"/>
                <w:sz w:val="21"/>
                <w:szCs w:val="21"/>
              </w:rPr>
            </w:pPr>
            <w:r w:rsidRPr="00F16A5E">
              <w:rPr>
                <w:rFonts w:ascii="Times New Roman" w:hAnsi="Times New Roman"/>
                <w:b/>
                <w:kern w:val="0"/>
                <w:sz w:val="21"/>
                <w:szCs w:val="21"/>
              </w:rPr>
              <w:t>Pharmacokinetics Parameters</w:t>
            </w:r>
          </w:p>
          <w:p w14:paraId="53CFF6FB" w14:textId="06305C8F" w:rsidR="0001176C" w:rsidRPr="00F16A5E" w:rsidRDefault="003643BD" w:rsidP="003643BD">
            <w:pPr>
              <w:pStyle w:val="31"/>
              <w:spacing w:before="50"/>
              <w:ind w:firstLineChars="0" w:firstLine="0"/>
              <w:rPr>
                <w:rFonts w:ascii="Times New Roman" w:hAnsi="Times New Roman"/>
                <w:kern w:val="0"/>
                <w:sz w:val="21"/>
                <w:szCs w:val="21"/>
              </w:rPr>
            </w:pPr>
            <w:r w:rsidRPr="00F16A5E">
              <w:rPr>
                <w:rFonts w:ascii="Times New Roman" w:hAnsi="Times New Roman"/>
                <w:kern w:val="0"/>
                <w:sz w:val="21"/>
                <w:szCs w:val="21"/>
              </w:rPr>
              <w:t>Maximum concentration (</w:t>
            </w:r>
            <w:proofErr w:type="spellStart"/>
            <w:r w:rsidRPr="00F16A5E">
              <w:rPr>
                <w:rFonts w:ascii="Times New Roman" w:hAnsi="Times New Roman"/>
                <w:kern w:val="0"/>
                <w:sz w:val="21"/>
                <w:szCs w:val="21"/>
              </w:rPr>
              <w:t>C</w:t>
            </w:r>
            <w:r w:rsidRPr="00F16A5E">
              <w:rPr>
                <w:rFonts w:ascii="Times New Roman" w:hAnsi="Times New Roman"/>
                <w:kern w:val="0"/>
                <w:sz w:val="21"/>
                <w:szCs w:val="21"/>
                <w:vertAlign w:val="subscript"/>
              </w:rPr>
              <w:t>max</w:t>
            </w:r>
            <w:proofErr w:type="spellEnd"/>
            <w:r w:rsidRPr="00F16A5E">
              <w:rPr>
                <w:rFonts w:ascii="Times New Roman" w:hAnsi="Times New Roman"/>
                <w:kern w:val="0"/>
                <w:sz w:val="21"/>
                <w:szCs w:val="21"/>
              </w:rPr>
              <w:t>); time to maximum concentration (</w:t>
            </w:r>
            <w:proofErr w:type="spellStart"/>
            <w:r w:rsidRPr="00F16A5E">
              <w:rPr>
                <w:rFonts w:ascii="Times New Roman" w:hAnsi="Times New Roman"/>
                <w:kern w:val="0"/>
                <w:sz w:val="21"/>
                <w:szCs w:val="21"/>
              </w:rPr>
              <w:t>T</w:t>
            </w:r>
            <w:r w:rsidRPr="00F16A5E">
              <w:rPr>
                <w:rFonts w:ascii="Times New Roman" w:hAnsi="Times New Roman"/>
                <w:kern w:val="0"/>
                <w:sz w:val="21"/>
                <w:szCs w:val="21"/>
                <w:vertAlign w:val="subscript"/>
              </w:rPr>
              <w:t>max</w:t>
            </w:r>
            <w:proofErr w:type="spellEnd"/>
            <w:r w:rsidRPr="00F16A5E">
              <w:rPr>
                <w:rFonts w:ascii="Times New Roman" w:hAnsi="Times New Roman"/>
                <w:kern w:val="0"/>
                <w:sz w:val="21"/>
                <w:szCs w:val="21"/>
              </w:rPr>
              <w:t>); half-life (T</w:t>
            </w:r>
            <w:r w:rsidRPr="00F16A5E">
              <w:rPr>
                <w:rFonts w:ascii="Times New Roman" w:hAnsi="Times New Roman"/>
                <w:kern w:val="0"/>
                <w:sz w:val="21"/>
                <w:szCs w:val="21"/>
                <w:vertAlign w:val="subscript"/>
              </w:rPr>
              <w:t>1/2</w:t>
            </w:r>
            <w:r w:rsidRPr="00F16A5E">
              <w:rPr>
                <w:rFonts w:ascii="Times New Roman" w:hAnsi="Times New Roman"/>
                <w:kern w:val="0"/>
                <w:sz w:val="21"/>
                <w:szCs w:val="21"/>
              </w:rPr>
              <w:t>); area under the drug concentration-time curve (AUC); apparent clearance (CL/F); terminal apparent volume of distribution (</w:t>
            </w:r>
            <w:proofErr w:type="spellStart"/>
            <w:r w:rsidRPr="00F16A5E">
              <w:rPr>
                <w:rFonts w:ascii="Times New Roman" w:hAnsi="Times New Roman"/>
                <w:kern w:val="0"/>
                <w:sz w:val="21"/>
                <w:szCs w:val="21"/>
              </w:rPr>
              <w:t>Vz</w:t>
            </w:r>
            <w:proofErr w:type="spellEnd"/>
            <w:r w:rsidRPr="00F16A5E">
              <w:rPr>
                <w:rFonts w:ascii="Times New Roman" w:hAnsi="Times New Roman"/>
                <w:kern w:val="0"/>
                <w:sz w:val="21"/>
                <w:szCs w:val="21"/>
              </w:rPr>
              <w:t>/F); accumulation factor (R), etc.</w:t>
            </w:r>
          </w:p>
        </w:tc>
      </w:tr>
      <w:tr w:rsidR="0001176C" w:rsidRPr="00F16A5E" w14:paraId="22818290"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5DC77843" w14:textId="4BC46980" w:rsidR="0001176C" w:rsidRPr="00F16A5E" w:rsidRDefault="003643BD" w:rsidP="00BD1557">
            <w:pPr>
              <w:spacing w:beforeLines="50" w:before="156"/>
              <w:rPr>
                <w:b/>
                <w:szCs w:val="21"/>
              </w:rPr>
            </w:pPr>
            <w:r w:rsidRPr="00F16A5E">
              <w:rPr>
                <w:b/>
                <w:szCs w:val="21"/>
              </w:rPr>
              <w:t xml:space="preserve">Pharmacodynamics </w:t>
            </w:r>
            <w:r w:rsidRPr="00F16A5E">
              <w:rPr>
                <w:b/>
                <w:szCs w:val="21"/>
              </w:rPr>
              <w:lastRenderedPageBreak/>
              <w:t>Study</w:t>
            </w:r>
          </w:p>
        </w:tc>
        <w:tc>
          <w:tcPr>
            <w:tcW w:w="4184" w:type="pct"/>
            <w:tcBorders>
              <w:top w:val="single" w:sz="4" w:space="0" w:color="auto"/>
              <w:left w:val="single" w:sz="4" w:space="0" w:color="auto"/>
              <w:bottom w:val="single" w:sz="4" w:space="0" w:color="auto"/>
              <w:right w:val="single" w:sz="4" w:space="0" w:color="auto"/>
            </w:tcBorders>
          </w:tcPr>
          <w:p w14:paraId="485D792E" w14:textId="2F373DDE" w:rsidR="0001176C" w:rsidRPr="00F16A5E" w:rsidRDefault="003643BD" w:rsidP="00BD1557">
            <w:pPr>
              <w:pStyle w:val="31"/>
              <w:spacing w:beforeLines="50" w:before="156"/>
              <w:ind w:firstLineChars="0" w:firstLine="0"/>
              <w:rPr>
                <w:rFonts w:ascii="Times New Roman" w:hAnsi="Times New Roman"/>
                <w:b/>
                <w:sz w:val="21"/>
                <w:szCs w:val="21"/>
              </w:rPr>
            </w:pPr>
            <w:r w:rsidRPr="00F16A5E">
              <w:rPr>
                <w:rFonts w:ascii="Times New Roman" w:hAnsi="Times New Roman"/>
                <w:b/>
                <w:sz w:val="21"/>
                <w:szCs w:val="21"/>
              </w:rPr>
              <w:lastRenderedPageBreak/>
              <w:t>Blood sampling time points</w:t>
            </w:r>
          </w:p>
          <w:p w14:paraId="79980A95" w14:textId="40C5FC18" w:rsidR="0060340C" w:rsidRPr="00F16A5E" w:rsidRDefault="003643BD" w:rsidP="003643BD">
            <w:pPr>
              <w:pStyle w:val="31"/>
              <w:spacing w:before="50"/>
              <w:ind w:firstLineChars="0" w:firstLine="0"/>
              <w:rPr>
                <w:rFonts w:ascii="Times New Roman" w:hAnsi="Times New Roman"/>
                <w:sz w:val="21"/>
                <w:szCs w:val="21"/>
              </w:rPr>
            </w:pPr>
            <w:bookmarkStart w:id="10" w:name="_Hlk8390500"/>
            <w:r w:rsidRPr="00F16A5E">
              <w:rPr>
                <w:rFonts w:ascii="Times New Roman" w:hAnsi="Times New Roman"/>
                <w:sz w:val="21"/>
                <w:szCs w:val="21"/>
              </w:rPr>
              <w:lastRenderedPageBreak/>
              <w:t>Approximately 15-18 ml will be collected at each blood sampling time point. The blood sample will be tested in a designated laboratory. Please refer to the "PD Sample Collection Manual” for the specific requirements for blood sample collection and processing. The blood sampling time points are as follows: Days 1 (or within 7 days before the first dose), 28 and 84: pre-dose</w:t>
            </w:r>
          </w:p>
          <w:bookmarkEnd w:id="10"/>
          <w:p w14:paraId="47021063" w14:textId="736C465E" w:rsidR="0001176C" w:rsidRPr="00F16A5E" w:rsidRDefault="003643BD" w:rsidP="00BD1557">
            <w:pPr>
              <w:pStyle w:val="31"/>
              <w:keepNext/>
              <w:spacing w:before="50"/>
              <w:ind w:firstLineChars="0" w:firstLine="0"/>
              <w:rPr>
                <w:rFonts w:ascii="Times New Roman" w:hAnsi="Times New Roman"/>
                <w:b/>
                <w:kern w:val="0"/>
                <w:sz w:val="21"/>
                <w:szCs w:val="21"/>
              </w:rPr>
            </w:pPr>
            <w:r w:rsidRPr="00F16A5E">
              <w:rPr>
                <w:rFonts w:ascii="Times New Roman" w:hAnsi="Times New Roman"/>
                <w:b/>
                <w:kern w:val="0"/>
                <w:sz w:val="21"/>
                <w:szCs w:val="21"/>
              </w:rPr>
              <w:t>Pharmacodynamic Test Items</w:t>
            </w:r>
          </w:p>
          <w:p w14:paraId="4682AC9B" w14:textId="77777777" w:rsidR="003643BD" w:rsidRPr="00F16A5E" w:rsidRDefault="003643BD" w:rsidP="003643BD">
            <w:pPr>
              <w:pStyle w:val="31"/>
              <w:spacing w:before="50"/>
              <w:ind w:firstLineChars="0" w:firstLine="0"/>
              <w:rPr>
                <w:rFonts w:ascii="Times New Roman" w:hAnsi="Times New Roman"/>
                <w:kern w:val="0"/>
                <w:sz w:val="21"/>
                <w:szCs w:val="21"/>
              </w:rPr>
            </w:pPr>
            <w:r w:rsidRPr="00F16A5E">
              <w:rPr>
                <w:rFonts w:ascii="Times New Roman" w:hAnsi="Times New Roman"/>
                <w:kern w:val="0"/>
                <w:sz w:val="21"/>
                <w:szCs w:val="21"/>
              </w:rPr>
              <w:t xml:space="preserve">Blood samples: total B cell count, </w:t>
            </w:r>
            <w:proofErr w:type="spellStart"/>
            <w:r w:rsidRPr="00F16A5E">
              <w:rPr>
                <w:rFonts w:ascii="Times New Roman" w:hAnsi="Times New Roman"/>
                <w:kern w:val="0"/>
                <w:sz w:val="21"/>
                <w:szCs w:val="21"/>
              </w:rPr>
              <w:t>B</w:t>
            </w:r>
            <w:r w:rsidRPr="00F16A5E">
              <w:rPr>
                <w:rFonts w:ascii="Times New Roman" w:hAnsi="Times New Roman"/>
                <w:kern w:val="0"/>
                <w:sz w:val="21"/>
                <w:szCs w:val="21"/>
                <w:vertAlign w:val="subscript"/>
              </w:rPr>
              <w:t>effs</w:t>
            </w:r>
            <w:proofErr w:type="spellEnd"/>
            <w:r w:rsidRPr="00F16A5E">
              <w:rPr>
                <w:rFonts w:ascii="Times New Roman" w:hAnsi="Times New Roman"/>
                <w:kern w:val="0"/>
                <w:sz w:val="21"/>
                <w:szCs w:val="21"/>
              </w:rPr>
              <w:t xml:space="preserve"> count, </w:t>
            </w:r>
            <w:proofErr w:type="spellStart"/>
            <w:r w:rsidRPr="00F16A5E">
              <w:rPr>
                <w:rFonts w:ascii="Times New Roman" w:hAnsi="Times New Roman"/>
                <w:kern w:val="0"/>
                <w:sz w:val="21"/>
                <w:szCs w:val="21"/>
              </w:rPr>
              <w:t>B</w:t>
            </w:r>
            <w:r w:rsidRPr="00F16A5E">
              <w:rPr>
                <w:rFonts w:ascii="Times New Roman" w:hAnsi="Times New Roman"/>
                <w:kern w:val="0"/>
                <w:sz w:val="21"/>
                <w:szCs w:val="21"/>
                <w:vertAlign w:val="subscript"/>
              </w:rPr>
              <w:t>regs</w:t>
            </w:r>
            <w:proofErr w:type="spellEnd"/>
            <w:r w:rsidRPr="00F16A5E">
              <w:rPr>
                <w:rFonts w:ascii="Times New Roman" w:hAnsi="Times New Roman"/>
                <w:kern w:val="0"/>
                <w:sz w:val="21"/>
                <w:szCs w:val="21"/>
              </w:rPr>
              <w:t xml:space="preserve"> count, erythrocyte sedimentation rate;</w:t>
            </w:r>
          </w:p>
          <w:p w14:paraId="1E248CDA" w14:textId="77777777" w:rsidR="003643BD" w:rsidRPr="00F16A5E" w:rsidRDefault="003643BD" w:rsidP="003643BD">
            <w:pPr>
              <w:pStyle w:val="31"/>
              <w:spacing w:before="50"/>
              <w:ind w:firstLineChars="0" w:firstLine="0"/>
              <w:rPr>
                <w:rFonts w:ascii="Times New Roman" w:hAnsi="Times New Roman"/>
                <w:kern w:val="0"/>
                <w:sz w:val="21"/>
                <w:szCs w:val="21"/>
              </w:rPr>
            </w:pPr>
            <w:r w:rsidRPr="00F16A5E">
              <w:rPr>
                <w:rFonts w:ascii="Times New Roman" w:hAnsi="Times New Roman"/>
                <w:kern w:val="0"/>
                <w:sz w:val="21"/>
                <w:szCs w:val="21"/>
              </w:rPr>
              <w:t>Serum samples (processed from blood samples): serum Ig levels, complement C3, complement C4, anti-dsDNA antibody, ANA, cytokines (IFN-α and IL-6).</w:t>
            </w:r>
          </w:p>
          <w:p w14:paraId="48633F55" w14:textId="55359585" w:rsidR="003643BD" w:rsidRPr="00F16A5E" w:rsidRDefault="003643BD" w:rsidP="003643BD">
            <w:pPr>
              <w:pStyle w:val="31"/>
              <w:spacing w:before="50"/>
              <w:ind w:firstLineChars="0" w:firstLine="0"/>
              <w:rPr>
                <w:rFonts w:ascii="Times New Roman" w:hAnsi="Times New Roman"/>
                <w:kern w:val="0"/>
                <w:sz w:val="21"/>
                <w:szCs w:val="21"/>
              </w:rPr>
            </w:pPr>
            <w:r w:rsidRPr="00F16A5E">
              <w:rPr>
                <w:rFonts w:ascii="Times New Roman" w:hAnsi="Times New Roman"/>
                <w:kern w:val="0"/>
                <w:sz w:val="21"/>
                <w:szCs w:val="21"/>
              </w:rPr>
              <w:t>If a study center is incapable to carry out a certain PD item and cannot send samples to the unit with such capabilities in time, subjects enrolled in this study center may not participate in this PD test.</w:t>
            </w:r>
          </w:p>
        </w:tc>
      </w:tr>
      <w:tr w:rsidR="0001176C" w:rsidRPr="00F16A5E" w14:paraId="6BD4439E"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shd w:val="clear" w:color="auto" w:fill="auto"/>
          </w:tcPr>
          <w:p w14:paraId="5D7A8A41" w14:textId="0298E72C" w:rsidR="0001176C" w:rsidRPr="00F16A5E" w:rsidRDefault="003643BD" w:rsidP="00BD1557">
            <w:pPr>
              <w:spacing w:beforeLines="50" w:before="156"/>
              <w:rPr>
                <w:b/>
                <w:szCs w:val="21"/>
              </w:rPr>
            </w:pPr>
            <w:r w:rsidRPr="00F16A5E">
              <w:rPr>
                <w:b/>
                <w:szCs w:val="21"/>
              </w:rPr>
              <w:lastRenderedPageBreak/>
              <w:t>Target Occupancy</w:t>
            </w:r>
          </w:p>
        </w:tc>
        <w:tc>
          <w:tcPr>
            <w:tcW w:w="4184" w:type="pct"/>
            <w:tcBorders>
              <w:top w:val="single" w:sz="4" w:space="0" w:color="auto"/>
              <w:left w:val="single" w:sz="4" w:space="0" w:color="auto"/>
              <w:bottom w:val="single" w:sz="4" w:space="0" w:color="auto"/>
              <w:right w:val="single" w:sz="4" w:space="0" w:color="auto"/>
            </w:tcBorders>
            <w:shd w:val="clear" w:color="auto" w:fill="auto"/>
            <w:vAlign w:val="center"/>
          </w:tcPr>
          <w:p w14:paraId="4116C571" w14:textId="3AB6BAD4" w:rsidR="0001176C" w:rsidRPr="00F16A5E" w:rsidRDefault="003643BD" w:rsidP="00BD1557">
            <w:pPr>
              <w:pStyle w:val="31"/>
              <w:spacing w:beforeLines="50" w:before="156"/>
              <w:ind w:firstLineChars="0" w:firstLine="0"/>
              <w:rPr>
                <w:rFonts w:ascii="Times New Roman" w:hAnsi="Times New Roman"/>
                <w:b/>
                <w:sz w:val="21"/>
                <w:szCs w:val="21"/>
              </w:rPr>
            </w:pPr>
            <w:r w:rsidRPr="00F16A5E">
              <w:rPr>
                <w:rFonts w:ascii="Times New Roman" w:hAnsi="Times New Roman"/>
                <w:b/>
                <w:sz w:val="21"/>
                <w:szCs w:val="21"/>
              </w:rPr>
              <w:t>Blood sampling time points</w:t>
            </w:r>
          </w:p>
          <w:p w14:paraId="1609375C" w14:textId="77777777" w:rsidR="003643BD" w:rsidRPr="00F16A5E" w:rsidRDefault="003643BD" w:rsidP="003643BD">
            <w:pPr>
              <w:pStyle w:val="31"/>
              <w:spacing w:before="50"/>
              <w:ind w:firstLineChars="0" w:firstLine="0"/>
              <w:rPr>
                <w:rFonts w:ascii="Times New Roman" w:hAnsi="Times New Roman"/>
                <w:sz w:val="21"/>
                <w:szCs w:val="21"/>
              </w:rPr>
            </w:pPr>
            <w:r w:rsidRPr="00F16A5E">
              <w:rPr>
                <w:rFonts w:ascii="Times New Roman" w:hAnsi="Times New Roman"/>
                <w:sz w:val="21"/>
                <w:szCs w:val="21"/>
              </w:rPr>
              <w:t>Approximately 10 ml samples will be collected at each blood sampling time point, but only PK samples from orelabrutinib-treated subjects will be measured. The blood sample will be tested in a designated laboratory. Please refer to the "BTK Sample Collection Manual” for the specific requirements for blood sample collection and processing. The blood sampling time points are as follows:</w:t>
            </w:r>
          </w:p>
          <w:p w14:paraId="4C43D0E6" w14:textId="77777777" w:rsidR="003643BD" w:rsidRPr="00F16A5E" w:rsidRDefault="003643BD" w:rsidP="00EA5F3A">
            <w:pPr>
              <w:pStyle w:val="31"/>
              <w:numPr>
                <w:ilvl w:val="0"/>
                <w:numId w:val="22"/>
              </w:numPr>
              <w:spacing w:before="50"/>
              <w:ind w:firstLineChars="0"/>
              <w:rPr>
                <w:rFonts w:ascii="Times New Roman" w:hAnsi="Times New Roman"/>
                <w:sz w:val="21"/>
                <w:szCs w:val="21"/>
              </w:rPr>
            </w:pPr>
            <w:r w:rsidRPr="00F16A5E">
              <w:rPr>
                <w:rFonts w:ascii="Times New Roman" w:hAnsi="Times New Roman"/>
                <w:sz w:val="21"/>
                <w:szCs w:val="21"/>
              </w:rPr>
              <w:t>Within 60 min pre-dose (or within 5 days before the first administration) and 4 hours (±10 min) post-dose at Day 1;</w:t>
            </w:r>
          </w:p>
          <w:p w14:paraId="0760B4F8" w14:textId="60B1D507" w:rsidR="003643BD" w:rsidRPr="00F16A5E" w:rsidRDefault="003643BD" w:rsidP="00EA5F3A">
            <w:pPr>
              <w:pStyle w:val="31"/>
              <w:numPr>
                <w:ilvl w:val="0"/>
                <w:numId w:val="22"/>
              </w:numPr>
              <w:spacing w:before="50"/>
              <w:ind w:firstLineChars="0"/>
              <w:rPr>
                <w:rFonts w:ascii="Times New Roman" w:hAnsi="Times New Roman"/>
                <w:sz w:val="21"/>
                <w:szCs w:val="21"/>
              </w:rPr>
            </w:pPr>
            <w:r w:rsidRPr="00F16A5E">
              <w:rPr>
                <w:rFonts w:ascii="Times New Roman" w:hAnsi="Times New Roman"/>
                <w:sz w:val="21"/>
                <w:szCs w:val="21"/>
              </w:rPr>
              <w:t>Day 14: Within 60 minutes pre-dose and 4 hours (±10 min) post-dose.</w:t>
            </w:r>
          </w:p>
          <w:p w14:paraId="1058A66E" w14:textId="7FAFF7DB" w:rsidR="0001176C" w:rsidRPr="00F16A5E" w:rsidRDefault="003643BD" w:rsidP="00BD1557">
            <w:pPr>
              <w:pStyle w:val="31"/>
              <w:spacing w:before="50"/>
              <w:ind w:firstLineChars="0" w:firstLine="0"/>
              <w:rPr>
                <w:rFonts w:ascii="Times New Roman" w:hAnsi="Times New Roman"/>
                <w:b/>
                <w:sz w:val="21"/>
                <w:szCs w:val="21"/>
              </w:rPr>
            </w:pPr>
            <w:r w:rsidRPr="00F16A5E">
              <w:rPr>
                <w:rFonts w:ascii="Times New Roman" w:hAnsi="Times New Roman"/>
                <w:b/>
                <w:sz w:val="21"/>
                <w:szCs w:val="21"/>
              </w:rPr>
              <w:t>Detection of Target Occupancy:</w:t>
            </w:r>
          </w:p>
          <w:p w14:paraId="671C3813" w14:textId="5AD97DE1" w:rsidR="003643BD" w:rsidRPr="00F16A5E" w:rsidRDefault="003643BD" w:rsidP="003643BD">
            <w:pPr>
              <w:pStyle w:val="31"/>
              <w:spacing w:before="50"/>
              <w:ind w:firstLineChars="0" w:firstLine="0"/>
              <w:rPr>
                <w:rFonts w:ascii="Times New Roman" w:hAnsi="Times New Roman"/>
                <w:sz w:val="21"/>
                <w:szCs w:val="21"/>
              </w:rPr>
            </w:pPr>
            <w:r w:rsidRPr="00F16A5E">
              <w:rPr>
                <w:rFonts w:ascii="Times New Roman" w:hAnsi="Times New Roman"/>
                <w:sz w:val="21"/>
                <w:szCs w:val="21"/>
              </w:rPr>
              <w:t>Peripheral Blood Mononuclear Cell (PBMC) will be isolated from blood samples to detect the target occupancy rate of orelabrutinib on BTK in PBMC as a biomarker of efficacy.</w:t>
            </w:r>
          </w:p>
          <w:p w14:paraId="33F57D4A" w14:textId="40A025DE" w:rsidR="0082141B" w:rsidRPr="00F16A5E" w:rsidRDefault="003643BD" w:rsidP="003643BD">
            <w:pPr>
              <w:pStyle w:val="31"/>
              <w:spacing w:before="50"/>
              <w:ind w:firstLineChars="0" w:firstLine="0"/>
              <w:rPr>
                <w:rFonts w:ascii="Times New Roman" w:hAnsi="Times New Roman"/>
                <w:sz w:val="21"/>
                <w:szCs w:val="21"/>
              </w:rPr>
            </w:pPr>
            <w:r w:rsidRPr="00F16A5E">
              <w:rPr>
                <w:rFonts w:ascii="Times New Roman" w:hAnsi="Times New Roman"/>
                <w:sz w:val="21"/>
                <w:szCs w:val="21"/>
              </w:rPr>
              <w:t>If a study center is incapable to carry out this test and cannot send samples to the unit with such capabilities in time, subjects enrolled in this study center may not participate in this target occupancy study.</w:t>
            </w:r>
          </w:p>
        </w:tc>
      </w:tr>
      <w:tr w:rsidR="0001176C" w:rsidRPr="00F16A5E" w14:paraId="60E478A7" w14:textId="77777777" w:rsidTr="00635202">
        <w:trPr>
          <w:trHeight w:val="397"/>
        </w:trPr>
        <w:tc>
          <w:tcPr>
            <w:tcW w:w="816" w:type="pct"/>
            <w:tcBorders>
              <w:top w:val="single" w:sz="4" w:space="0" w:color="auto"/>
              <w:left w:val="single" w:sz="4" w:space="0" w:color="auto"/>
              <w:bottom w:val="single" w:sz="4" w:space="0" w:color="auto"/>
              <w:right w:val="single" w:sz="4" w:space="0" w:color="auto"/>
            </w:tcBorders>
          </w:tcPr>
          <w:p w14:paraId="3C421187" w14:textId="628F229B" w:rsidR="0001176C" w:rsidRPr="00F16A5E" w:rsidRDefault="003643BD" w:rsidP="00BD1557">
            <w:pPr>
              <w:spacing w:beforeLines="50" w:before="156"/>
              <w:rPr>
                <w:b/>
                <w:szCs w:val="21"/>
              </w:rPr>
            </w:pPr>
            <w:r w:rsidRPr="00F16A5E">
              <w:rPr>
                <w:b/>
                <w:szCs w:val="21"/>
              </w:rPr>
              <w:t>Statistical Analysis</w:t>
            </w:r>
          </w:p>
        </w:tc>
        <w:tc>
          <w:tcPr>
            <w:tcW w:w="4184" w:type="pct"/>
            <w:tcBorders>
              <w:top w:val="single" w:sz="4" w:space="0" w:color="auto"/>
              <w:left w:val="single" w:sz="4" w:space="0" w:color="auto"/>
              <w:bottom w:val="single" w:sz="4" w:space="0" w:color="auto"/>
              <w:right w:val="single" w:sz="4" w:space="0" w:color="auto"/>
            </w:tcBorders>
          </w:tcPr>
          <w:p w14:paraId="4DA74986" w14:textId="5546C487" w:rsidR="0001176C" w:rsidRPr="00F16A5E" w:rsidRDefault="003643BD" w:rsidP="00BD1557">
            <w:pPr>
              <w:spacing w:beforeLines="50" w:before="156"/>
              <w:rPr>
                <w:b/>
                <w:szCs w:val="21"/>
              </w:rPr>
            </w:pPr>
            <w:r w:rsidRPr="00F16A5E">
              <w:rPr>
                <w:b/>
                <w:szCs w:val="21"/>
              </w:rPr>
              <w:t>Primary Analyses</w:t>
            </w:r>
          </w:p>
          <w:p w14:paraId="25BC7F96" w14:textId="060D0576" w:rsidR="0001176C" w:rsidRPr="00F16A5E" w:rsidRDefault="003643BD" w:rsidP="003643BD">
            <w:pPr>
              <w:pStyle w:val="31"/>
              <w:spacing w:before="50"/>
              <w:ind w:firstLineChars="0" w:firstLine="0"/>
              <w:rPr>
                <w:rFonts w:ascii="Times New Roman" w:hAnsi="Times New Roman"/>
                <w:sz w:val="21"/>
                <w:szCs w:val="21"/>
              </w:rPr>
            </w:pPr>
            <w:r w:rsidRPr="00F16A5E">
              <w:rPr>
                <w:rFonts w:ascii="Times New Roman" w:hAnsi="Times New Roman"/>
                <w:sz w:val="21"/>
                <w:szCs w:val="21"/>
              </w:rPr>
              <w:t>The primary objective of this study is to evaluate the safety and tolerability of orelabrutinib in mild-moderate SLE patients. The primary endpoint of this study is the adverse events that will occur after oral administration of orelabrutinib, as well as vital signs, electrocardiogram and laboratory tests.</w:t>
            </w:r>
          </w:p>
          <w:p w14:paraId="3C974148" w14:textId="122FDB9A" w:rsidR="003643BD" w:rsidRPr="00F16A5E" w:rsidRDefault="003643BD" w:rsidP="003643BD">
            <w:pPr>
              <w:pStyle w:val="31"/>
              <w:spacing w:before="50"/>
              <w:ind w:firstLineChars="0" w:firstLine="0"/>
              <w:rPr>
                <w:rFonts w:ascii="Times New Roman" w:hAnsi="Times New Roman"/>
                <w:sz w:val="21"/>
                <w:szCs w:val="21"/>
              </w:rPr>
            </w:pPr>
            <w:r w:rsidRPr="00F16A5E">
              <w:rPr>
                <w:rFonts w:ascii="Times New Roman" w:hAnsi="Times New Roman"/>
                <w:sz w:val="21"/>
                <w:szCs w:val="21"/>
              </w:rPr>
              <w:t xml:space="preserve">No sample size calculation and formal hypothesis testing will be applied in this study. </w:t>
            </w:r>
            <w:r w:rsidR="00945C2D" w:rsidRPr="00F16A5E">
              <w:rPr>
                <w:rFonts w:ascii="Times New Roman" w:hAnsi="Times New Roman"/>
                <w:sz w:val="21"/>
                <w:szCs w:val="21"/>
              </w:rPr>
              <w:t>It is planned to randomize 60 subjects into the placebo group (n=15) and three dose groups of orelabrutinib (50 mg (n=15), 80 mg (n=15) and 100 mg (n=15)), once daily</w:t>
            </w:r>
            <w:r w:rsidRPr="00F16A5E">
              <w:rPr>
                <w:rFonts w:ascii="Times New Roman" w:hAnsi="Times New Roman"/>
                <w:sz w:val="21"/>
                <w:szCs w:val="21"/>
              </w:rPr>
              <w:t>. All subjects will be monitored during the treatment period (for a period of 12 weeks), and the 28-day follow-up visit will be completed after the treatment period. All subjects will be randomized into the groups in parallel.</w:t>
            </w:r>
          </w:p>
          <w:p w14:paraId="3B9809B2" w14:textId="15BD6586" w:rsidR="0001176C" w:rsidRPr="00F16A5E" w:rsidRDefault="003643BD" w:rsidP="00BD1557">
            <w:pPr>
              <w:pStyle w:val="SynopsisHead2"/>
              <w:keepLines w:val="0"/>
              <w:widowControl w:val="0"/>
              <w:spacing w:before="50" w:after="0" w:line="240" w:lineRule="auto"/>
              <w:ind w:left="0" w:right="74"/>
              <w:jc w:val="both"/>
              <w:rPr>
                <w:rFonts w:ascii="Times New Roman" w:hAnsi="Times New Roman"/>
                <w:sz w:val="21"/>
                <w:szCs w:val="21"/>
              </w:rPr>
            </w:pPr>
            <w:r w:rsidRPr="00F16A5E">
              <w:rPr>
                <w:rFonts w:ascii="Times New Roman" w:hAnsi="Times New Roman"/>
                <w:sz w:val="21"/>
                <w:szCs w:val="21"/>
              </w:rPr>
              <w:lastRenderedPageBreak/>
              <w:t>Safety Analysis</w:t>
            </w:r>
          </w:p>
          <w:p w14:paraId="7F140F85" w14:textId="107247AB" w:rsidR="00E16DF5" w:rsidRPr="00F16A5E" w:rsidRDefault="00D64925" w:rsidP="00D64925">
            <w:pPr>
              <w:pStyle w:val="31"/>
              <w:spacing w:before="50"/>
              <w:ind w:firstLineChars="0" w:firstLine="0"/>
              <w:rPr>
                <w:rFonts w:ascii="Times New Roman" w:hAnsi="Times New Roman"/>
                <w:sz w:val="21"/>
                <w:szCs w:val="21"/>
              </w:rPr>
            </w:pPr>
            <w:r w:rsidRPr="00F16A5E">
              <w:rPr>
                <w:rFonts w:ascii="Times New Roman" w:hAnsi="Times New Roman"/>
                <w:sz w:val="21"/>
                <w:szCs w:val="21"/>
              </w:rPr>
              <w:t xml:space="preserve">Safety will be assessed through summaries of adverse events, changes in laboratory results, changes in ECG, and changes in vital signs. All collected adverse event data will be listed by assigned dose level and subject No. All treatment-emergent adverse events will be summarized in coded terms, based on severity (see </w:t>
            </w:r>
            <w:r w:rsidR="0030384E" w:rsidRPr="00F16A5E">
              <w:rPr>
                <w:rFonts w:ascii="Times New Roman" w:hAnsi="Times New Roman"/>
                <w:sz w:val="21"/>
                <w:szCs w:val="21"/>
              </w:rPr>
              <w:t xml:space="preserve">section </w:t>
            </w:r>
            <w:r w:rsidRPr="00F16A5E">
              <w:rPr>
                <w:rFonts w:ascii="Times New Roman" w:hAnsi="Times New Roman"/>
                <w:sz w:val="21"/>
                <w:szCs w:val="21"/>
              </w:rPr>
              <w:t>8.2.4.1 for details) and relationship with the study drug. In addition, all TESAE, TRSAE and TRAE will be listed and summarized separately. The adverse events leading to drug discontinuation will also be separately listed and summarized.</w:t>
            </w:r>
          </w:p>
          <w:p w14:paraId="1ECC5BE7" w14:textId="7FA55041" w:rsidR="00E524E1" w:rsidRPr="00F16A5E" w:rsidRDefault="00D64925" w:rsidP="00D64925">
            <w:pPr>
              <w:pStyle w:val="31"/>
              <w:spacing w:before="50"/>
              <w:ind w:firstLineChars="0" w:firstLine="0"/>
              <w:rPr>
                <w:rFonts w:ascii="Times New Roman" w:hAnsi="Times New Roman"/>
                <w:sz w:val="21"/>
                <w:szCs w:val="21"/>
              </w:rPr>
            </w:pPr>
            <w:r w:rsidRPr="00F16A5E">
              <w:rPr>
                <w:rFonts w:ascii="Times New Roman" w:hAnsi="Times New Roman"/>
                <w:sz w:val="21"/>
                <w:szCs w:val="21"/>
              </w:rPr>
              <w:t>The relationship between exposure and TRSAE</w:t>
            </w:r>
            <w:r w:rsidR="00BD0A15" w:rsidRPr="00F16A5E">
              <w:rPr>
                <w:rFonts w:ascii="Times New Roman" w:hAnsi="Times New Roman"/>
                <w:sz w:val="21"/>
                <w:szCs w:val="21"/>
              </w:rPr>
              <w:t>s</w:t>
            </w:r>
            <w:r w:rsidRPr="00F16A5E">
              <w:rPr>
                <w:rFonts w:ascii="Times New Roman" w:hAnsi="Times New Roman"/>
                <w:sz w:val="21"/>
                <w:szCs w:val="21"/>
              </w:rPr>
              <w:t xml:space="preserve"> will be analyzed, as long as the data allows.</w:t>
            </w:r>
          </w:p>
          <w:p w14:paraId="17F093B1" w14:textId="4D98EAEC" w:rsidR="0001176C" w:rsidRPr="00F16A5E" w:rsidRDefault="00D64925" w:rsidP="00BD1557">
            <w:pPr>
              <w:pStyle w:val="SynopsisHead2"/>
              <w:keepLines w:val="0"/>
              <w:widowControl w:val="0"/>
              <w:spacing w:before="50" w:after="0" w:line="240" w:lineRule="auto"/>
              <w:ind w:left="0" w:right="74"/>
              <w:jc w:val="both"/>
              <w:rPr>
                <w:rFonts w:ascii="Times New Roman" w:hAnsi="Times New Roman"/>
                <w:sz w:val="21"/>
                <w:szCs w:val="21"/>
              </w:rPr>
            </w:pPr>
            <w:r w:rsidRPr="00F16A5E">
              <w:rPr>
                <w:rFonts w:ascii="Times New Roman" w:hAnsi="Times New Roman"/>
                <w:sz w:val="21"/>
                <w:szCs w:val="21"/>
              </w:rPr>
              <w:t>Pharmacokinetics Analyses</w:t>
            </w:r>
          </w:p>
          <w:p w14:paraId="035EA713" w14:textId="165EE828" w:rsidR="0001176C" w:rsidRPr="00F16A5E" w:rsidRDefault="00D64925" w:rsidP="00D64925">
            <w:pPr>
              <w:pStyle w:val="31"/>
              <w:spacing w:before="50"/>
              <w:ind w:firstLineChars="0" w:firstLine="0"/>
              <w:jc w:val="left"/>
              <w:rPr>
                <w:rFonts w:ascii="Times New Roman" w:hAnsi="Times New Roman"/>
                <w:sz w:val="21"/>
                <w:szCs w:val="21"/>
              </w:rPr>
            </w:pPr>
            <w:r w:rsidRPr="00F16A5E">
              <w:rPr>
                <w:rFonts w:ascii="Times New Roman" w:hAnsi="Times New Roman"/>
                <w:sz w:val="21"/>
                <w:szCs w:val="21"/>
              </w:rPr>
              <w:t>Only PK samples from orelabrutinib-treated subjects will be measured. Only subjects who have sufficient samples to fully calculate the PK parameters will be included in the data analysis. The plasma concentration of orelabrutinib will be tabulated and summarized, and individual and average plasma concentration-time curves (C-T curves) will be plotted. The standard non-compartment model analysis will be used to calculate the pharmacokinetic parameters after single-dose and multiple-dose administration. A list summary and descriptive statistical analysis of the generated PK parameters will be performed, and the arithmetic mean, standard deviation, coefficient of variation, median, maximum, minimum, geometric mean and coefficient of variation of geometric mean of each parameter will be calculated. Inter-subject variability and drug accumulation will be assessed. Additional PK analyses will be conducted as appropriate.</w:t>
            </w:r>
          </w:p>
          <w:p w14:paraId="613C391A" w14:textId="7C904369" w:rsidR="0001176C" w:rsidRPr="00F16A5E" w:rsidRDefault="00D64925" w:rsidP="00BD1557">
            <w:pPr>
              <w:pStyle w:val="SynopsisHead2"/>
              <w:spacing w:before="50" w:after="0" w:line="240" w:lineRule="auto"/>
              <w:ind w:left="0" w:right="74"/>
              <w:jc w:val="both"/>
              <w:rPr>
                <w:rFonts w:ascii="Times New Roman" w:hAnsi="Times New Roman"/>
                <w:b w:val="0"/>
                <w:sz w:val="21"/>
                <w:szCs w:val="21"/>
              </w:rPr>
            </w:pPr>
            <w:r w:rsidRPr="00F16A5E">
              <w:rPr>
                <w:rFonts w:ascii="Times New Roman" w:hAnsi="Times New Roman"/>
                <w:sz w:val="21"/>
                <w:szCs w:val="21"/>
              </w:rPr>
              <w:t>Pharmacodynamics Analysis</w:t>
            </w:r>
          </w:p>
          <w:p w14:paraId="5E6772EF" w14:textId="14DA165C" w:rsidR="0001176C" w:rsidRPr="00F16A5E" w:rsidRDefault="00D64925" w:rsidP="00D64925">
            <w:pPr>
              <w:pStyle w:val="31"/>
              <w:spacing w:before="50"/>
              <w:ind w:firstLineChars="0" w:firstLine="0"/>
              <w:rPr>
                <w:rFonts w:ascii="Times New Roman" w:hAnsi="Times New Roman"/>
                <w:sz w:val="21"/>
                <w:szCs w:val="21"/>
              </w:rPr>
            </w:pPr>
            <w:r w:rsidRPr="00F16A5E">
              <w:rPr>
                <w:rFonts w:ascii="Times New Roman" w:hAnsi="Times New Roman"/>
                <w:sz w:val="21"/>
                <w:szCs w:val="21"/>
              </w:rPr>
              <w:t>Only subjects who have received at least 1 week of treatment and have baseline values and sufficient samples will be included in the data analysis so as to calculate the corresponding endpoints. All data will be tabulated and descriptively summarized and plotted by dose group and scheduled visit. For Ig levels, the measured Ig values at each scheduled visit and their changes from baseline will be summarized by dose group, including absolute change values and relative change percentages. All other biomarkers will be displayed and summarized in the same way as above.</w:t>
            </w:r>
          </w:p>
          <w:p w14:paraId="41B12885" w14:textId="796C83FB" w:rsidR="0001176C" w:rsidRPr="00F16A5E" w:rsidRDefault="00D64925" w:rsidP="00BD1557">
            <w:pPr>
              <w:pStyle w:val="SynopsisHead2"/>
              <w:keepLines w:val="0"/>
              <w:widowControl w:val="0"/>
              <w:spacing w:before="50" w:after="0" w:line="240" w:lineRule="auto"/>
              <w:ind w:left="0" w:right="74"/>
              <w:jc w:val="both"/>
              <w:rPr>
                <w:rFonts w:ascii="Times New Roman" w:hAnsi="Times New Roman"/>
                <w:sz w:val="21"/>
                <w:szCs w:val="21"/>
              </w:rPr>
            </w:pPr>
            <w:r w:rsidRPr="00F16A5E">
              <w:rPr>
                <w:rFonts w:ascii="Times New Roman" w:hAnsi="Times New Roman"/>
                <w:sz w:val="21"/>
                <w:szCs w:val="21"/>
              </w:rPr>
              <w:t>Efficacy Analysis</w:t>
            </w:r>
          </w:p>
          <w:p w14:paraId="09D8E561" w14:textId="07B3EDA5" w:rsidR="0001176C" w:rsidRPr="00F16A5E" w:rsidRDefault="00D64925" w:rsidP="00D64925">
            <w:pPr>
              <w:pStyle w:val="SynopsisText"/>
              <w:spacing w:before="50" w:after="0" w:line="240" w:lineRule="auto"/>
              <w:ind w:left="0" w:right="0"/>
              <w:jc w:val="both"/>
              <w:rPr>
                <w:rFonts w:ascii="Times New Roman" w:hAnsi="Times New Roman"/>
                <w:sz w:val="21"/>
                <w:szCs w:val="21"/>
              </w:rPr>
            </w:pPr>
            <w:r w:rsidRPr="00F16A5E">
              <w:rPr>
                <w:rFonts w:ascii="Times New Roman" w:hAnsi="Times New Roman"/>
                <w:sz w:val="21"/>
                <w:szCs w:val="21"/>
              </w:rPr>
              <w:t>In this study, the analysis results of all efficacy data will be tabulated, and the distribution of each efficacy measures will be descriptively summarized or plotted by dose group and scheduled visit.</w:t>
            </w:r>
          </w:p>
        </w:tc>
      </w:tr>
    </w:tbl>
    <w:p w14:paraId="37F58446" w14:textId="77777777" w:rsidR="0001176C" w:rsidRPr="00F16A5E" w:rsidRDefault="0001176C" w:rsidP="004F7984">
      <w:pPr>
        <w:sectPr w:rsidR="0001176C" w:rsidRPr="00F16A5E" w:rsidSect="004F7984">
          <w:headerReference w:type="default" r:id="rId12"/>
          <w:footerReference w:type="default" r:id="rId13"/>
          <w:pgSz w:w="11906" w:h="16838"/>
          <w:pgMar w:top="1418" w:right="1418" w:bottom="1418" w:left="1418" w:header="851" w:footer="850" w:gutter="0"/>
          <w:pgNumType w:start="1"/>
          <w:cols w:space="425"/>
          <w:docGrid w:type="lines" w:linePitch="312"/>
        </w:sectPr>
      </w:pPr>
    </w:p>
    <w:p w14:paraId="6E0A33D3" w14:textId="1A8BE810" w:rsidR="00307403" w:rsidRPr="00F16A5E" w:rsidRDefault="00D64925" w:rsidP="00646FAF">
      <w:pPr>
        <w:pStyle w:val="1"/>
        <w:spacing w:beforeLines="0" w:before="120" w:line="360" w:lineRule="auto"/>
        <w:jc w:val="both"/>
        <w:rPr>
          <w:rFonts w:eastAsia="宋体"/>
          <w:szCs w:val="28"/>
          <w:lang w:eastAsia="zh-CN"/>
        </w:rPr>
      </w:pPr>
      <w:bookmarkStart w:id="11" w:name="_Toc71149130"/>
      <w:r w:rsidRPr="00F16A5E">
        <w:rPr>
          <w:rFonts w:eastAsia="宋体"/>
          <w:szCs w:val="28"/>
          <w:lang w:eastAsia="zh-CN"/>
        </w:rPr>
        <w:lastRenderedPageBreak/>
        <w:t>Study Schedule</w:t>
      </w:r>
      <w:bookmarkEnd w:id="11"/>
    </w:p>
    <w:tbl>
      <w:tblPr>
        <w:tblStyle w:val="a9"/>
        <w:tblW w:w="5000" w:type="pct"/>
        <w:tblCellMar>
          <w:left w:w="142" w:type="dxa"/>
          <w:right w:w="142" w:type="dxa"/>
        </w:tblCellMar>
        <w:tblLook w:val="04A0" w:firstRow="1" w:lastRow="0" w:firstColumn="1" w:lastColumn="0" w:noHBand="0" w:noVBand="1"/>
      </w:tblPr>
      <w:tblGrid>
        <w:gridCol w:w="1973"/>
        <w:gridCol w:w="2767"/>
        <w:gridCol w:w="1129"/>
        <w:gridCol w:w="557"/>
        <w:gridCol w:w="595"/>
        <w:gridCol w:w="1309"/>
        <w:gridCol w:w="1309"/>
        <w:gridCol w:w="1370"/>
        <w:gridCol w:w="1252"/>
        <w:gridCol w:w="1395"/>
        <w:gridCol w:w="1470"/>
      </w:tblGrid>
      <w:tr w:rsidR="00D5150E" w:rsidRPr="00F16A5E" w14:paraId="3E0BCE7C" w14:textId="77777777" w:rsidTr="000363AF">
        <w:trPr>
          <w:trHeight w:val="397"/>
          <w:tblHeader/>
        </w:trPr>
        <w:tc>
          <w:tcPr>
            <w:tcW w:w="1205" w:type="pct"/>
            <w:gridSpan w:val="2"/>
            <w:vMerge w:val="restart"/>
            <w:shd w:val="clear" w:color="auto" w:fill="E7E6E6" w:themeFill="background2"/>
            <w:vAlign w:val="center"/>
          </w:tcPr>
          <w:p w14:paraId="750EFD28" w14:textId="77777777" w:rsidR="00D5150E" w:rsidRPr="00F16A5E" w:rsidRDefault="00D5150E" w:rsidP="000363AF">
            <w:pPr>
              <w:rPr>
                <w:b/>
                <w:bCs/>
              </w:rPr>
            </w:pPr>
            <w:r w:rsidRPr="00F16A5E">
              <w:rPr>
                <w:b/>
                <w:bCs/>
              </w:rPr>
              <w:t>Periods</w:t>
            </w:r>
          </w:p>
        </w:tc>
        <w:tc>
          <w:tcPr>
            <w:tcW w:w="402" w:type="pct"/>
            <w:vMerge w:val="restart"/>
            <w:shd w:val="clear" w:color="auto" w:fill="E7E6E6" w:themeFill="background2"/>
            <w:vAlign w:val="center"/>
          </w:tcPr>
          <w:p w14:paraId="5B12E569" w14:textId="77777777" w:rsidR="00D5150E" w:rsidRPr="00F16A5E" w:rsidRDefault="00D5150E" w:rsidP="000363AF">
            <w:pPr>
              <w:rPr>
                <w:b/>
                <w:bCs/>
              </w:rPr>
            </w:pPr>
            <w:r w:rsidRPr="00F16A5E">
              <w:rPr>
                <w:b/>
                <w:bCs/>
              </w:rPr>
              <w:t>Screening Period</w:t>
            </w:r>
          </w:p>
        </w:tc>
        <w:tc>
          <w:tcPr>
            <w:tcW w:w="2366" w:type="pct"/>
            <w:gridSpan w:val="6"/>
            <w:shd w:val="clear" w:color="auto" w:fill="E7E6E6" w:themeFill="background2"/>
            <w:vAlign w:val="center"/>
          </w:tcPr>
          <w:p w14:paraId="7EF7CCF9" w14:textId="77777777" w:rsidR="00D5150E" w:rsidRPr="00F16A5E" w:rsidRDefault="00D5150E" w:rsidP="000363AF">
            <w:pPr>
              <w:jc w:val="center"/>
              <w:rPr>
                <w:b/>
                <w:bCs/>
              </w:rPr>
            </w:pPr>
            <w:r w:rsidRPr="00F16A5E">
              <w:rPr>
                <w:b/>
                <w:bCs/>
              </w:rPr>
              <w:t>Treatment Period</w:t>
            </w:r>
          </w:p>
        </w:tc>
        <w:tc>
          <w:tcPr>
            <w:tcW w:w="501" w:type="pct"/>
            <w:vMerge w:val="restart"/>
            <w:shd w:val="clear" w:color="auto" w:fill="E7E6E6" w:themeFill="background2"/>
            <w:vAlign w:val="center"/>
          </w:tcPr>
          <w:p w14:paraId="037F78E0" w14:textId="77777777" w:rsidR="00D5150E" w:rsidRPr="00F16A5E" w:rsidRDefault="00D5150E" w:rsidP="000363AF">
            <w:pPr>
              <w:rPr>
                <w:b/>
                <w:bCs/>
              </w:rPr>
            </w:pPr>
            <w:r w:rsidRPr="00F16A5E">
              <w:rPr>
                <w:b/>
                <w:bCs/>
              </w:rPr>
              <w:t>End-of-Treatment Visit</w:t>
            </w:r>
          </w:p>
        </w:tc>
        <w:tc>
          <w:tcPr>
            <w:tcW w:w="526" w:type="pct"/>
            <w:vMerge w:val="restart"/>
            <w:shd w:val="clear" w:color="auto" w:fill="E7E6E6" w:themeFill="background2"/>
            <w:vAlign w:val="center"/>
          </w:tcPr>
          <w:p w14:paraId="4C4CEC23" w14:textId="77777777" w:rsidR="00D5150E" w:rsidRPr="00F16A5E" w:rsidRDefault="00D5150E" w:rsidP="000363AF">
            <w:pPr>
              <w:rPr>
                <w:b/>
                <w:bCs/>
              </w:rPr>
            </w:pPr>
            <w:r w:rsidRPr="00F16A5E">
              <w:rPr>
                <w:b/>
                <w:bCs/>
              </w:rPr>
              <w:t>Follow-up Period</w:t>
            </w:r>
          </w:p>
        </w:tc>
      </w:tr>
      <w:tr w:rsidR="00D5150E" w:rsidRPr="00F16A5E" w14:paraId="47978379" w14:textId="77777777" w:rsidTr="000363AF">
        <w:trPr>
          <w:trHeight w:val="397"/>
          <w:tblHeader/>
        </w:trPr>
        <w:tc>
          <w:tcPr>
            <w:tcW w:w="1205" w:type="pct"/>
            <w:gridSpan w:val="2"/>
            <w:vMerge/>
            <w:shd w:val="clear" w:color="auto" w:fill="E7E6E6" w:themeFill="background2"/>
            <w:vAlign w:val="center"/>
          </w:tcPr>
          <w:p w14:paraId="65FD47BB" w14:textId="77777777" w:rsidR="00D5150E" w:rsidRPr="00F16A5E" w:rsidRDefault="00D5150E" w:rsidP="000363AF">
            <w:pPr>
              <w:rPr>
                <w:b/>
                <w:bCs/>
              </w:rPr>
            </w:pPr>
          </w:p>
        </w:tc>
        <w:tc>
          <w:tcPr>
            <w:tcW w:w="402" w:type="pct"/>
            <w:vMerge/>
            <w:shd w:val="clear" w:color="auto" w:fill="E7E6E6" w:themeFill="background2"/>
            <w:vAlign w:val="center"/>
          </w:tcPr>
          <w:p w14:paraId="40B5C539" w14:textId="77777777" w:rsidR="00D5150E" w:rsidRPr="00F16A5E" w:rsidRDefault="00D5150E" w:rsidP="000363AF">
            <w:pPr>
              <w:rPr>
                <w:b/>
                <w:bCs/>
              </w:rPr>
            </w:pPr>
          </w:p>
        </w:tc>
        <w:tc>
          <w:tcPr>
            <w:tcW w:w="473" w:type="pct"/>
            <w:gridSpan w:val="2"/>
            <w:shd w:val="clear" w:color="auto" w:fill="E7E6E6" w:themeFill="background2"/>
            <w:vAlign w:val="center"/>
          </w:tcPr>
          <w:p w14:paraId="185BF1F4" w14:textId="77777777" w:rsidR="00D5150E" w:rsidRPr="00F16A5E" w:rsidRDefault="00D5150E" w:rsidP="000363AF">
            <w:pPr>
              <w:rPr>
                <w:b/>
                <w:bCs/>
              </w:rPr>
            </w:pPr>
            <w:r w:rsidRPr="00F16A5E">
              <w:rPr>
                <w:b/>
                <w:bCs/>
              </w:rPr>
              <w:t>Week 1</w:t>
            </w:r>
          </w:p>
        </w:tc>
        <w:tc>
          <w:tcPr>
            <w:tcW w:w="473" w:type="pct"/>
            <w:shd w:val="clear" w:color="auto" w:fill="E7E6E6" w:themeFill="background2"/>
            <w:vAlign w:val="center"/>
          </w:tcPr>
          <w:p w14:paraId="1A5DD3BE" w14:textId="77777777" w:rsidR="00D5150E" w:rsidRPr="00F16A5E" w:rsidRDefault="00D5150E" w:rsidP="000363AF">
            <w:pPr>
              <w:rPr>
                <w:b/>
                <w:bCs/>
              </w:rPr>
            </w:pPr>
            <w:r w:rsidRPr="00F16A5E">
              <w:rPr>
                <w:b/>
                <w:bCs/>
              </w:rPr>
              <w:t>Week 2</w:t>
            </w:r>
          </w:p>
        </w:tc>
        <w:tc>
          <w:tcPr>
            <w:tcW w:w="473" w:type="pct"/>
            <w:shd w:val="clear" w:color="auto" w:fill="E7E6E6" w:themeFill="background2"/>
            <w:vAlign w:val="center"/>
          </w:tcPr>
          <w:p w14:paraId="1C90D90C" w14:textId="77777777" w:rsidR="00D5150E" w:rsidRPr="00F16A5E" w:rsidRDefault="00D5150E" w:rsidP="000363AF">
            <w:pPr>
              <w:rPr>
                <w:b/>
                <w:bCs/>
              </w:rPr>
            </w:pPr>
            <w:r w:rsidRPr="00F16A5E">
              <w:rPr>
                <w:b/>
                <w:bCs/>
              </w:rPr>
              <w:t>Week 4</w:t>
            </w:r>
          </w:p>
        </w:tc>
        <w:tc>
          <w:tcPr>
            <w:tcW w:w="493" w:type="pct"/>
            <w:shd w:val="clear" w:color="auto" w:fill="E7E6E6" w:themeFill="background2"/>
            <w:vAlign w:val="center"/>
          </w:tcPr>
          <w:p w14:paraId="7BE35D99" w14:textId="77777777" w:rsidR="00D5150E" w:rsidRPr="00F16A5E" w:rsidRDefault="00D5150E" w:rsidP="000363AF">
            <w:pPr>
              <w:rPr>
                <w:b/>
                <w:bCs/>
              </w:rPr>
            </w:pPr>
            <w:r w:rsidRPr="00F16A5E">
              <w:rPr>
                <w:b/>
                <w:bCs/>
              </w:rPr>
              <w:t>Week 8</w:t>
            </w:r>
          </w:p>
        </w:tc>
        <w:tc>
          <w:tcPr>
            <w:tcW w:w="454" w:type="pct"/>
            <w:shd w:val="clear" w:color="auto" w:fill="E7E6E6" w:themeFill="background2"/>
            <w:vAlign w:val="center"/>
          </w:tcPr>
          <w:p w14:paraId="5C8AB848" w14:textId="77777777" w:rsidR="00D5150E" w:rsidRPr="00F16A5E" w:rsidRDefault="00D5150E" w:rsidP="000363AF">
            <w:pPr>
              <w:rPr>
                <w:b/>
                <w:bCs/>
              </w:rPr>
            </w:pPr>
            <w:r w:rsidRPr="00F16A5E">
              <w:rPr>
                <w:b/>
                <w:bCs/>
              </w:rPr>
              <w:t>Week 12</w:t>
            </w:r>
          </w:p>
        </w:tc>
        <w:tc>
          <w:tcPr>
            <w:tcW w:w="501" w:type="pct"/>
            <w:vMerge/>
            <w:shd w:val="clear" w:color="auto" w:fill="E7E6E6" w:themeFill="background2"/>
            <w:vAlign w:val="center"/>
          </w:tcPr>
          <w:p w14:paraId="50CC8C2E" w14:textId="77777777" w:rsidR="00D5150E" w:rsidRPr="00F16A5E" w:rsidRDefault="00D5150E" w:rsidP="000363AF">
            <w:pPr>
              <w:rPr>
                <w:b/>
                <w:bCs/>
              </w:rPr>
            </w:pPr>
          </w:p>
        </w:tc>
        <w:tc>
          <w:tcPr>
            <w:tcW w:w="526" w:type="pct"/>
            <w:vMerge/>
            <w:shd w:val="clear" w:color="auto" w:fill="E7E6E6" w:themeFill="background2"/>
            <w:vAlign w:val="center"/>
          </w:tcPr>
          <w:p w14:paraId="522A9B60" w14:textId="77777777" w:rsidR="00D5150E" w:rsidRPr="00F16A5E" w:rsidRDefault="00D5150E" w:rsidP="000363AF">
            <w:pPr>
              <w:rPr>
                <w:b/>
                <w:bCs/>
              </w:rPr>
            </w:pPr>
          </w:p>
        </w:tc>
      </w:tr>
      <w:tr w:rsidR="00D5150E" w:rsidRPr="00F16A5E" w14:paraId="4223790E" w14:textId="77777777" w:rsidTr="000363AF">
        <w:trPr>
          <w:trHeight w:val="397"/>
          <w:tblHeader/>
        </w:trPr>
        <w:tc>
          <w:tcPr>
            <w:tcW w:w="1205" w:type="pct"/>
            <w:gridSpan w:val="2"/>
            <w:shd w:val="clear" w:color="auto" w:fill="E7E6E6" w:themeFill="background2"/>
            <w:vAlign w:val="center"/>
          </w:tcPr>
          <w:p w14:paraId="1A9B8B61" w14:textId="77777777" w:rsidR="00D5150E" w:rsidRPr="00F16A5E" w:rsidRDefault="00D5150E" w:rsidP="000363AF">
            <w:pPr>
              <w:rPr>
                <w:b/>
                <w:bCs/>
              </w:rPr>
            </w:pPr>
            <w:r w:rsidRPr="00F16A5E">
              <w:rPr>
                <w:b/>
                <w:bCs/>
              </w:rPr>
              <w:t>Visit Day</w:t>
            </w:r>
          </w:p>
        </w:tc>
        <w:tc>
          <w:tcPr>
            <w:tcW w:w="402" w:type="pct"/>
            <w:shd w:val="clear" w:color="auto" w:fill="E7E6E6" w:themeFill="background2"/>
            <w:vAlign w:val="center"/>
          </w:tcPr>
          <w:p w14:paraId="5C3EDA95" w14:textId="77777777" w:rsidR="00D5150E" w:rsidRPr="00F16A5E" w:rsidRDefault="00D5150E" w:rsidP="000363AF">
            <w:pPr>
              <w:rPr>
                <w:b/>
                <w:bCs/>
              </w:rPr>
            </w:pPr>
            <w:r w:rsidRPr="00F16A5E">
              <w:rPr>
                <w:b/>
                <w:bCs/>
              </w:rPr>
              <w:t>Day -28 to -1</w:t>
            </w:r>
          </w:p>
        </w:tc>
        <w:tc>
          <w:tcPr>
            <w:tcW w:w="236" w:type="pct"/>
            <w:shd w:val="clear" w:color="auto" w:fill="E7E6E6" w:themeFill="background2"/>
            <w:vAlign w:val="center"/>
          </w:tcPr>
          <w:p w14:paraId="725477DE" w14:textId="77777777" w:rsidR="00D5150E" w:rsidRPr="00F16A5E" w:rsidRDefault="00D5150E" w:rsidP="000363AF">
            <w:pPr>
              <w:rPr>
                <w:b/>
                <w:bCs/>
              </w:rPr>
            </w:pPr>
            <w:r w:rsidRPr="00F16A5E">
              <w:rPr>
                <w:b/>
                <w:bCs/>
              </w:rPr>
              <w:t>D1</w:t>
            </w:r>
          </w:p>
        </w:tc>
        <w:tc>
          <w:tcPr>
            <w:tcW w:w="237" w:type="pct"/>
            <w:shd w:val="clear" w:color="auto" w:fill="E7E6E6" w:themeFill="background2"/>
            <w:vAlign w:val="center"/>
          </w:tcPr>
          <w:p w14:paraId="2D877583" w14:textId="77777777" w:rsidR="00D5150E" w:rsidRPr="00F16A5E" w:rsidRDefault="00D5150E" w:rsidP="000363AF">
            <w:pPr>
              <w:rPr>
                <w:b/>
                <w:bCs/>
              </w:rPr>
            </w:pPr>
            <w:r w:rsidRPr="00F16A5E">
              <w:rPr>
                <w:b/>
                <w:bCs/>
              </w:rPr>
              <w:t>D2</w:t>
            </w:r>
          </w:p>
        </w:tc>
        <w:tc>
          <w:tcPr>
            <w:tcW w:w="473" w:type="pct"/>
            <w:shd w:val="clear" w:color="auto" w:fill="E7E6E6" w:themeFill="background2"/>
            <w:vAlign w:val="center"/>
          </w:tcPr>
          <w:p w14:paraId="40B3F1CA" w14:textId="77777777" w:rsidR="00D5150E" w:rsidRPr="00F16A5E" w:rsidRDefault="00D5150E" w:rsidP="000363AF">
            <w:pPr>
              <w:rPr>
                <w:b/>
                <w:bCs/>
              </w:rPr>
            </w:pPr>
            <w:r w:rsidRPr="00F16A5E">
              <w:rPr>
                <w:b/>
                <w:bCs/>
              </w:rPr>
              <w:t>D 14</w:t>
            </w:r>
          </w:p>
        </w:tc>
        <w:tc>
          <w:tcPr>
            <w:tcW w:w="473" w:type="pct"/>
            <w:shd w:val="clear" w:color="auto" w:fill="E7E6E6" w:themeFill="background2"/>
            <w:vAlign w:val="center"/>
          </w:tcPr>
          <w:p w14:paraId="524FABFF" w14:textId="77777777" w:rsidR="00D5150E" w:rsidRPr="00F16A5E" w:rsidRDefault="00D5150E" w:rsidP="000363AF">
            <w:pPr>
              <w:rPr>
                <w:b/>
                <w:bCs/>
              </w:rPr>
            </w:pPr>
            <w:r w:rsidRPr="00F16A5E">
              <w:rPr>
                <w:b/>
                <w:bCs/>
              </w:rPr>
              <w:t>D28</w:t>
            </w:r>
          </w:p>
        </w:tc>
        <w:tc>
          <w:tcPr>
            <w:tcW w:w="493" w:type="pct"/>
            <w:shd w:val="clear" w:color="auto" w:fill="E7E6E6" w:themeFill="background2"/>
            <w:vAlign w:val="center"/>
          </w:tcPr>
          <w:p w14:paraId="558638C4" w14:textId="77777777" w:rsidR="00D5150E" w:rsidRPr="00F16A5E" w:rsidRDefault="00D5150E" w:rsidP="000363AF">
            <w:pPr>
              <w:rPr>
                <w:b/>
                <w:bCs/>
              </w:rPr>
            </w:pPr>
            <w:r w:rsidRPr="00F16A5E">
              <w:rPr>
                <w:b/>
                <w:bCs/>
              </w:rPr>
              <w:t>D56</w:t>
            </w:r>
          </w:p>
        </w:tc>
        <w:tc>
          <w:tcPr>
            <w:tcW w:w="454" w:type="pct"/>
            <w:shd w:val="clear" w:color="auto" w:fill="E7E6E6" w:themeFill="background2"/>
            <w:vAlign w:val="center"/>
          </w:tcPr>
          <w:p w14:paraId="193C9CF5" w14:textId="77777777" w:rsidR="00D5150E" w:rsidRPr="00F16A5E" w:rsidRDefault="00D5150E" w:rsidP="000363AF">
            <w:pPr>
              <w:rPr>
                <w:b/>
                <w:bCs/>
              </w:rPr>
            </w:pPr>
            <w:r w:rsidRPr="00F16A5E">
              <w:rPr>
                <w:b/>
                <w:bCs/>
              </w:rPr>
              <w:t>D84</w:t>
            </w:r>
          </w:p>
        </w:tc>
        <w:tc>
          <w:tcPr>
            <w:tcW w:w="501" w:type="pct"/>
            <w:shd w:val="clear" w:color="auto" w:fill="E7E6E6" w:themeFill="background2"/>
            <w:vAlign w:val="center"/>
          </w:tcPr>
          <w:p w14:paraId="455E301B" w14:textId="77777777" w:rsidR="00D5150E" w:rsidRPr="00F16A5E" w:rsidRDefault="00D5150E" w:rsidP="000363AF">
            <w:pPr>
              <w:rPr>
                <w:b/>
                <w:bCs/>
              </w:rPr>
            </w:pPr>
            <w:r w:rsidRPr="00F16A5E">
              <w:rPr>
                <w:b/>
                <w:bCs/>
              </w:rPr>
              <w:t>last dose</w:t>
            </w:r>
          </w:p>
        </w:tc>
        <w:tc>
          <w:tcPr>
            <w:tcW w:w="526" w:type="pct"/>
            <w:shd w:val="clear" w:color="auto" w:fill="E7E6E6" w:themeFill="background2"/>
            <w:vAlign w:val="center"/>
          </w:tcPr>
          <w:p w14:paraId="49685220" w14:textId="77777777" w:rsidR="00D5150E" w:rsidRPr="00F16A5E" w:rsidRDefault="00D5150E" w:rsidP="000363AF">
            <w:pPr>
              <w:rPr>
                <w:b/>
                <w:bCs/>
              </w:rPr>
            </w:pPr>
            <w:r w:rsidRPr="00F16A5E">
              <w:rPr>
                <w:b/>
                <w:bCs/>
              </w:rPr>
              <w:t>28 days after last dose</w:t>
            </w:r>
          </w:p>
        </w:tc>
      </w:tr>
      <w:tr w:rsidR="00D5150E" w:rsidRPr="00F16A5E" w14:paraId="526EFD29" w14:textId="77777777" w:rsidTr="000363AF">
        <w:trPr>
          <w:trHeight w:val="397"/>
          <w:tblHeader/>
        </w:trPr>
        <w:tc>
          <w:tcPr>
            <w:tcW w:w="1205" w:type="pct"/>
            <w:gridSpan w:val="2"/>
            <w:shd w:val="clear" w:color="auto" w:fill="E7E6E6" w:themeFill="background2"/>
            <w:vAlign w:val="center"/>
          </w:tcPr>
          <w:p w14:paraId="65E7E959" w14:textId="77777777" w:rsidR="00D5150E" w:rsidRPr="00F16A5E" w:rsidRDefault="00D5150E" w:rsidP="000363AF">
            <w:pPr>
              <w:rPr>
                <w:b/>
                <w:bCs/>
              </w:rPr>
            </w:pPr>
            <w:r w:rsidRPr="00F16A5E">
              <w:rPr>
                <w:b/>
                <w:bCs/>
              </w:rPr>
              <w:t>Window</w:t>
            </w:r>
          </w:p>
        </w:tc>
        <w:tc>
          <w:tcPr>
            <w:tcW w:w="402" w:type="pct"/>
            <w:shd w:val="clear" w:color="auto" w:fill="E7E6E6" w:themeFill="background2"/>
            <w:vAlign w:val="center"/>
          </w:tcPr>
          <w:p w14:paraId="0CEFDE51" w14:textId="77777777" w:rsidR="00D5150E" w:rsidRPr="00F16A5E" w:rsidRDefault="00D5150E" w:rsidP="000363AF">
            <w:pPr>
              <w:rPr>
                <w:b/>
                <w:bCs/>
              </w:rPr>
            </w:pPr>
            <w:r w:rsidRPr="00F16A5E">
              <w:rPr>
                <w:b/>
                <w:bCs/>
              </w:rPr>
              <w:t>\</w:t>
            </w:r>
          </w:p>
        </w:tc>
        <w:tc>
          <w:tcPr>
            <w:tcW w:w="236" w:type="pct"/>
            <w:shd w:val="clear" w:color="auto" w:fill="E7E6E6" w:themeFill="background2"/>
            <w:vAlign w:val="center"/>
          </w:tcPr>
          <w:p w14:paraId="69307AE0" w14:textId="77777777" w:rsidR="00D5150E" w:rsidRPr="00F16A5E" w:rsidRDefault="00D5150E" w:rsidP="000363AF">
            <w:pPr>
              <w:rPr>
                <w:b/>
                <w:bCs/>
              </w:rPr>
            </w:pPr>
            <w:r w:rsidRPr="00F16A5E">
              <w:rPr>
                <w:b/>
                <w:bCs/>
              </w:rPr>
              <w:t>\</w:t>
            </w:r>
          </w:p>
        </w:tc>
        <w:tc>
          <w:tcPr>
            <w:tcW w:w="237" w:type="pct"/>
            <w:shd w:val="clear" w:color="auto" w:fill="E7E6E6" w:themeFill="background2"/>
            <w:vAlign w:val="center"/>
          </w:tcPr>
          <w:p w14:paraId="03E6DF16" w14:textId="77777777" w:rsidR="00D5150E" w:rsidRPr="00F16A5E" w:rsidRDefault="00D5150E" w:rsidP="000363AF">
            <w:pPr>
              <w:rPr>
                <w:b/>
                <w:bCs/>
              </w:rPr>
            </w:pPr>
            <w:r w:rsidRPr="00F16A5E">
              <w:rPr>
                <w:b/>
                <w:bCs/>
              </w:rPr>
              <w:t>\</w:t>
            </w:r>
          </w:p>
        </w:tc>
        <w:tc>
          <w:tcPr>
            <w:tcW w:w="473" w:type="pct"/>
            <w:shd w:val="clear" w:color="auto" w:fill="E7E6E6" w:themeFill="background2"/>
            <w:vAlign w:val="center"/>
          </w:tcPr>
          <w:p w14:paraId="4B08FE32" w14:textId="77CDA8B0" w:rsidR="00D5150E" w:rsidRPr="00F16A5E" w:rsidRDefault="00D5150E" w:rsidP="000363AF">
            <w:pPr>
              <w:rPr>
                <w:b/>
                <w:bCs/>
              </w:rPr>
            </w:pPr>
            <w:r w:rsidRPr="00F16A5E">
              <w:rPr>
                <w:b/>
                <w:bCs/>
              </w:rPr>
              <w:t xml:space="preserve">± 1 </w:t>
            </w:r>
            <w:r w:rsidR="00BF2D0D" w:rsidRPr="00F16A5E">
              <w:rPr>
                <w:b/>
                <w:bCs/>
              </w:rPr>
              <w:t>d</w:t>
            </w:r>
            <w:r w:rsidRPr="00F16A5E">
              <w:rPr>
                <w:b/>
                <w:bCs/>
              </w:rPr>
              <w:t>ay</w:t>
            </w:r>
          </w:p>
        </w:tc>
        <w:tc>
          <w:tcPr>
            <w:tcW w:w="473" w:type="pct"/>
            <w:shd w:val="clear" w:color="auto" w:fill="E7E6E6" w:themeFill="background2"/>
            <w:vAlign w:val="center"/>
          </w:tcPr>
          <w:p w14:paraId="330CAEA3" w14:textId="0B27412D" w:rsidR="00D5150E" w:rsidRPr="00F16A5E" w:rsidRDefault="00D5150E" w:rsidP="000363AF">
            <w:pPr>
              <w:rPr>
                <w:b/>
                <w:bCs/>
              </w:rPr>
            </w:pPr>
            <w:r w:rsidRPr="00F16A5E">
              <w:rPr>
                <w:b/>
                <w:bCs/>
              </w:rPr>
              <w:t xml:space="preserve">± 3 </w:t>
            </w:r>
            <w:r w:rsidR="00BF2D0D" w:rsidRPr="00F16A5E">
              <w:rPr>
                <w:b/>
                <w:bCs/>
              </w:rPr>
              <w:t>d</w:t>
            </w:r>
            <w:r w:rsidRPr="00F16A5E">
              <w:rPr>
                <w:b/>
                <w:bCs/>
              </w:rPr>
              <w:t>ays</w:t>
            </w:r>
          </w:p>
        </w:tc>
        <w:tc>
          <w:tcPr>
            <w:tcW w:w="493" w:type="pct"/>
            <w:shd w:val="clear" w:color="auto" w:fill="E7E6E6" w:themeFill="background2"/>
            <w:vAlign w:val="center"/>
          </w:tcPr>
          <w:p w14:paraId="08948154" w14:textId="0EC6325B" w:rsidR="00D5150E" w:rsidRPr="00F16A5E" w:rsidRDefault="00D5150E" w:rsidP="000363AF">
            <w:pPr>
              <w:rPr>
                <w:b/>
                <w:bCs/>
              </w:rPr>
            </w:pPr>
            <w:r w:rsidRPr="00F16A5E">
              <w:rPr>
                <w:b/>
                <w:bCs/>
              </w:rPr>
              <w:t xml:space="preserve">± 3 </w:t>
            </w:r>
            <w:r w:rsidR="00BF2D0D" w:rsidRPr="00F16A5E">
              <w:rPr>
                <w:b/>
                <w:bCs/>
              </w:rPr>
              <w:t>d</w:t>
            </w:r>
            <w:r w:rsidRPr="00F16A5E">
              <w:rPr>
                <w:b/>
                <w:bCs/>
              </w:rPr>
              <w:t>ays</w:t>
            </w:r>
          </w:p>
        </w:tc>
        <w:tc>
          <w:tcPr>
            <w:tcW w:w="454" w:type="pct"/>
            <w:shd w:val="clear" w:color="auto" w:fill="E7E6E6" w:themeFill="background2"/>
            <w:vAlign w:val="center"/>
          </w:tcPr>
          <w:p w14:paraId="44322C63" w14:textId="16E11ABD" w:rsidR="00D5150E" w:rsidRPr="00F16A5E" w:rsidRDefault="00D5150E" w:rsidP="000363AF">
            <w:pPr>
              <w:rPr>
                <w:b/>
                <w:bCs/>
              </w:rPr>
            </w:pPr>
            <w:r w:rsidRPr="00F16A5E">
              <w:rPr>
                <w:b/>
                <w:bCs/>
              </w:rPr>
              <w:t xml:space="preserve">± 3 </w:t>
            </w:r>
            <w:r w:rsidR="00BF2D0D" w:rsidRPr="00F16A5E">
              <w:rPr>
                <w:b/>
                <w:bCs/>
              </w:rPr>
              <w:t>d</w:t>
            </w:r>
            <w:r w:rsidRPr="00F16A5E">
              <w:rPr>
                <w:b/>
                <w:bCs/>
              </w:rPr>
              <w:t>ays</w:t>
            </w:r>
          </w:p>
        </w:tc>
        <w:tc>
          <w:tcPr>
            <w:tcW w:w="501" w:type="pct"/>
            <w:shd w:val="clear" w:color="auto" w:fill="E7E6E6" w:themeFill="background2"/>
            <w:vAlign w:val="center"/>
          </w:tcPr>
          <w:p w14:paraId="53DDA6A2" w14:textId="77777777" w:rsidR="00D5150E" w:rsidRPr="00F16A5E" w:rsidRDefault="00D5150E" w:rsidP="000363AF">
            <w:pPr>
              <w:rPr>
                <w:b/>
                <w:bCs/>
              </w:rPr>
            </w:pPr>
            <w:r w:rsidRPr="00F16A5E">
              <w:rPr>
                <w:b/>
                <w:bCs/>
              </w:rPr>
              <w:t>Within 3 days</w:t>
            </w:r>
          </w:p>
        </w:tc>
        <w:tc>
          <w:tcPr>
            <w:tcW w:w="526" w:type="pct"/>
            <w:shd w:val="clear" w:color="auto" w:fill="E7E6E6" w:themeFill="background2"/>
            <w:vAlign w:val="center"/>
          </w:tcPr>
          <w:p w14:paraId="794E786E" w14:textId="1D28A440" w:rsidR="00D5150E" w:rsidRPr="00F16A5E" w:rsidRDefault="00D5150E" w:rsidP="000363AF">
            <w:pPr>
              <w:rPr>
                <w:b/>
                <w:bCs/>
              </w:rPr>
            </w:pPr>
            <w:r w:rsidRPr="00F16A5E">
              <w:rPr>
                <w:b/>
                <w:bCs/>
              </w:rPr>
              <w:t xml:space="preserve">± 5 </w:t>
            </w:r>
            <w:r w:rsidR="00BF2D0D" w:rsidRPr="00F16A5E">
              <w:rPr>
                <w:b/>
                <w:bCs/>
              </w:rPr>
              <w:t>d</w:t>
            </w:r>
            <w:r w:rsidRPr="00F16A5E">
              <w:rPr>
                <w:b/>
                <w:bCs/>
              </w:rPr>
              <w:t>ays</w:t>
            </w:r>
          </w:p>
        </w:tc>
      </w:tr>
      <w:tr w:rsidR="00D5150E" w:rsidRPr="00F16A5E" w14:paraId="2FD3676B" w14:textId="77777777" w:rsidTr="000363AF">
        <w:trPr>
          <w:trHeight w:val="397"/>
        </w:trPr>
        <w:tc>
          <w:tcPr>
            <w:tcW w:w="5000" w:type="pct"/>
            <w:gridSpan w:val="11"/>
            <w:shd w:val="clear" w:color="auto" w:fill="BDD6EE" w:themeFill="accent5" w:themeFillTint="66"/>
            <w:vAlign w:val="center"/>
          </w:tcPr>
          <w:p w14:paraId="06F2E8A3" w14:textId="79ACEF73" w:rsidR="00D5150E" w:rsidRPr="00F16A5E" w:rsidRDefault="00D5150E" w:rsidP="000363AF">
            <w:pPr>
              <w:jc w:val="center"/>
              <w:rPr>
                <w:b/>
                <w:bCs/>
              </w:rPr>
            </w:pPr>
            <w:r w:rsidRPr="00F16A5E">
              <w:rPr>
                <w:b/>
                <w:bCs/>
              </w:rPr>
              <w:t xml:space="preserve">Study </w:t>
            </w:r>
            <w:r w:rsidR="00064A41" w:rsidRPr="00F16A5E">
              <w:rPr>
                <w:b/>
                <w:bCs/>
              </w:rPr>
              <w:t>P</w:t>
            </w:r>
            <w:r w:rsidRPr="00F16A5E">
              <w:rPr>
                <w:b/>
                <w:bCs/>
              </w:rPr>
              <w:t>rocedure</w:t>
            </w:r>
            <w:r w:rsidR="00064A41" w:rsidRPr="00F16A5E">
              <w:rPr>
                <w:b/>
                <w:bCs/>
              </w:rPr>
              <w:t xml:space="preserve"> Management</w:t>
            </w:r>
          </w:p>
        </w:tc>
      </w:tr>
      <w:tr w:rsidR="00D5150E" w:rsidRPr="00F16A5E" w14:paraId="099E618B" w14:textId="77777777" w:rsidTr="000363AF">
        <w:trPr>
          <w:trHeight w:val="397"/>
        </w:trPr>
        <w:tc>
          <w:tcPr>
            <w:tcW w:w="1205" w:type="pct"/>
            <w:gridSpan w:val="2"/>
            <w:vAlign w:val="center"/>
          </w:tcPr>
          <w:p w14:paraId="5C33422B" w14:textId="77777777" w:rsidR="00D5150E" w:rsidRPr="00F16A5E" w:rsidRDefault="00D5150E" w:rsidP="000363AF">
            <w:pPr>
              <w:rPr>
                <w:b/>
                <w:bCs/>
              </w:rPr>
            </w:pPr>
            <w:r w:rsidRPr="00F16A5E">
              <w:rPr>
                <w:b/>
                <w:bCs/>
              </w:rPr>
              <w:t>Informed Consent</w:t>
            </w:r>
            <w:r w:rsidRPr="00F16A5E">
              <w:rPr>
                <w:b/>
                <w:bCs/>
                <w:vertAlign w:val="superscript"/>
              </w:rPr>
              <w:t>1</w:t>
            </w:r>
          </w:p>
        </w:tc>
        <w:tc>
          <w:tcPr>
            <w:tcW w:w="402" w:type="pct"/>
            <w:vAlign w:val="center"/>
          </w:tcPr>
          <w:p w14:paraId="357E64B5" w14:textId="77777777" w:rsidR="00D5150E" w:rsidRPr="00F16A5E" w:rsidRDefault="00D5150E" w:rsidP="000363AF">
            <w:r w:rsidRPr="00F16A5E">
              <w:t>X</w:t>
            </w:r>
          </w:p>
        </w:tc>
        <w:tc>
          <w:tcPr>
            <w:tcW w:w="236" w:type="pct"/>
            <w:vAlign w:val="center"/>
          </w:tcPr>
          <w:p w14:paraId="4CEA3B9C" w14:textId="77777777" w:rsidR="00D5150E" w:rsidRPr="00F16A5E" w:rsidRDefault="00D5150E" w:rsidP="000363AF"/>
        </w:tc>
        <w:tc>
          <w:tcPr>
            <w:tcW w:w="237" w:type="pct"/>
            <w:vAlign w:val="center"/>
          </w:tcPr>
          <w:p w14:paraId="50FDB0EE" w14:textId="77777777" w:rsidR="00D5150E" w:rsidRPr="00F16A5E" w:rsidRDefault="00D5150E" w:rsidP="000363AF"/>
        </w:tc>
        <w:tc>
          <w:tcPr>
            <w:tcW w:w="473" w:type="pct"/>
            <w:vAlign w:val="center"/>
          </w:tcPr>
          <w:p w14:paraId="2F796B76" w14:textId="77777777" w:rsidR="00D5150E" w:rsidRPr="00F16A5E" w:rsidRDefault="00D5150E" w:rsidP="000363AF"/>
        </w:tc>
        <w:tc>
          <w:tcPr>
            <w:tcW w:w="473" w:type="pct"/>
            <w:vAlign w:val="center"/>
          </w:tcPr>
          <w:p w14:paraId="601C4EE7" w14:textId="77777777" w:rsidR="00D5150E" w:rsidRPr="00F16A5E" w:rsidRDefault="00D5150E" w:rsidP="000363AF"/>
        </w:tc>
        <w:tc>
          <w:tcPr>
            <w:tcW w:w="493" w:type="pct"/>
            <w:vAlign w:val="center"/>
          </w:tcPr>
          <w:p w14:paraId="390BE73C" w14:textId="77777777" w:rsidR="00D5150E" w:rsidRPr="00F16A5E" w:rsidRDefault="00D5150E" w:rsidP="000363AF"/>
        </w:tc>
        <w:tc>
          <w:tcPr>
            <w:tcW w:w="454" w:type="pct"/>
            <w:vAlign w:val="center"/>
          </w:tcPr>
          <w:p w14:paraId="18B2B12E" w14:textId="77777777" w:rsidR="00D5150E" w:rsidRPr="00F16A5E" w:rsidRDefault="00D5150E" w:rsidP="000363AF"/>
        </w:tc>
        <w:tc>
          <w:tcPr>
            <w:tcW w:w="501" w:type="pct"/>
            <w:vAlign w:val="center"/>
          </w:tcPr>
          <w:p w14:paraId="1A43F706" w14:textId="77777777" w:rsidR="00D5150E" w:rsidRPr="00F16A5E" w:rsidRDefault="00D5150E" w:rsidP="000363AF"/>
        </w:tc>
        <w:tc>
          <w:tcPr>
            <w:tcW w:w="526" w:type="pct"/>
            <w:vAlign w:val="center"/>
          </w:tcPr>
          <w:p w14:paraId="3C685555" w14:textId="77777777" w:rsidR="00D5150E" w:rsidRPr="00F16A5E" w:rsidRDefault="00D5150E" w:rsidP="000363AF"/>
        </w:tc>
      </w:tr>
      <w:tr w:rsidR="00D5150E" w:rsidRPr="00F16A5E" w14:paraId="6C8F02C6" w14:textId="77777777" w:rsidTr="000363AF">
        <w:trPr>
          <w:trHeight w:val="397"/>
        </w:trPr>
        <w:tc>
          <w:tcPr>
            <w:tcW w:w="1205" w:type="pct"/>
            <w:gridSpan w:val="2"/>
            <w:vAlign w:val="center"/>
          </w:tcPr>
          <w:p w14:paraId="1C10C5CC" w14:textId="77777777" w:rsidR="00D5150E" w:rsidRPr="00F16A5E" w:rsidRDefault="00D5150E" w:rsidP="000363AF">
            <w:pPr>
              <w:rPr>
                <w:b/>
                <w:bCs/>
              </w:rPr>
            </w:pPr>
            <w:r w:rsidRPr="00F16A5E">
              <w:rPr>
                <w:b/>
                <w:bCs/>
              </w:rPr>
              <w:t>Inclusion/Exclusion Criteria</w:t>
            </w:r>
          </w:p>
        </w:tc>
        <w:tc>
          <w:tcPr>
            <w:tcW w:w="402" w:type="pct"/>
            <w:vAlign w:val="center"/>
          </w:tcPr>
          <w:p w14:paraId="4A80F4B5" w14:textId="77777777" w:rsidR="00D5150E" w:rsidRPr="00F16A5E" w:rsidRDefault="00D5150E" w:rsidP="000363AF">
            <w:r w:rsidRPr="00F16A5E">
              <w:t>X</w:t>
            </w:r>
          </w:p>
        </w:tc>
        <w:tc>
          <w:tcPr>
            <w:tcW w:w="236" w:type="pct"/>
            <w:vAlign w:val="center"/>
          </w:tcPr>
          <w:p w14:paraId="5038962D" w14:textId="77777777" w:rsidR="00D5150E" w:rsidRPr="00F16A5E" w:rsidRDefault="00D5150E" w:rsidP="000363AF"/>
        </w:tc>
        <w:tc>
          <w:tcPr>
            <w:tcW w:w="237" w:type="pct"/>
            <w:vAlign w:val="center"/>
          </w:tcPr>
          <w:p w14:paraId="25E60EB2" w14:textId="77777777" w:rsidR="00D5150E" w:rsidRPr="00F16A5E" w:rsidRDefault="00D5150E" w:rsidP="000363AF"/>
        </w:tc>
        <w:tc>
          <w:tcPr>
            <w:tcW w:w="473" w:type="pct"/>
            <w:vAlign w:val="center"/>
          </w:tcPr>
          <w:p w14:paraId="05CE8E0C" w14:textId="77777777" w:rsidR="00D5150E" w:rsidRPr="00F16A5E" w:rsidRDefault="00D5150E" w:rsidP="000363AF"/>
        </w:tc>
        <w:tc>
          <w:tcPr>
            <w:tcW w:w="473" w:type="pct"/>
            <w:vAlign w:val="center"/>
          </w:tcPr>
          <w:p w14:paraId="602C0B7E" w14:textId="77777777" w:rsidR="00D5150E" w:rsidRPr="00F16A5E" w:rsidRDefault="00D5150E" w:rsidP="000363AF"/>
        </w:tc>
        <w:tc>
          <w:tcPr>
            <w:tcW w:w="493" w:type="pct"/>
            <w:vAlign w:val="center"/>
          </w:tcPr>
          <w:p w14:paraId="14C1D644" w14:textId="77777777" w:rsidR="00D5150E" w:rsidRPr="00F16A5E" w:rsidRDefault="00D5150E" w:rsidP="000363AF"/>
        </w:tc>
        <w:tc>
          <w:tcPr>
            <w:tcW w:w="454" w:type="pct"/>
            <w:vAlign w:val="center"/>
          </w:tcPr>
          <w:p w14:paraId="6B459AFC" w14:textId="77777777" w:rsidR="00D5150E" w:rsidRPr="00F16A5E" w:rsidRDefault="00D5150E" w:rsidP="000363AF"/>
        </w:tc>
        <w:tc>
          <w:tcPr>
            <w:tcW w:w="501" w:type="pct"/>
            <w:vAlign w:val="center"/>
          </w:tcPr>
          <w:p w14:paraId="68579CCC" w14:textId="77777777" w:rsidR="00D5150E" w:rsidRPr="00F16A5E" w:rsidRDefault="00D5150E" w:rsidP="000363AF"/>
        </w:tc>
        <w:tc>
          <w:tcPr>
            <w:tcW w:w="526" w:type="pct"/>
            <w:vAlign w:val="center"/>
          </w:tcPr>
          <w:p w14:paraId="042723A4" w14:textId="77777777" w:rsidR="00D5150E" w:rsidRPr="00F16A5E" w:rsidRDefault="00D5150E" w:rsidP="000363AF"/>
        </w:tc>
      </w:tr>
      <w:tr w:rsidR="00D5150E" w:rsidRPr="00F16A5E" w14:paraId="2CABA205" w14:textId="77777777" w:rsidTr="000363AF">
        <w:trPr>
          <w:trHeight w:val="397"/>
        </w:trPr>
        <w:tc>
          <w:tcPr>
            <w:tcW w:w="1205" w:type="pct"/>
            <w:gridSpan w:val="2"/>
            <w:vAlign w:val="center"/>
          </w:tcPr>
          <w:p w14:paraId="456A489C" w14:textId="77777777" w:rsidR="00D5150E" w:rsidRPr="00F16A5E" w:rsidRDefault="00D5150E" w:rsidP="000363AF">
            <w:pPr>
              <w:rPr>
                <w:b/>
                <w:bCs/>
              </w:rPr>
            </w:pPr>
            <w:r w:rsidRPr="00F16A5E">
              <w:rPr>
                <w:b/>
                <w:bCs/>
              </w:rPr>
              <w:t>Demography</w:t>
            </w:r>
            <w:r w:rsidRPr="00F16A5E">
              <w:rPr>
                <w:b/>
                <w:bCs/>
                <w:vertAlign w:val="superscript"/>
              </w:rPr>
              <w:t>2</w:t>
            </w:r>
          </w:p>
        </w:tc>
        <w:tc>
          <w:tcPr>
            <w:tcW w:w="402" w:type="pct"/>
            <w:vAlign w:val="center"/>
          </w:tcPr>
          <w:p w14:paraId="19706B0E" w14:textId="77777777" w:rsidR="00D5150E" w:rsidRPr="00F16A5E" w:rsidRDefault="00D5150E" w:rsidP="000363AF">
            <w:r w:rsidRPr="00F16A5E">
              <w:t>X</w:t>
            </w:r>
          </w:p>
        </w:tc>
        <w:tc>
          <w:tcPr>
            <w:tcW w:w="236" w:type="pct"/>
            <w:vAlign w:val="center"/>
          </w:tcPr>
          <w:p w14:paraId="08C7BE86" w14:textId="77777777" w:rsidR="00D5150E" w:rsidRPr="00F16A5E" w:rsidRDefault="00D5150E" w:rsidP="000363AF"/>
        </w:tc>
        <w:tc>
          <w:tcPr>
            <w:tcW w:w="237" w:type="pct"/>
            <w:vAlign w:val="center"/>
          </w:tcPr>
          <w:p w14:paraId="71E4C443" w14:textId="77777777" w:rsidR="00D5150E" w:rsidRPr="00F16A5E" w:rsidRDefault="00D5150E" w:rsidP="000363AF"/>
        </w:tc>
        <w:tc>
          <w:tcPr>
            <w:tcW w:w="473" w:type="pct"/>
            <w:vAlign w:val="center"/>
          </w:tcPr>
          <w:p w14:paraId="704A3746" w14:textId="77777777" w:rsidR="00D5150E" w:rsidRPr="00F16A5E" w:rsidRDefault="00D5150E" w:rsidP="000363AF">
            <w:r w:rsidRPr="00F16A5E">
              <w:t>X</w:t>
            </w:r>
          </w:p>
        </w:tc>
        <w:tc>
          <w:tcPr>
            <w:tcW w:w="473" w:type="pct"/>
            <w:vAlign w:val="center"/>
          </w:tcPr>
          <w:p w14:paraId="6A3758DC" w14:textId="77777777" w:rsidR="00D5150E" w:rsidRPr="00F16A5E" w:rsidRDefault="00D5150E" w:rsidP="000363AF">
            <w:r w:rsidRPr="00F16A5E">
              <w:t>X</w:t>
            </w:r>
          </w:p>
        </w:tc>
        <w:tc>
          <w:tcPr>
            <w:tcW w:w="493" w:type="pct"/>
            <w:vAlign w:val="center"/>
          </w:tcPr>
          <w:p w14:paraId="6858E76E" w14:textId="77777777" w:rsidR="00D5150E" w:rsidRPr="00F16A5E" w:rsidRDefault="00D5150E" w:rsidP="000363AF">
            <w:r w:rsidRPr="00F16A5E">
              <w:t>X</w:t>
            </w:r>
          </w:p>
        </w:tc>
        <w:tc>
          <w:tcPr>
            <w:tcW w:w="454" w:type="pct"/>
            <w:vAlign w:val="center"/>
          </w:tcPr>
          <w:p w14:paraId="35B35C4D" w14:textId="77777777" w:rsidR="00D5150E" w:rsidRPr="00F16A5E" w:rsidRDefault="00D5150E" w:rsidP="000363AF">
            <w:r w:rsidRPr="00F16A5E">
              <w:t>X</w:t>
            </w:r>
          </w:p>
        </w:tc>
        <w:tc>
          <w:tcPr>
            <w:tcW w:w="501" w:type="pct"/>
            <w:vAlign w:val="center"/>
          </w:tcPr>
          <w:p w14:paraId="3CE8BAAF" w14:textId="77777777" w:rsidR="00D5150E" w:rsidRPr="00F16A5E" w:rsidRDefault="00D5150E" w:rsidP="000363AF"/>
        </w:tc>
        <w:tc>
          <w:tcPr>
            <w:tcW w:w="526" w:type="pct"/>
            <w:vAlign w:val="center"/>
          </w:tcPr>
          <w:p w14:paraId="474E94B4" w14:textId="77777777" w:rsidR="00D5150E" w:rsidRPr="00F16A5E" w:rsidRDefault="00D5150E" w:rsidP="000363AF"/>
        </w:tc>
      </w:tr>
      <w:tr w:rsidR="00D5150E" w:rsidRPr="00F16A5E" w14:paraId="5CB51D90" w14:textId="77777777" w:rsidTr="000363AF">
        <w:trPr>
          <w:trHeight w:val="397"/>
        </w:trPr>
        <w:tc>
          <w:tcPr>
            <w:tcW w:w="1205" w:type="pct"/>
            <w:gridSpan w:val="2"/>
            <w:vAlign w:val="center"/>
          </w:tcPr>
          <w:p w14:paraId="4F73717B" w14:textId="77777777" w:rsidR="00D5150E" w:rsidRPr="00F16A5E" w:rsidRDefault="00D5150E" w:rsidP="000363AF">
            <w:pPr>
              <w:rPr>
                <w:b/>
                <w:bCs/>
              </w:rPr>
            </w:pPr>
            <w:r w:rsidRPr="00F16A5E">
              <w:rPr>
                <w:b/>
                <w:bCs/>
              </w:rPr>
              <w:t>Medical history and treatment history</w:t>
            </w:r>
          </w:p>
        </w:tc>
        <w:tc>
          <w:tcPr>
            <w:tcW w:w="402" w:type="pct"/>
            <w:vAlign w:val="center"/>
          </w:tcPr>
          <w:p w14:paraId="1AD56975" w14:textId="77777777" w:rsidR="00D5150E" w:rsidRPr="00F16A5E" w:rsidRDefault="00D5150E" w:rsidP="000363AF">
            <w:r w:rsidRPr="00F16A5E">
              <w:t>X</w:t>
            </w:r>
          </w:p>
        </w:tc>
        <w:tc>
          <w:tcPr>
            <w:tcW w:w="236" w:type="pct"/>
            <w:vAlign w:val="center"/>
          </w:tcPr>
          <w:p w14:paraId="083B64F4" w14:textId="77777777" w:rsidR="00D5150E" w:rsidRPr="00F16A5E" w:rsidRDefault="00D5150E" w:rsidP="000363AF"/>
        </w:tc>
        <w:tc>
          <w:tcPr>
            <w:tcW w:w="237" w:type="pct"/>
            <w:vAlign w:val="center"/>
          </w:tcPr>
          <w:p w14:paraId="699CA800" w14:textId="77777777" w:rsidR="00D5150E" w:rsidRPr="00F16A5E" w:rsidRDefault="00D5150E" w:rsidP="000363AF"/>
        </w:tc>
        <w:tc>
          <w:tcPr>
            <w:tcW w:w="473" w:type="pct"/>
            <w:vAlign w:val="center"/>
          </w:tcPr>
          <w:p w14:paraId="39E5ED27" w14:textId="77777777" w:rsidR="00D5150E" w:rsidRPr="00F16A5E" w:rsidRDefault="00D5150E" w:rsidP="000363AF"/>
        </w:tc>
        <w:tc>
          <w:tcPr>
            <w:tcW w:w="473" w:type="pct"/>
            <w:vAlign w:val="center"/>
          </w:tcPr>
          <w:p w14:paraId="44C7D340" w14:textId="77777777" w:rsidR="00D5150E" w:rsidRPr="00F16A5E" w:rsidRDefault="00D5150E" w:rsidP="000363AF"/>
        </w:tc>
        <w:tc>
          <w:tcPr>
            <w:tcW w:w="493" w:type="pct"/>
            <w:vAlign w:val="center"/>
          </w:tcPr>
          <w:p w14:paraId="41000F2C" w14:textId="77777777" w:rsidR="00D5150E" w:rsidRPr="00F16A5E" w:rsidRDefault="00D5150E" w:rsidP="000363AF"/>
        </w:tc>
        <w:tc>
          <w:tcPr>
            <w:tcW w:w="454" w:type="pct"/>
            <w:vAlign w:val="center"/>
          </w:tcPr>
          <w:p w14:paraId="3A52EB6B" w14:textId="77777777" w:rsidR="00D5150E" w:rsidRPr="00F16A5E" w:rsidRDefault="00D5150E" w:rsidP="000363AF"/>
        </w:tc>
        <w:tc>
          <w:tcPr>
            <w:tcW w:w="501" w:type="pct"/>
            <w:vAlign w:val="center"/>
          </w:tcPr>
          <w:p w14:paraId="1A1E38F2" w14:textId="77777777" w:rsidR="00D5150E" w:rsidRPr="00F16A5E" w:rsidRDefault="00D5150E" w:rsidP="000363AF"/>
        </w:tc>
        <w:tc>
          <w:tcPr>
            <w:tcW w:w="526" w:type="pct"/>
            <w:vAlign w:val="center"/>
          </w:tcPr>
          <w:p w14:paraId="147B63EC" w14:textId="77777777" w:rsidR="00D5150E" w:rsidRPr="00F16A5E" w:rsidRDefault="00D5150E" w:rsidP="000363AF"/>
        </w:tc>
      </w:tr>
      <w:tr w:rsidR="00D5150E" w:rsidRPr="00F16A5E" w14:paraId="0C97DE72" w14:textId="77777777" w:rsidTr="000363AF">
        <w:trPr>
          <w:trHeight w:val="397"/>
        </w:trPr>
        <w:tc>
          <w:tcPr>
            <w:tcW w:w="1205" w:type="pct"/>
            <w:gridSpan w:val="2"/>
            <w:vAlign w:val="center"/>
          </w:tcPr>
          <w:p w14:paraId="2B3C0C6F" w14:textId="77777777" w:rsidR="00D5150E" w:rsidRPr="00F16A5E" w:rsidRDefault="00D5150E" w:rsidP="000363AF">
            <w:pPr>
              <w:rPr>
                <w:b/>
                <w:bCs/>
              </w:rPr>
            </w:pPr>
            <w:r w:rsidRPr="00F16A5E">
              <w:rPr>
                <w:b/>
                <w:bCs/>
              </w:rPr>
              <w:t>Concomitant medication records</w:t>
            </w:r>
          </w:p>
        </w:tc>
        <w:tc>
          <w:tcPr>
            <w:tcW w:w="3795" w:type="pct"/>
            <w:gridSpan w:val="9"/>
            <w:vAlign w:val="center"/>
          </w:tcPr>
          <w:p w14:paraId="39B5C01D" w14:textId="77777777" w:rsidR="00D5150E" w:rsidRPr="00F16A5E" w:rsidRDefault="00D5150E" w:rsidP="000363AF">
            <w:r w:rsidRPr="00F16A5E">
              <w:t>X</w:t>
            </w:r>
          </w:p>
        </w:tc>
      </w:tr>
      <w:tr w:rsidR="00D5150E" w:rsidRPr="00F16A5E" w14:paraId="0788B356" w14:textId="77777777" w:rsidTr="000363AF">
        <w:trPr>
          <w:trHeight w:val="397"/>
        </w:trPr>
        <w:tc>
          <w:tcPr>
            <w:tcW w:w="5000" w:type="pct"/>
            <w:gridSpan w:val="11"/>
            <w:shd w:val="clear" w:color="auto" w:fill="BDD6EE" w:themeFill="accent5" w:themeFillTint="66"/>
            <w:vAlign w:val="center"/>
          </w:tcPr>
          <w:p w14:paraId="393D80F3" w14:textId="6922E856" w:rsidR="00D5150E" w:rsidRPr="00F16A5E" w:rsidRDefault="00D5150E" w:rsidP="000363AF">
            <w:pPr>
              <w:jc w:val="center"/>
              <w:rPr>
                <w:b/>
                <w:bCs/>
              </w:rPr>
            </w:pPr>
            <w:r w:rsidRPr="00F16A5E">
              <w:rPr>
                <w:b/>
                <w:bCs/>
              </w:rPr>
              <w:t xml:space="preserve">Study </w:t>
            </w:r>
            <w:r w:rsidR="00064A41" w:rsidRPr="00F16A5E">
              <w:rPr>
                <w:b/>
                <w:bCs/>
              </w:rPr>
              <w:t>D</w:t>
            </w:r>
            <w:r w:rsidRPr="00F16A5E">
              <w:rPr>
                <w:b/>
                <w:bCs/>
              </w:rPr>
              <w:t xml:space="preserve">rug </w:t>
            </w:r>
            <w:r w:rsidR="00064A41" w:rsidRPr="00F16A5E">
              <w:rPr>
                <w:b/>
                <w:bCs/>
              </w:rPr>
              <w:t>T</w:t>
            </w:r>
            <w:r w:rsidRPr="00F16A5E">
              <w:rPr>
                <w:b/>
                <w:bCs/>
              </w:rPr>
              <w:t>reatment</w:t>
            </w:r>
          </w:p>
        </w:tc>
      </w:tr>
      <w:tr w:rsidR="00D5150E" w:rsidRPr="00F16A5E" w14:paraId="3A9D1EC6" w14:textId="77777777" w:rsidTr="000363AF">
        <w:trPr>
          <w:trHeight w:val="397"/>
        </w:trPr>
        <w:tc>
          <w:tcPr>
            <w:tcW w:w="1205" w:type="pct"/>
            <w:gridSpan w:val="2"/>
            <w:vAlign w:val="center"/>
          </w:tcPr>
          <w:p w14:paraId="2254A18B" w14:textId="77777777" w:rsidR="00D5150E" w:rsidRPr="00F16A5E" w:rsidRDefault="00D5150E" w:rsidP="000363AF">
            <w:pPr>
              <w:rPr>
                <w:b/>
                <w:bCs/>
              </w:rPr>
            </w:pPr>
            <w:r w:rsidRPr="00F16A5E">
              <w:rPr>
                <w:b/>
                <w:bCs/>
              </w:rPr>
              <w:t xml:space="preserve">Randomization </w:t>
            </w:r>
          </w:p>
        </w:tc>
        <w:tc>
          <w:tcPr>
            <w:tcW w:w="402" w:type="pct"/>
            <w:vAlign w:val="center"/>
          </w:tcPr>
          <w:p w14:paraId="23C606EC" w14:textId="77777777" w:rsidR="00D5150E" w:rsidRPr="00F16A5E" w:rsidRDefault="00D5150E" w:rsidP="000363AF"/>
        </w:tc>
        <w:tc>
          <w:tcPr>
            <w:tcW w:w="236" w:type="pct"/>
            <w:vAlign w:val="center"/>
          </w:tcPr>
          <w:p w14:paraId="7F0452C3" w14:textId="77777777" w:rsidR="00D5150E" w:rsidRPr="00F16A5E" w:rsidRDefault="00D5150E" w:rsidP="000363AF">
            <w:r w:rsidRPr="00F16A5E">
              <w:t>X</w:t>
            </w:r>
          </w:p>
        </w:tc>
        <w:tc>
          <w:tcPr>
            <w:tcW w:w="237" w:type="pct"/>
            <w:vAlign w:val="center"/>
          </w:tcPr>
          <w:p w14:paraId="63E80A88" w14:textId="77777777" w:rsidR="00D5150E" w:rsidRPr="00F16A5E" w:rsidRDefault="00D5150E" w:rsidP="000363AF"/>
        </w:tc>
        <w:tc>
          <w:tcPr>
            <w:tcW w:w="473" w:type="pct"/>
            <w:vAlign w:val="center"/>
          </w:tcPr>
          <w:p w14:paraId="57E901CF" w14:textId="77777777" w:rsidR="00D5150E" w:rsidRPr="00F16A5E" w:rsidRDefault="00D5150E" w:rsidP="000363AF"/>
        </w:tc>
        <w:tc>
          <w:tcPr>
            <w:tcW w:w="473" w:type="pct"/>
            <w:vAlign w:val="center"/>
          </w:tcPr>
          <w:p w14:paraId="20F74C73" w14:textId="77777777" w:rsidR="00D5150E" w:rsidRPr="00F16A5E" w:rsidRDefault="00D5150E" w:rsidP="000363AF"/>
        </w:tc>
        <w:tc>
          <w:tcPr>
            <w:tcW w:w="493" w:type="pct"/>
            <w:vAlign w:val="center"/>
          </w:tcPr>
          <w:p w14:paraId="4A3CA0FB" w14:textId="77777777" w:rsidR="00D5150E" w:rsidRPr="00F16A5E" w:rsidRDefault="00D5150E" w:rsidP="000363AF"/>
        </w:tc>
        <w:tc>
          <w:tcPr>
            <w:tcW w:w="454" w:type="pct"/>
            <w:vAlign w:val="center"/>
          </w:tcPr>
          <w:p w14:paraId="12F8A8C9" w14:textId="77777777" w:rsidR="00D5150E" w:rsidRPr="00F16A5E" w:rsidRDefault="00D5150E" w:rsidP="000363AF"/>
        </w:tc>
        <w:tc>
          <w:tcPr>
            <w:tcW w:w="501" w:type="pct"/>
            <w:vAlign w:val="center"/>
          </w:tcPr>
          <w:p w14:paraId="686FD433" w14:textId="77777777" w:rsidR="00D5150E" w:rsidRPr="00F16A5E" w:rsidRDefault="00D5150E" w:rsidP="000363AF"/>
        </w:tc>
        <w:tc>
          <w:tcPr>
            <w:tcW w:w="526" w:type="pct"/>
            <w:vAlign w:val="center"/>
          </w:tcPr>
          <w:p w14:paraId="252C96AD" w14:textId="77777777" w:rsidR="00D5150E" w:rsidRPr="00F16A5E" w:rsidRDefault="00D5150E" w:rsidP="000363AF"/>
        </w:tc>
      </w:tr>
      <w:tr w:rsidR="00D5150E" w:rsidRPr="00F16A5E" w14:paraId="64E58D48" w14:textId="77777777" w:rsidTr="000363AF">
        <w:trPr>
          <w:trHeight w:val="397"/>
        </w:trPr>
        <w:tc>
          <w:tcPr>
            <w:tcW w:w="1205" w:type="pct"/>
            <w:gridSpan w:val="2"/>
            <w:vAlign w:val="center"/>
          </w:tcPr>
          <w:p w14:paraId="38B2670D" w14:textId="77777777" w:rsidR="00D5150E" w:rsidRPr="00F16A5E" w:rsidRDefault="00D5150E" w:rsidP="000363AF">
            <w:pPr>
              <w:rPr>
                <w:b/>
                <w:bCs/>
              </w:rPr>
            </w:pPr>
            <w:r w:rsidRPr="00F16A5E">
              <w:rPr>
                <w:b/>
                <w:bCs/>
              </w:rPr>
              <w:t>Orelabrutinib administration</w:t>
            </w:r>
          </w:p>
        </w:tc>
        <w:tc>
          <w:tcPr>
            <w:tcW w:w="402" w:type="pct"/>
            <w:vAlign w:val="center"/>
          </w:tcPr>
          <w:p w14:paraId="2F281E63" w14:textId="77777777" w:rsidR="00D5150E" w:rsidRPr="00F16A5E" w:rsidRDefault="00D5150E" w:rsidP="000363AF"/>
        </w:tc>
        <w:tc>
          <w:tcPr>
            <w:tcW w:w="2366" w:type="pct"/>
            <w:gridSpan w:val="6"/>
            <w:vAlign w:val="center"/>
          </w:tcPr>
          <w:p w14:paraId="31228C70" w14:textId="77777777" w:rsidR="00D5150E" w:rsidRPr="00F16A5E" w:rsidRDefault="00D5150E" w:rsidP="000363AF">
            <w:r w:rsidRPr="00F16A5E">
              <w:t>Once per day</w:t>
            </w:r>
          </w:p>
        </w:tc>
        <w:tc>
          <w:tcPr>
            <w:tcW w:w="1027" w:type="pct"/>
            <w:gridSpan w:val="2"/>
            <w:vAlign w:val="center"/>
          </w:tcPr>
          <w:p w14:paraId="157281AD" w14:textId="77777777" w:rsidR="00D5150E" w:rsidRPr="00F16A5E" w:rsidRDefault="00D5150E" w:rsidP="000363AF"/>
        </w:tc>
      </w:tr>
      <w:tr w:rsidR="00D5150E" w:rsidRPr="00F16A5E" w14:paraId="079414D6" w14:textId="77777777" w:rsidTr="000363AF">
        <w:trPr>
          <w:trHeight w:val="397"/>
        </w:trPr>
        <w:tc>
          <w:tcPr>
            <w:tcW w:w="1205" w:type="pct"/>
            <w:gridSpan w:val="2"/>
            <w:vAlign w:val="center"/>
          </w:tcPr>
          <w:p w14:paraId="5569EF47" w14:textId="77777777" w:rsidR="00D5150E" w:rsidRPr="00F16A5E" w:rsidRDefault="00D5150E" w:rsidP="000363AF">
            <w:pPr>
              <w:rPr>
                <w:b/>
                <w:bCs/>
              </w:rPr>
            </w:pPr>
            <w:r w:rsidRPr="00F16A5E">
              <w:rPr>
                <w:b/>
                <w:bCs/>
              </w:rPr>
              <w:t>Drug dispensation</w:t>
            </w:r>
          </w:p>
        </w:tc>
        <w:tc>
          <w:tcPr>
            <w:tcW w:w="402" w:type="pct"/>
            <w:vAlign w:val="center"/>
          </w:tcPr>
          <w:p w14:paraId="5C0D54C0" w14:textId="77777777" w:rsidR="00D5150E" w:rsidRPr="00F16A5E" w:rsidRDefault="00D5150E" w:rsidP="000363AF"/>
        </w:tc>
        <w:tc>
          <w:tcPr>
            <w:tcW w:w="236" w:type="pct"/>
            <w:vAlign w:val="center"/>
          </w:tcPr>
          <w:p w14:paraId="0679416A" w14:textId="77777777" w:rsidR="00D5150E" w:rsidRPr="00F16A5E" w:rsidRDefault="00D5150E" w:rsidP="000363AF">
            <w:r w:rsidRPr="00F16A5E">
              <w:t>X</w:t>
            </w:r>
          </w:p>
        </w:tc>
        <w:tc>
          <w:tcPr>
            <w:tcW w:w="237" w:type="pct"/>
            <w:vAlign w:val="center"/>
          </w:tcPr>
          <w:p w14:paraId="74CF360D" w14:textId="77777777" w:rsidR="00D5150E" w:rsidRPr="00F16A5E" w:rsidRDefault="00D5150E" w:rsidP="000363AF"/>
        </w:tc>
        <w:tc>
          <w:tcPr>
            <w:tcW w:w="473" w:type="pct"/>
            <w:vAlign w:val="center"/>
          </w:tcPr>
          <w:p w14:paraId="4C5999EA" w14:textId="77777777" w:rsidR="00D5150E" w:rsidRPr="00F16A5E" w:rsidRDefault="00D5150E" w:rsidP="000363AF">
            <w:r w:rsidRPr="00F16A5E">
              <w:t>X</w:t>
            </w:r>
          </w:p>
        </w:tc>
        <w:tc>
          <w:tcPr>
            <w:tcW w:w="473" w:type="pct"/>
            <w:vAlign w:val="center"/>
          </w:tcPr>
          <w:p w14:paraId="24729654" w14:textId="77777777" w:rsidR="00D5150E" w:rsidRPr="00F16A5E" w:rsidRDefault="00D5150E" w:rsidP="000363AF">
            <w:r w:rsidRPr="00F16A5E">
              <w:t>X</w:t>
            </w:r>
          </w:p>
        </w:tc>
        <w:tc>
          <w:tcPr>
            <w:tcW w:w="493" w:type="pct"/>
            <w:vAlign w:val="center"/>
          </w:tcPr>
          <w:p w14:paraId="5AFDD2B4" w14:textId="77777777" w:rsidR="00D5150E" w:rsidRPr="00F16A5E" w:rsidRDefault="00D5150E" w:rsidP="000363AF">
            <w:r w:rsidRPr="00F16A5E">
              <w:t>X</w:t>
            </w:r>
          </w:p>
        </w:tc>
        <w:tc>
          <w:tcPr>
            <w:tcW w:w="454" w:type="pct"/>
            <w:vAlign w:val="center"/>
          </w:tcPr>
          <w:p w14:paraId="56893A73" w14:textId="77777777" w:rsidR="00D5150E" w:rsidRPr="00F16A5E" w:rsidRDefault="00D5150E" w:rsidP="000363AF"/>
        </w:tc>
        <w:tc>
          <w:tcPr>
            <w:tcW w:w="501" w:type="pct"/>
            <w:vAlign w:val="center"/>
          </w:tcPr>
          <w:p w14:paraId="69943FAB" w14:textId="77777777" w:rsidR="00D5150E" w:rsidRPr="00F16A5E" w:rsidRDefault="00D5150E" w:rsidP="000363AF"/>
        </w:tc>
        <w:tc>
          <w:tcPr>
            <w:tcW w:w="526" w:type="pct"/>
            <w:vAlign w:val="center"/>
          </w:tcPr>
          <w:p w14:paraId="775B608E" w14:textId="77777777" w:rsidR="00D5150E" w:rsidRPr="00F16A5E" w:rsidRDefault="00D5150E" w:rsidP="000363AF"/>
        </w:tc>
      </w:tr>
      <w:tr w:rsidR="00D5150E" w:rsidRPr="00F16A5E" w14:paraId="023E11CC" w14:textId="77777777" w:rsidTr="000363AF">
        <w:trPr>
          <w:trHeight w:val="397"/>
        </w:trPr>
        <w:tc>
          <w:tcPr>
            <w:tcW w:w="1205" w:type="pct"/>
            <w:gridSpan w:val="2"/>
            <w:vAlign w:val="center"/>
          </w:tcPr>
          <w:p w14:paraId="56F002EC" w14:textId="77777777" w:rsidR="00D5150E" w:rsidRPr="00F16A5E" w:rsidRDefault="00D5150E" w:rsidP="000363AF">
            <w:pPr>
              <w:rPr>
                <w:b/>
                <w:bCs/>
              </w:rPr>
            </w:pPr>
            <w:r w:rsidRPr="00F16A5E">
              <w:rPr>
                <w:b/>
                <w:bCs/>
              </w:rPr>
              <w:t>Drug return</w:t>
            </w:r>
          </w:p>
        </w:tc>
        <w:tc>
          <w:tcPr>
            <w:tcW w:w="402" w:type="pct"/>
            <w:vAlign w:val="center"/>
          </w:tcPr>
          <w:p w14:paraId="50AD05E1" w14:textId="77777777" w:rsidR="00D5150E" w:rsidRPr="00F16A5E" w:rsidRDefault="00D5150E" w:rsidP="000363AF"/>
        </w:tc>
        <w:tc>
          <w:tcPr>
            <w:tcW w:w="236" w:type="pct"/>
            <w:vAlign w:val="center"/>
          </w:tcPr>
          <w:p w14:paraId="18C76308" w14:textId="77777777" w:rsidR="00D5150E" w:rsidRPr="00F16A5E" w:rsidRDefault="00D5150E" w:rsidP="000363AF"/>
        </w:tc>
        <w:tc>
          <w:tcPr>
            <w:tcW w:w="237" w:type="pct"/>
            <w:vAlign w:val="center"/>
          </w:tcPr>
          <w:p w14:paraId="342ED8AA" w14:textId="77777777" w:rsidR="00D5150E" w:rsidRPr="00F16A5E" w:rsidRDefault="00D5150E" w:rsidP="000363AF"/>
        </w:tc>
        <w:tc>
          <w:tcPr>
            <w:tcW w:w="473" w:type="pct"/>
            <w:vAlign w:val="center"/>
          </w:tcPr>
          <w:p w14:paraId="043AB26D" w14:textId="77777777" w:rsidR="00D5150E" w:rsidRPr="00F16A5E" w:rsidRDefault="00D5150E" w:rsidP="000363AF">
            <w:r w:rsidRPr="00F16A5E">
              <w:t>X</w:t>
            </w:r>
          </w:p>
        </w:tc>
        <w:tc>
          <w:tcPr>
            <w:tcW w:w="473" w:type="pct"/>
            <w:vAlign w:val="center"/>
          </w:tcPr>
          <w:p w14:paraId="5ADBA9B5" w14:textId="77777777" w:rsidR="00D5150E" w:rsidRPr="00F16A5E" w:rsidRDefault="00D5150E" w:rsidP="000363AF">
            <w:r w:rsidRPr="00F16A5E">
              <w:t>X</w:t>
            </w:r>
          </w:p>
        </w:tc>
        <w:tc>
          <w:tcPr>
            <w:tcW w:w="493" w:type="pct"/>
            <w:vAlign w:val="center"/>
          </w:tcPr>
          <w:p w14:paraId="380A61BE" w14:textId="77777777" w:rsidR="00D5150E" w:rsidRPr="00F16A5E" w:rsidRDefault="00D5150E" w:rsidP="000363AF">
            <w:r w:rsidRPr="00F16A5E">
              <w:t>X</w:t>
            </w:r>
          </w:p>
        </w:tc>
        <w:tc>
          <w:tcPr>
            <w:tcW w:w="454" w:type="pct"/>
            <w:vAlign w:val="center"/>
          </w:tcPr>
          <w:p w14:paraId="01547977" w14:textId="77777777" w:rsidR="00D5150E" w:rsidRPr="00F16A5E" w:rsidRDefault="00D5150E" w:rsidP="000363AF">
            <w:r w:rsidRPr="00F16A5E">
              <w:t>X</w:t>
            </w:r>
          </w:p>
        </w:tc>
        <w:tc>
          <w:tcPr>
            <w:tcW w:w="501" w:type="pct"/>
            <w:vAlign w:val="center"/>
          </w:tcPr>
          <w:p w14:paraId="20C469A1" w14:textId="77777777" w:rsidR="00D5150E" w:rsidRPr="00F16A5E" w:rsidRDefault="00D5150E" w:rsidP="000363AF"/>
        </w:tc>
        <w:tc>
          <w:tcPr>
            <w:tcW w:w="526" w:type="pct"/>
            <w:vAlign w:val="center"/>
          </w:tcPr>
          <w:p w14:paraId="2A14FD17" w14:textId="77777777" w:rsidR="00D5150E" w:rsidRPr="00F16A5E" w:rsidRDefault="00D5150E" w:rsidP="000363AF"/>
        </w:tc>
      </w:tr>
      <w:tr w:rsidR="00D5150E" w:rsidRPr="00F16A5E" w14:paraId="48CC56C4" w14:textId="77777777" w:rsidTr="000363AF">
        <w:trPr>
          <w:trHeight w:val="397"/>
        </w:trPr>
        <w:tc>
          <w:tcPr>
            <w:tcW w:w="1205" w:type="pct"/>
            <w:gridSpan w:val="2"/>
            <w:vAlign w:val="center"/>
          </w:tcPr>
          <w:p w14:paraId="223D5DF2" w14:textId="77777777" w:rsidR="00D5150E" w:rsidRPr="00F16A5E" w:rsidRDefault="00D5150E" w:rsidP="000363AF">
            <w:pPr>
              <w:rPr>
                <w:b/>
                <w:bCs/>
              </w:rPr>
            </w:pPr>
            <w:r w:rsidRPr="00F16A5E">
              <w:rPr>
                <w:b/>
                <w:bCs/>
              </w:rPr>
              <w:t>Medication compliance</w:t>
            </w:r>
            <w:r w:rsidRPr="00F16A5E">
              <w:rPr>
                <w:b/>
                <w:bCs/>
                <w:vertAlign w:val="superscript"/>
              </w:rPr>
              <w:t>3</w:t>
            </w:r>
          </w:p>
        </w:tc>
        <w:tc>
          <w:tcPr>
            <w:tcW w:w="402" w:type="pct"/>
            <w:vAlign w:val="center"/>
          </w:tcPr>
          <w:p w14:paraId="2749C9CC" w14:textId="77777777" w:rsidR="00D5150E" w:rsidRPr="00F16A5E" w:rsidRDefault="00D5150E" w:rsidP="000363AF"/>
        </w:tc>
        <w:tc>
          <w:tcPr>
            <w:tcW w:w="236" w:type="pct"/>
            <w:vAlign w:val="center"/>
          </w:tcPr>
          <w:p w14:paraId="54CF64C6" w14:textId="77777777" w:rsidR="00D5150E" w:rsidRPr="00F16A5E" w:rsidRDefault="00D5150E" w:rsidP="000363AF"/>
        </w:tc>
        <w:tc>
          <w:tcPr>
            <w:tcW w:w="237" w:type="pct"/>
            <w:vAlign w:val="center"/>
          </w:tcPr>
          <w:p w14:paraId="3359D0F7" w14:textId="77777777" w:rsidR="00D5150E" w:rsidRPr="00F16A5E" w:rsidRDefault="00D5150E" w:rsidP="000363AF"/>
        </w:tc>
        <w:tc>
          <w:tcPr>
            <w:tcW w:w="473" w:type="pct"/>
            <w:vAlign w:val="center"/>
          </w:tcPr>
          <w:p w14:paraId="17B26B66" w14:textId="77777777" w:rsidR="00D5150E" w:rsidRPr="00F16A5E" w:rsidRDefault="00D5150E" w:rsidP="000363AF">
            <w:r w:rsidRPr="00F16A5E">
              <w:t>X</w:t>
            </w:r>
          </w:p>
        </w:tc>
        <w:tc>
          <w:tcPr>
            <w:tcW w:w="473" w:type="pct"/>
            <w:vAlign w:val="center"/>
          </w:tcPr>
          <w:p w14:paraId="32CEEF76" w14:textId="77777777" w:rsidR="00D5150E" w:rsidRPr="00F16A5E" w:rsidRDefault="00D5150E" w:rsidP="000363AF">
            <w:r w:rsidRPr="00F16A5E">
              <w:t>X</w:t>
            </w:r>
          </w:p>
        </w:tc>
        <w:tc>
          <w:tcPr>
            <w:tcW w:w="493" w:type="pct"/>
            <w:vAlign w:val="center"/>
          </w:tcPr>
          <w:p w14:paraId="47C55FAD" w14:textId="77777777" w:rsidR="00D5150E" w:rsidRPr="00F16A5E" w:rsidRDefault="00D5150E" w:rsidP="000363AF">
            <w:r w:rsidRPr="00F16A5E">
              <w:t>X</w:t>
            </w:r>
          </w:p>
        </w:tc>
        <w:tc>
          <w:tcPr>
            <w:tcW w:w="454" w:type="pct"/>
            <w:vAlign w:val="center"/>
          </w:tcPr>
          <w:p w14:paraId="79F45991" w14:textId="77777777" w:rsidR="00D5150E" w:rsidRPr="00F16A5E" w:rsidRDefault="00D5150E" w:rsidP="000363AF">
            <w:r w:rsidRPr="00F16A5E">
              <w:t>X</w:t>
            </w:r>
          </w:p>
        </w:tc>
        <w:tc>
          <w:tcPr>
            <w:tcW w:w="501" w:type="pct"/>
            <w:vAlign w:val="center"/>
          </w:tcPr>
          <w:p w14:paraId="2E1D1B32" w14:textId="77777777" w:rsidR="00D5150E" w:rsidRPr="00F16A5E" w:rsidRDefault="00D5150E" w:rsidP="000363AF"/>
        </w:tc>
        <w:tc>
          <w:tcPr>
            <w:tcW w:w="526" w:type="pct"/>
            <w:vAlign w:val="center"/>
          </w:tcPr>
          <w:p w14:paraId="2DA90909" w14:textId="77777777" w:rsidR="00D5150E" w:rsidRPr="00F16A5E" w:rsidRDefault="00D5150E" w:rsidP="000363AF"/>
        </w:tc>
      </w:tr>
      <w:tr w:rsidR="00D5150E" w:rsidRPr="00F16A5E" w14:paraId="6B897583" w14:textId="77777777" w:rsidTr="000363AF">
        <w:trPr>
          <w:trHeight w:val="397"/>
        </w:trPr>
        <w:tc>
          <w:tcPr>
            <w:tcW w:w="5000" w:type="pct"/>
            <w:gridSpan w:val="11"/>
            <w:shd w:val="clear" w:color="auto" w:fill="BDD6EE" w:themeFill="accent5" w:themeFillTint="66"/>
            <w:vAlign w:val="center"/>
          </w:tcPr>
          <w:p w14:paraId="62297564" w14:textId="3346B8D7" w:rsidR="00D5150E" w:rsidRPr="00F16A5E" w:rsidRDefault="00D5150E" w:rsidP="000363AF">
            <w:pPr>
              <w:jc w:val="center"/>
              <w:rPr>
                <w:b/>
                <w:bCs/>
              </w:rPr>
            </w:pPr>
            <w:r w:rsidRPr="00F16A5E">
              <w:rPr>
                <w:b/>
                <w:bCs/>
              </w:rPr>
              <w:t xml:space="preserve">Laboratory </w:t>
            </w:r>
            <w:r w:rsidR="00064A41" w:rsidRPr="00F16A5E">
              <w:rPr>
                <w:b/>
                <w:bCs/>
              </w:rPr>
              <w:t>T</w:t>
            </w:r>
            <w:r w:rsidRPr="00F16A5E">
              <w:rPr>
                <w:b/>
                <w:bCs/>
              </w:rPr>
              <w:t>ests</w:t>
            </w:r>
          </w:p>
        </w:tc>
      </w:tr>
      <w:tr w:rsidR="00D5150E" w:rsidRPr="00F16A5E" w14:paraId="12AF2108" w14:textId="77777777" w:rsidTr="000363AF">
        <w:trPr>
          <w:trHeight w:val="397"/>
        </w:trPr>
        <w:tc>
          <w:tcPr>
            <w:tcW w:w="1205" w:type="pct"/>
            <w:gridSpan w:val="2"/>
            <w:vAlign w:val="center"/>
          </w:tcPr>
          <w:p w14:paraId="136E09EB" w14:textId="77777777" w:rsidR="00D5150E" w:rsidRPr="00F16A5E" w:rsidRDefault="00D5150E" w:rsidP="000363AF">
            <w:pPr>
              <w:rPr>
                <w:b/>
                <w:bCs/>
              </w:rPr>
            </w:pPr>
            <w:r w:rsidRPr="00F16A5E">
              <w:rPr>
                <w:b/>
                <w:bCs/>
              </w:rPr>
              <w:t>Physical examination &amp; vital signs</w:t>
            </w:r>
          </w:p>
        </w:tc>
        <w:tc>
          <w:tcPr>
            <w:tcW w:w="402" w:type="pct"/>
            <w:vAlign w:val="center"/>
          </w:tcPr>
          <w:p w14:paraId="7F7F426D" w14:textId="77777777" w:rsidR="00D5150E" w:rsidRPr="00F16A5E" w:rsidRDefault="00D5150E" w:rsidP="000363AF">
            <w:r w:rsidRPr="00F16A5E">
              <w:t>X</w:t>
            </w:r>
          </w:p>
        </w:tc>
        <w:tc>
          <w:tcPr>
            <w:tcW w:w="236" w:type="pct"/>
            <w:vAlign w:val="center"/>
          </w:tcPr>
          <w:p w14:paraId="5024496E" w14:textId="77777777" w:rsidR="00D5150E" w:rsidRPr="00F16A5E" w:rsidRDefault="00D5150E" w:rsidP="000363AF">
            <w:r w:rsidRPr="00F16A5E">
              <w:t>X</w:t>
            </w:r>
          </w:p>
        </w:tc>
        <w:tc>
          <w:tcPr>
            <w:tcW w:w="237" w:type="pct"/>
            <w:vAlign w:val="center"/>
          </w:tcPr>
          <w:p w14:paraId="1B21E84A" w14:textId="77777777" w:rsidR="00D5150E" w:rsidRPr="00F16A5E" w:rsidRDefault="00D5150E" w:rsidP="000363AF"/>
        </w:tc>
        <w:tc>
          <w:tcPr>
            <w:tcW w:w="473" w:type="pct"/>
            <w:vAlign w:val="center"/>
          </w:tcPr>
          <w:p w14:paraId="7ED924DD" w14:textId="77777777" w:rsidR="00D5150E" w:rsidRPr="00F16A5E" w:rsidRDefault="00D5150E" w:rsidP="000363AF">
            <w:r w:rsidRPr="00F16A5E">
              <w:t>X</w:t>
            </w:r>
          </w:p>
        </w:tc>
        <w:tc>
          <w:tcPr>
            <w:tcW w:w="473" w:type="pct"/>
            <w:vAlign w:val="center"/>
          </w:tcPr>
          <w:p w14:paraId="6B682526" w14:textId="77777777" w:rsidR="00D5150E" w:rsidRPr="00F16A5E" w:rsidRDefault="00D5150E" w:rsidP="000363AF">
            <w:r w:rsidRPr="00F16A5E">
              <w:t>X</w:t>
            </w:r>
          </w:p>
        </w:tc>
        <w:tc>
          <w:tcPr>
            <w:tcW w:w="493" w:type="pct"/>
            <w:vAlign w:val="center"/>
          </w:tcPr>
          <w:p w14:paraId="15660E2E" w14:textId="77777777" w:rsidR="00D5150E" w:rsidRPr="00F16A5E" w:rsidRDefault="00D5150E" w:rsidP="000363AF">
            <w:r w:rsidRPr="00F16A5E">
              <w:t>X</w:t>
            </w:r>
          </w:p>
        </w:tc>
        <w:tc>
          <w:tcPr>
            <w:tcW w:w="454" w:type="pct"/>
            <w:vAlign w:val="center"/>
          </w:tcPr>
          <w:p w14:paraId="073AB96E" w14:textId="77777777" w:rsidR="00D5150E" w:rsidRPr="00F16A5E" w:rsidRDefault="00D5150E" w:rsidP="000363AF">
            <w:r w:rsidRPr="00F16A5E">
              <w:t>X</w:t>
            </w:r>
          </w:p>
        </w:tc>
        <w:tc>
          <w:tcPr>
            <w:tcW w:w="501" w:type="pct"/>
            <w:vAlign w:val="center"/>
          </w:tcPr>
          <w:p w14:paraId="72E865B5" w14:textId="77777777" w:rsidR="00D5150E" w:rsidRPr="00F16A5E" w:rsidRDefault="00D5150E" w:rsidP="000363AF">
            <w:r w:rsidRPr="00F16A5E">
              <w:t>X</w:t>
            </w:r>
          </w:p>
        </w:tc>
        <w:tc>
          <w:tcPr>
            <w:tcW w:w="526" w:type="pct"/>
            <w:vAlign w:val="center"/>
          </w:tcPr>
          <w:p w14:paraId="5892CC29" w14:textId="77777777" w:rsidR="00D5150E" w:rsidRPr="00F16A5E" w:rsidRDefault="00D5150E" w:rsidP="000363AF">
            <w:r w:rsidRPr="00F16A5E">
              <w:t>X</w:t>
            </w:r>
          </w:p>
        </w:tc>
      </w:tr>
      <w:tr w:rsidR="00D5150E" w:rsidRPr="00F16A5E" w14:paraId="329D3333" w14:textId="77777777" w:rsidTr="000363AF">
        <w:trPr>
          <w:trHeight w:val="397"/>
        </w:trPr>
        <w:tc>
          <w:tcPr>
            <w:tcW w:w="1205" w:type="pct"/>
            <w:gridSpan w:val="2"/>
            <w:vAlign w:val="center"/>
          </w:tcPr>
          <w:p w14:paraId="6392E51A" w14:textId="77777777" w:rsidR="00D5150E" w:rsidRPr="00F16A5E" w:rsidRDefault="00D5150E" w:rsidP="000363AF">
            <w:pPr>
              <w:rPr>
                <w:b/>
                <w:bCs/>
              </w:rPr>
            </w:pPr>
            <w:r w:rsidRPr="00F16A5E">
              <w:rPr>
                <w:b/>
                <w:bCs/>
              </w:rPr>
              <w:lastRenderedPageBreak/>
              <w:t>Haematology</w:t>
            </w:r>
            <w:r w:rsidRPr="00F16A5E">
              <w:rPr>
                <w:b/>
                <w:bCs/>
                <w:vertAlign w:val="superscript"/>
              </w:rPr>
              <w:t>4</w:t>
            </w:r>
          </w:p>
        </w:tc>
        <w:tc>
          <w:tcPr>
            <w:tcW w:w="402" w:type="pct"/>
            <w:shd w:val="clear" w:color="auto" w:fill="auto"/>
            <w:vAlign w:val="center"/>
          </w:tcPr>
          <w:p w14:paraId="156C154D" w14:textId="77777777" w:rsidR="00D5150E" w:rsidRPr="00F16A5E" w:rsidRDefault="00D5150E" w:rsidP="000363AF">
            <w:r w:rsidRPr="00F16A5E">
              <w:t>X</w:t>
            </w:r>
          </w:p>
        </w:tc>
        <w:tc>
          <w:tcPr>
            <w:tcW w:w="236" w:type="pct"/>
            <w:vAlign w:val="center"/>
          </w:tcPr>
          <w:p w14:paraId="6E79F24D" w14:textId="77777777" w:rsidR="00D5150E" w:rsidRPr="00F16A5E" w:rsidRDefault="00D5150E" w:rsidP="000363AF">
            <w:r w:rsidRPr="00F16A5E">
              <w:t>X</w:t>
            </w:r>
          </w:p>
        </w:tc>
        <w:tc>
          <w:tcPr>
            <w:tcW w:w="237" w:type="pct"/>
            <w:vAlign w:val="center"/>
          </w:tcPr>
          <w:p w14:paraId="5751712D" w14:textId="77777777" w:rsidR="00D5150E" w:rsidRPr="00F16A5E" w:rsidRDefault="00D5150E" w:rsidP="000363AF"/>
        </w:tc>
        <w:tc>
          <w:tcPr>
            <w:tcW w:w="473" w:type="pct"/>
            <w:vAlign w:val="center"/>
          </w:tcPr>
          <w:p w14:paraId="6A6FB944" w14:textId="77777777" w:rsidR="00D5150E" w:rsidRPr="00F16A5E" w:rsidRDefault="00D5150E" w:rsidP="000363AF">
            <w:r w:rsidRPr="00F16A5E">
              <w:t>X</w:t>
            </w:r>
          </w:p>
        </w:tc>
        <w:tc>
          <w:tcPr>
            <w:tcW w:w="473" w:type="pct"/>
            <w:vAlign w:val="center"/>
          </w:tcPr>
          <w:p w14:paraId="5B235173" w14:textId="77777777" w:rsidR="00D5150E" w:rsidRPr="00F16A5E" w:rsidRDefault="00D5150E" w:rsidP="000363AF">
            <w:r w:rsidRPr="00F16A5E">
              <w:t>X</w:t>
            </w:r>
          </w:p>
        </w:tc>
        <w:tc>
          <w:tcPr>
            <w:tcW w:w="493" w:type="pct"/>
            <w:shd w:val="clear" w:color="auto" w:fill="auto"/>
            <w:vAlign w:val="center"/>
          </w:tcPr>
          <w:p w14:paraId="74F88A42" w14:textId="77777777" w:rsidR="00D5150E" w:rsidRPr="00F16A5E" w:rsidRDefault="00D5150E" w:rsidP="000363AF">
            <w:r w:rsidRPr="00F16A5E">
              <w:t>X</w:t>
            </w:r>
          </w:p>
        </w:tc>
        <w:tc>
          <w:tcPr>
            <w:tcW w:w="454" w:type="pct"/>
            <w:vAlign w:val="center"/>
          </w:tcPr>
          <w:p w14:paraId="7DDCEBE0" w14:textId="77777777" w:rsidR="00D5150E" w:rsidRPr="00F16A5E" w:rsidRDefault="00D5150E" w:rsidP="000363AF">
            <w:r w:rsidRPr="00F16A5E">
              <w:t>X</w:t>
            </w:r>
          </w:p>
        </w:tc>
        <w:tc>
          <w:tcPr>
            <w:tcW w:w="501" w:type="pct"/>
            <w:vAlign w:val="center"/>
          </w:tcPr>
          <w:p w14:paraId="1F51F1C7" w14:textId="77777777" w:rsidR="00D5150E" w:rsidRPr="00F16A5E" w:rsidRDefault="00D5150E" w:rsidP="000363AF">
            <w:r w:rsidRPr="00F16A5E">
              <w:t>X</w:t>
            </w:r>
          </w:p>
        </w:tc>
        <w:tc>
          <w:tcPr>
            <w:tcW w:w="526" w:type="pct"/>
            <w:vAlign w:val="center"/>
          </w:tcPr>
          <w:p w14:paraId="25B52D72" w14:textId="77777777" w:rsidR="00D5150E" w:rsidRPr="00F16A5E" w:rsidRDefault="00D5150E" w:rsidP="000363AF">
            <w:r w:rsidRPr="00F16A5E">
              <w:t>X</w:t>
            </w:r>
          </w:p>
        </w:tc>
      </w:tr>
      <w:tr w:rsidR="00D5150E" w:rsidRPr="00F16A5E" w14:paraId="5C0C8597" w14:textId="77777777" w:rsidTr="000363AF">
        <w:trPr>
          <w:trHeight w:val="397"/>
        </w:trPr>
        <w:tc>
          <w:tcPr>
            <w:tcW w:w="1205" w:type="pct"/>
            <w:gridSpan w:val="2"/>
            <w:vAlign w:val="center"/>
          </w:tcPr>
          <w:p w14:paraId="53C1FBA0" w14:textId="77777777" w:rsidR="00D5150E" w:rsidRPr="00F16A5E" w:rsidRDefault="00D5150E" w:rsidP="000363AF">
            <w:pPr>
              <w:rPr>
                <w:b/>
                <w:bCs/>
              </w:rPr>
            </w:pPr>
            <w:r w:rsidRPr="00F16A5E">
              <w:rPr>
                <w:b/>
                <w:bCs/>
              </w:rPr>
              <w:t>Urinalysis</w:t>
            </w:r>
            <w:r w:rsidRPr="00F16A5E">
              <w:rPr>
                <w:b/>
                <w:bCs/>
                <w:vertAlign w:val="superscript"/>
              </w:rPr>
              <w:t>5</w:t>
            </w:r>
          </w:p>
        </w:tc>
        <w:tc>
          <w:tcPr>
            <w:tcW w:w="402" w:type="pct"/>
            <w:shd w:val="clear" w:color="auto" w:fill="auto"/>
            <w:vAlign w:val="center"/>
          </w:tcPr>
          <w:p w14:paraId="53DF09A2" w14:textId="77777777" w:rsidR="00D5150E" w:rsidRPr="00F16A5E" w:rsidRDefault="00D5150E" w:rsidP="000363AF">
            <w:r w:rsidRPr="00F16A5E">
              <w:t>X</w:t>
            </w:r>
          </w:p>
        </w:tc>
        <w:tc>
          <w:tcPr>
            <w:tcW w:w="236" w:type="pct"/>
            <w:vAlign w:val="center"/>
          </w:tcPr>
          <w:p w14:paraId="2E8163E5" w14:textId="77777777" w:rsidR="00D5150E" w:rsidRPr="00F16A5E" w:rsidRDefault="00D5150E" w:rsidP="000363AF">
            <w:r w:rsidRPr="00F16A5E">
              <w:t>X</w:t>
            </w:r>
          </w:p>
        </w:tc>
        <w:tc>
          <w:tcPr>
            <w:tcW w:w="237" w:type="pct"/>
            <w:vAlign w:val="center"/>
          </w:tcPr>
          <w:p w14:paraId="34E20C14" w14:textId="77777777" w:rsidR="00D5150E" w:rsidRPr="00F16A5E" w:rsidRDefault="00D5150E" w:rsidP="000363AF"/>
        </w:tc>
        <w:tc>
          <w:tcPr>
            <w:tcW w:w="473" w:type="pct"/>
            <w:vAlign w:val="center"/>
          </w:tcPr>
          <w:p w14:paraId="5EF62478" w14:textId="77777777" w:rsidR="00D5150E" w:rsidRPr="00F16A5E" w:rsidRDefault="00D5150E" w:rsidP="000363AF">
            <w:r w:rsidRPr="00F16A5E">
              <w:t>X</w:t>
            </w:r>
          </w:p>
        </w:tc>
        <w:tc>
          <w:tcPr>
            <w:tcW w:w="473" w:type="pct"/>
            <w:vAlign w:val="center"/>
          </w:tcPr>
          <w:p w14:paraId="23E1FB31" w14:textId="77777777" w:rsidR="00D5150E" w:rsidRPr="00F16A5E" w:rsidRDefault="00D5150E" w:rsidP="000363AF">
            <w:r w:rsidRPr="00F16A5E">
              <w:t>X</w:t>
            </w:r>
          </w:p>
        </w:tc>
        <w:tc>
          <w:tcPr>
            <w:tcW w:w="493" w:type="pct"/>
            <w:shd w:val="clear" w:color="auto" w:fill="auto"/>
            <w:vAlign w:val="center"/>
          </w:tcPr>
          <w:p w14:paraId="2F6E5A59" w14:textId="77777777" w:rsidR="00D5150E" w:rsidRPr="00F16A5E" w:rsidRDefault="00D5150E" w:rsidP="000363AF">
            <w:r w:rsidRPr="00F16A5E">
              <w:t>X</w:t>
            </w:r>
          </w:p>
        </w:tc>
        <w:tc>
          <w:tcPr>
            <w:tcW w:w="454" w:type="pct"/>
            <w:vAlign w:val="center"/>
          </w:tcPr>
          <w:p w14:paraId="378CD01D" w14:textId="77777777" w:rsidR="00D5150E" w:rsidRPr="00F16A5E" w:rsidRDefault="00D5150E" w:rsidP="000363AF">
            <w:r w:rsidRPr="00F16A5E">
              <w:t>X</w:t>
            </w:r>
          </w:p>
        </w:tc>
        <w:tc>
          <w:tcPr>
            <w:tcW w:w="501" w:type="pct"/>
            <w:vAlign w:val="center"/>
          </w:tcPr>
          <w:p w14:paraId="3018C2D3" w14:textId="77777777" w:rsidR="00D5150E" w:rsidRPr="00F16A5E" w:rsidRDefault="00D5150E" w:rsidP="000363AF">
            <w:r w:rsidRPr="00F16A5E">
              <w:t>X</w:t>
            </w:r>
          </w:p>
        </w:tc>
        <w:tc>
          <w:tcPr>
            <w:tcW w:w="526" w:type="pct"/>
            <w:vAlign w:val="center"/>
          </w:tcPr>
          <w:p w14:paraId="40F6EDC5" w14:textId="77777777" w:rsidR="00D5150E" w:rsidRPr="00F16A5E" w:rsidRDefault="00D5150E" w:rsidP="000363AF">
            <w:r w:rsidRPr="00F16A5E">
              <w:t>X</w:t>
            </w:r>
          </w:p>
        </w:tc>
      </w:tr>
      <w:tr w:rsidR="00D5150E" w:rsidRPr="00F16A5E" w14:paraId="73555A38" w14:textId="77777777" w:rsidTr="000363AF">
        <w:trPr>
          <w:trHeight w:val="397"/>
        </w:trPr>
        <w:tc>
          <w:tcPr>
            <w:tcW w:w="1205" w:type="pct"/>
            <w:gridSpan w:val="2"/>
            <w:vAlign w:val="center"/>
          </w:tcPr>
          <w:p w14:paraId="676DE8B1" w14:textId="77777777" w:rsidR="00D5150E" w:rsidRPr="00F16A5E" w:rsidRDefault="00D5150E" w:rsidP="000363AF">
            <w:pPr>
              <w:rPr>
                <w:b/>
                <w:bCs/>
              </w:rPr>
            </w:pPr>
            <w:r w:rsidRPr="00F16A5E">
              <w:rPr>
                <w:b/>
                <w:bCs/>
              </w:rPr>
              <w:t>Blood chemistry</w:t>
            </w:r>
            <w:r w:rsidRPr="00F16A5E">
              <w:rPr>
                <w:b/>
                <w:bCs/>
                <w:vertAlign w:val="superscript"/>
              </w:rPr>
              <w:t>6</w:t>
            </w:r>
          </w:p>
        </w:tc>
        <w:tc>
          <w:tcPr>
            <w:tcW w:w="402" w:type="pct"/>
            <w:shd w:val="clear" w:color="auto" w:fill="auto"/>
            <w:vAlign w:val="center"/>
          </w:tcPr>
          <w:p w14:paraId="7E84AB49" w14:textId="77777777" w:rsidR="00D5150E" w:rsidRPr="00F16A5E" w:rsidRDefault="00D5150E" w:rsidP="000363AF">
            <w:r w:rsidRPr="00F16A5E">
              <w:t>X</w:t>
            </w:r>
          </w:p>
        </w:tc>
        <w:tc>
          <w:tcPr>
            <w:tcW w:w="236" w:type="pct"/>
            <w:vAlign w:val="center"/>
          </w:tcPr>
          <w:p w14:paraId="42ABF952" w14:textId="77777777" w:rsidR="00D5150E" w:rsidRPr="00F16A5E" w:rsidRDefault="00D5150E" w:rsidP="000363AF">
            <w:r w:rsidRPr="00F16A5E">
              <w:t>X</w:t>
            </w:r>
          </w:p>
        </w:tc>
        <w:tc>
          <w:tcPr>
            <w:tcW w:w="237" w:type="pct"/>
            <w:vAlign w:val="center"/>
          </w:tcPr>
          <w:p w14:paraId="5A88848C" w14:textId="77777777" w:rsidR="00D5150E" w:rsidRPr="00F16A5E" w:rsidRDefault="00D5150E" w:rsidP="000363AF"/>
        </w:tc>
        <w:tc>
          <w:tcPr>
            <w:tcW w:w="473" w:type="pct"/>
            <w:vAlign w:val="center"/>
          </w:tcPr>
          <w:p w14:paraId="4251CCD2" w14:textId="77777777" w:rsidR="00D5150E" w:rsidRPr="00F16A5E" w:rsidRDefault="00D5150E" w:rsidP="000363AF">
            <w:r w:rsidRPr="00F16A5E">
              <w:t>X</w:t>
            </w:r>
          </w:p>
        </w:tc>
        <w:tc>
          <w:tcPr>
            <w:tcW w:w="473" w:type="pct"/>
            <w:vAlign w:val="center"/>
          </w:tcPr>
          <w:p w14:paraId="572B6596" w14:textId="77777777" w:rsidR="00D5150E" w:rsidRPr="00F16A5E" w:rsidRDefault="00D5150E" w:rsidP="000363AF">
            <w:r w:rsidRPr="00F16A5E">
              <w:t>X</w:t>
            </w:r>
          </w:p>
        </w:tc>
        <w:tc>
          <w:tcPr>
            <w:tcW w:w="493" w:type="pct"/>
            <w:shd w:val="clear" w:color="auto" w:fill="auto"/>
            <w:vAlign w:val="center"/>
          </w:tcPr>
          <w:p w14:paraId="36E50867" w14:textId="77777777" w:rsidR="00D5150E" w:rsidRPr="00F16A5E" w:rsidRDefault="00D5150E" w:rsidP="000363AF">
            <w:r w:rsidRPr="00F16A5E">
              <w:t>X</w:t>
            </w:r>
          </w:p>
        </w:tc>
        <w:tc>
          <w:tcPr>
            <w:tcW w:w="454" w:type="pct"/>
            <w:vAlign w:val="center"/>
          </w:tcPr>
          <w:p w14:paraId="0B803A40" w14:textId="77777777" w:rsidR="00D5150E" w:rsidRPr="00F16A5E" w:rsidRDefault="00D5150E" w:rsidP="000363AF">
            <w:r w:rsidRPr="00F16A5E">
              <w:t>X</w:t>
            </w:r>
          </w:p>
        </w:tc>
        <w:tc>
          <w:tcPr>
            <w:tcW w:w="501" w:type="pct"/>
            <w:vAlign w:val="center"/>
          </w:tcPr>
          <w:p w14:paraId="51477321" w14:textId="77777777" w:rsidR="00D5150E" w:rsidRPr="00F16A5E" w:rsidRDefault="00D5150E" w:rsidP="000363AF">
            <w:r w:rsidRPr="00F16A5E">
              <w:t>X</w:t>
            </w:r>
          </w:p>
        </w:tc>
        <w:tc>
          <w:tcPr>
            <w:tcW w:w="526" w:type="pct"/>
            <w:vAlign w:val="center"/>
          </w:tcPr>
          <w:p w14:paraId="3D189693" w14:textId="77777777" w:rsidR="00D5150E" w:rsidRPr="00F16A5E" w:rsidRDefault="00D5150E" w:rsidP="000363AF">
            <w:r w:rsidRPr="00F16A5E">
              <w:t>X</w:t>
            </w:r>
          </w:p>
        </w:tc>
      </w:tr>
      <w:tr w:rsidR="00D5150E" w:rsidRPr="00F16A5E" w14:paraId="7482B602" w14:textId="77777777" w:rsidTr="000363AF">
        <w:trPr>
          <w:trHeight w:val="397"/>
        </w:trPr>
        <w:tc>
          <w:tcPr>
            <w:tcW w:w="1205" w:type="pct"/>
            <w:gridSpan w:val="2"/>
            <w:vAlign w:val="center"/>
          </w:tcPr>
          <w:p w14:paraId="2C7307DD" w14:textId="77777777" w:rsidR="00D5150E" w:rsidRPr="00F16A5E" w:rsidRDefault="00D5150E" w:rsidP="000363AF">
            <w:pPr>
              <w:rPr>
                <w:b/>
                <w:bCs/>
              </w:rPr>
            </w:pPr>
            <w:r w:rsidRPr="00F16A5E">
              <w:rPr>
                <w:b/>
                <w:bCs/>
              </w:rPr>
              <w:t>Electrolyte</w:t>
            </w:r>
            <w:r w:rsidRPr="00F16A5E">
              <w:rPr>
                <w:b/>
                <w:bCs/>
                <w:vertAlign w:val="superscript"/>
              </w:rPr>
              <w:t>7</w:t>
            </w:r>
          </w:p>
        </w:tc>
        <w:tc>
          <w:tcPr>
            <w:tcW w:w="402" w:type="pct"/>
            <w:shd w:val="clear" w:color="auto" w:fill="auto"/>
            <w:vAlign w:val="center"/>
          </w:tcPr>
          <w:p w14:paraId="540163F4" w14:textId="77777777" w:rsidR="00D5150E" w:rsidRPr="00F16A5E" w:rsidRDefault="00D5150E" w:rsidP="000363AF">
            <w:r w:rsidRPr="00F16A5E">
              <w:t>X</w:t>
            </w:r>
          </w:p>
        </w:tc>
        <w:tc>
          <w:tcPr>
            <w:tcW w:w="236" w:type="pct"/>
            <w:vAlign w:val="center"/>
          </w:tcPr>
          <w:p w14:paraId="54646A18" w14:textId="77777777" w:rsidR="00D5150E" w:rsidRPr="00F16A5E" w:rsidRDefault="00D5150E" w:rsidP="000363AF">
            <w:r w:rsidRPr="00F16A5E">
              <w:t>X</w:t>
            </w:r>
          </w:p>
        </w:tc>
        <w:tc>
          <w:tcPr>
            <w:tcW w:w="237" w:type="pct"/>
            <w:vAlign w:val="center"/>
          </w:tcPr>
          <w:p w14:paraId="2B470E7C" w14:textId="77777777" w:rsidR="00D5150E" w:rsidRPr="00F16A5E" w:rsidRDefault="00D5150E" w:rsidP="000363AF"/>
        </w:tc>
        <w:tc>
          <w:tcPr>
            <w:tcW w:w="473" w:type="pct"/>
            <w:vAlign w:val="center"/>
          </w:tcPr>
          <w:p w14:paraId="600376DF" w14:textId="77777777" w:rsidR="00D5150E" w:rsidRPr="00F16A5E" w:rsidRDefault="00D5150E" w:rsidP="000363AF">
            <w:r w:rsidRPr="00F16A5E">
              <w:t>X</w:t>
            </w:r>
          </w:p>
        </w:tc>
        <w:tc>
          <w:tcPr>
            <w:tcW w:w="473" w:type="pct"/>
            <w:vAlign w:val="center"/>
          </w:tcPr>
          <w:p w14:paraId="7FF44251" w14:textId="77777777" w:rsidR="00D5150E" w:rsidRPr="00F16A5E" w:rsidRDefault="00D5150E" w:rsidP="000363AF">
            <w:r w:rsidRPr="00F16A5E">
              <w:t>X</w:t>
            </w:r>
          </w:p>
        </w:tc>
        <w:tc>
          <w:tcPr>
            <w:tcW w:w="493" w:type="pct"/>
            <w:shd w:val="clear" w:color="auto" w:fill="auto"/>
            <w:vAlign w:val="center"/>
          </w:tcPr>
          <w:p w14:paraId="58A1208D" w14:textId="77777777" w:rsidR="00D5150E" w:rsidRPr="00F16A5E" w:rsidRDefault="00D5150E" w:rsidP="000363AF">
            <w:r w:rsidRPr="00F16A5E">
              <w:t>X</w:t>
            </w:r>
          </w:p>
        </w:tc>
        <w:tc>
          <w:tcPr>
            <w:tcW w:w="454" w:type="pct"/>
            <w:vAlign w:val="center"/>
          </w:tcPr>
          <w:p w14:paraId="386A9644" w14:textId="77777777" w:rsidR="00D5150E" w:rsidRPr="00F16A5E" w:rsidRDefault="00D5150E" w:rsidP="000363AF">
            <w:r w:rsidRPr="00F16A5E">
              <w:t>X</w:t>
            </w:r>
          </w:p>
        </w:tc>
        <w:tc>
          <w:tcPr>
            <w:tcW w:w="501" w:type="pct"/>
            <w:vAlign w:val="center"/>
          </w:tcPr>
          <w:p w14:paraId="6C138EC2" w14:textId="77777777" w:rsidR="00D5150E" w:rsidRPr="00F16A5E" w:rsidRDefault="00D5150E" w:rsidP="000363AF">
            <w:r w:rsidRPr="00F16A5E">
              <w:t>X</w:t>
            </w:r>
          </w:p>
        </w:tc>
        <w:tc>
          <w:tcPr>
            <w:tcW w:w="526" w:type="pct"/>
            <w:vAlign w:val="center"/>
          </w:tcPr>
          <w:p w14:paraId="4558A36F" w14:textId="77777777" w:rsidR="00D5150E" w:rsidRPr="00F16A5E" w:rsidRDefault="00D5150E" w:rsidP="000363AF">
            <w:r w:rsidRPr="00F16A5E">
              <w:t>X</w:t>
            </w:r>
          </w:p>
        </w:tc>
      </w:tr>
      <w:tr w:rsidR="00D5150E" w:rsidRPr="00F16A5E" w14:paraId="768FC88D" w14:textId="77777777" w:rsidTr="000363AF">
        <w:trPr>
          <w:trHeight w:val="397"/>
        </w:trPr>
        <w:tc>
          <w:tcPr>
            <w:tcW w:w="1205" w:type="pct"/>
            <w:gridSpan w:val="2"/>
            <w:vAlign w:val="center"/>
          </w:tcPr>
          <w:p w14:paraId="558D5F04" w14:textId="77777777" w:rsidR="00D5150E" w:rsidRPr="00F16A5E" w:rsidRDefault="00D5150E" w:rsidP="000363AF">
            <w:pPr>
              <w:rPr>
                <w:b/>
                <w:bCs/>
              </w:rPr>
            </w:pPr>
            <w:r w:rsidRPr="00F16A5E">
              <w:rPr>
                <w:b/>
                <w:bCs/>
              </w:rPr>
              <w:t>Amylase &amp; Lipase</w:t>
            </w:r>
            <w:r w:rsidRPr="00F16A5E">
              <w:rPr>
                <w:b/>
                <w:bCs/>
                <w:vertAlign w:val="superscript"/>
              </w:rPr>
              <w:t>8</w:t>
            </w:r>
          </w:p>
        </w:tc>
        <w:tc>
          <w:tcPr>
            <w:tcW w:w="402" w:type="pct"/>
            <w:shd w:val="clear" w:color="auto" w:fill="auto"/>
            <w:vAlign w:val="center"/>
          </w:tcPr>
          <w:p w14:paraId="2B82F2B2" w14:textId="77777777" w:rsidR="00D5150E" w:rsidRPr="00F16A5E" w:rsidRDefault="00D5150E" w:rsidP="000363AF">
            <w:r w:rsidRPr="00F16A5E">
              <w:t>X</w:t>
            </w:r>
          </w:p>
        </w:tc>
        <w:tc>
          <w:tcPr>
            <w:tcW w:w="236" w:type="pct"/>
            <w:vAlign w:val="center"/>
          </w:tcPr>
          <w:p w14:paraId="59A57320" w14:textId="77777777" w:rsidR="00D5150E" w:rsidRPr="00F16A5E" w:rsidRDefault="00D5150E" w:rsidP="000363AF">
            <w:r w:rsidRPr="00F16A5E">
              <w:t>X</w:t>
            </w:r>
          </w:p>
        </w:tc>
        <w:tc>
          <w:tcPr>
            <w:tcW w:w="237" w:type="pct"/>
            <w:vAlign w:val="center"/>
          </w:tcPr>
          <w:p w14:paraId="3B3E7202" w14:textId="77777777" w:rsidR="00D5150E" w:rsidRPr="00F16A5E" w:rsidRDefault="00D5150E" w:rsidP="000363AF"/>
        </w:tc>
        <w:tc>
          <w:tcPr>
            <w:tcW w:w="473" w:type="pct"/>
            <w:vAlign w:val="center"/>
          </w:tcPr>
          <w:p w14:paraId="65A89955" w14:textId="77777777" w:rsidR="00D5150E" w:rsidRPr="00F16A5E" w:rsidRDefault="00D5150E" w:rsidP="000363AF">
            <w:r w:rsidRPr="00F16A5E">
              <w:t>X</w:t>
            </w:r>
          </w:p>
        </w:tc>
        <w:tc>
          <w:tcPr>
            <w:tcW w:w="473" w:type="pct"/>
            <w:vAlign w:val="center"/>
          </w:tcPr>
          <w:p w14:paraId="100F2D38" w14:textId="77777777" w:rsidR="00D5150E" w:rsidRPr="00F16A5E" w:rsidRDefault="00D5150E" w:rsidP="000363AF">
            <w:r w:rsidRPr="00F16A5E">
              <w:t>X</w:t>
            </w:r>
          </w:p>
        </w:tc>
        <w:tc>
          <w:tcPr>
            <w:tcW w:w="493" w:type="pct"/>
            <w:shd w:val="clear" w:color="auto" w:fill="auto"/>
            <w:vAlign w:val="center"/>
          </w:tcPr>
          <w:p w14:paraId="314680EE" w14:textId="77777777" w:rsidR="00D5150E" w:rsidRPr="00F16A5E" w:rsidRDefault="00D5150E" w:rsidP="000363AF">
            <w:r w:rsidRPr="00F16A5E">
              <w:t>X</w:t>
            </w:r>
          </w:p>
        </w:tc>
        <w:tc>
          <w:tcPr>
            <w:tcW w:w="454" w:type="pct"/>
            <w:vAlign w:val="center"/>
          </w:tcPr>
          <w:p w14:paraId="78CCFE27" w14:textId="77777777" w:rsidR="00D5150E" w:rsidRPr="00F16A5E" w:rsidRDefault="00D5150E" w:rsidP="000363AF">
            <w:r w:rsidRPr="00F16A5E">
              <w:t>X</w:t>
            </w:r>
          </w:p>
        </w:tc>
        <w:tc>
          <w:tcPr>
            <w:tcW w:w="501" w:type="pct"/>
            <w:vAlign w:val="center"/>
          </w:tcPr>
          <w:p w14:paraId="6B3F1A3F" w14:textId="77777777" w:rsidR="00D5150E" w:rsidRPr="00F16A5E" w:rsidRDefault="00D5150E" w:rsidP="000363AF">
            <w:r w:rsidRPr="00F16A5E">
              <w:t>X</w:t>
            </w:r>
          </w:p>
        </w:tc>
        <w:tc>
          <w:tcPr>
            <w:tcW w:w="526" w:type="pct"/>
            <w:vAlign w:val="center"/>
          </w:tcPr>
          <w:p w14:paraId="6EDEDB4B" w14:textId="77777777" w:rsidR="00D5150E" w:rsidRPr="00F16A5E" w:rsidRDefault="00D5150E" w:rsidP="000363AF">
            <w:r w:rsidRPr="00F16A5E">
              <w:t>X</w:t>
            </w:r>
          </w:p>
        </w:tc>
      </w:tr>
      <w:tr w:rsidR="00D5150E" w:rsidRPr="00F16A5E" w14:paraId="6098399D" w14:textId="77777777" w:rsidTr="000363AF">
        <w:trPr>
          <w:trHeight w:val="397"/>
        </w:trPr>
        <w:tc>
          <w:tcPr>
            <w:tcW w:w="1205" w:type="pct"/>
            <w:gridSpan w:val="2"/>
            <w:vAlign w:val="center"/>
          </w:tcPr>
          <w:p w14:paraId="050DB041" w14:textId="77777777" w:rsidR="00D5150E" w:rsidRPr="00F16A5E" w:rsidRDefault="00D5150E" w:rsidP="000363AF">
            <w:pPr>
              <w:rPr>
                <w:b/>
                <w:bCs/>
              </w:rPr>
            </w:pPr>
            <w:r w:rsidRPr="00F16A5E">
              <w:rPr>
                <w:b/>
                <w:bCs/>
              </w:rPr>
              <w:t>Coagulation</w:t>
            </w:r>
            <w:r w:rsidRPr="00F16A5E">
              <w:rPr>
                <w:b/>
                <w:bCs/>
                <w:vertAlign w:val="superscript"/>
              </w:rPr>
              <w:t>9</w:t>
            </w:r>
          </w:p>
        </w:tc>
        <w:tc>
          <w:tcPr>
            <w:tcW w:w="402" w:type="pct"/>
            <w:shd w:val="clear" w:color="auto" w:fill="auto"/>
            <w:vAlign w:val="center"/>
          </w:tcPr>
          <w:p w14:paraId="792F57CB" w14:textId="77777777" w:rsidR="00D5150E" w:rsidRPr="00F16A5E" w:rsidRDefault="00D5150E" w:rsidP="000363AF">
            <w:r w:rsidRPr="00F16A5E">
              <w:t>X</w:t>
            </w:r>
          </w:p>
        </w:tc>
        <w:tc>
          <w:tcPr>
            <w:tcW w:w="236" w:type="pct"/>
            <w:vAlign w:val="center"/>
          </w:tcPr>
          <w:p w14:paraId="28481111" w14:textId="77777777" w:rsidR="00D5150E" w:rsidRPr="00F16A5E" w:rsidRDefault="00D5150E" w:rsidP="000363AF">
            <w:r w:rsidRPr="00F16A5E">
              <w:t>X</w:t>
            </w:r>
          </w:p>
        </w:tc>
        <w:tc>
          <w:tcPr>
            <w:tcW w:w="237" w:type="pct"/>
            <w:vAlign w:val="center"/>
          </w:tcPr>
          <w:p w14:paraId="6FC378A3" w14:textId="77777777" w:rsidR="00D5150E" w:rsidRPr="00F16A5E" w:rsidRDefault="00D5150E" w:rsidP="000363AF"/>
        </w:tc>
        <w:tc>
          <w:tcPr>
            <w:tcW w:w="473" w:type="pct"/>
            <w:vAlign w:val="center"/>
          </w:tcPr>
          <w:p w14:paraId="38F7FFA6" w14:textId="77777777" w:rsidR="00D5150E" w:rsidRPr="00F16A5E" w:rsidRDefault="00D5150E" w:rsidP="000363AF"/>
        </w:tc>
        <w:tc>
          <w:tcPr>
            <w:tcW w:w="473" w:type="pct"/>
            <w:vAlign w:val="center"/>
          </w:tcPr>
          <w:p w14:paraId="1D1755A7" w14:textId="77777777" w:rsidR="00D5150E" w:rsidRPr="00F16A5E" w:rsidRDefault="00D5150E" w:rsidP="000363AF">
            <w:r w:rsidRPr="00F16A5E">
              <w:t>X</w:t>
            </w:r>
          </w:p>
        </w:tc>
        <w:tc>
          <w:tcPr>
            <w:tcW w:w="493" w:type="pct"/>
            <w:shd w:val="clear" w:color="auto" w:fill="auto"/>
            <w:vAlign w:val="center"/>
          </w:tcPr>
          <w:p w14:paraId="233DB30C" w14:textId="77777777" w:rsidR="00D5150E" w:rsidRPr="00F16A5E" w:rsidRDefault="00D5150E" w:rsidP="000363AF">
            <w:r w:rsidRPr="00F16A5E">
              <w:t>X</w:t>
            </w:r>
          </w:p>
        </w:tc>
        <w:tc>
          <w:tcPr>
            <w:tcW w:w="454" w:type="pct"/>
            <w:vAlign w:val="center"/>
          </w:tcPr>
          <w:p w14:paraId="110AA2DD" w14:textId="77777777" w:rsidR="00D5150E" w:rsidRPr="00F16A5E" w:rsidRDefault="00D5150E" w:rsidP="000363AF">
            <w:r w:rsidRPr="00F16A5E">
              <w:t>X</w:t>
            </w:r>
          </w:p>
        </w:tc>
        <w:tc>
          <w:tcPr>
            <w:tcW w:w="501" w:type="pct"/>
            <w:vAlign w:val="center"/>
          </w:tcPr>
          <w:p w14:paraId="6016A10B" w14:textId="77777777" w:rsidR="00D5150E" w:rsidRPr="00F16A5E" w:rsidRDefault="00D5150E" w:rsidP="000363AF">
            <w:r w:rsidRPr="00F16A5E">
              <w:t>X</w:t>
            </w:r>
          </w:p>
        </w:tc>
        <w:tc>
          <w:tcPr>
            <w:tcW w:w="526" w:type="pct"/>
            <w:vAlign w:val="center"/>
          </w:tcPr>
          <w:p w14:paraId="5F2D1C01" w14:textId="77777777" w:rsidR="00D5150E" w:rsidRPr="00F16A5E" w:rsidRDefault="00D5150E" w:rsidP="000363AF">
            <w:r w:rsidRPr="00F16A5E">
              <w:t>X</w:t>
            </w:r>
          </w:p>
        </w:tc>
      </w:tr>
      <w:tr w:rsidR="00D5150E" w:rsidRPr="00F16A5E" w14:paraId="21126EA9" w14:textId="77777777" w:rsidTr="000363AF">
        <w:trPr>
          <w:trHeight w:val="397"/>
        </w:trPr>
        <w:tc>
          <w:tcPr>
            <w:tcW w:w="1205" w:type="pct"/>
            <w:gridSpan w:val="2"/>
            <w:vAlign w:val="center"/>
          </w:tcPr>
          <w:p w14:paraId="4AE7216A" w14:textId="77777777" w:rsidR="00D5150E" w:rsidRPr="00F16A5E" w:rsidRDefault="00D5150E" w:rsidP="000363AF">
            <w:pPr>
              <w:rPr>
                <w:b/>
                <w:bCs/>
              </w:rPr>
            </w:pPr>
            <w:r w:rsidRPr="00F16A5E">
              <w:rPr>
                <w:b/>
                <w:bCs/>
              </w:rPr>
              <w:t>5 items of thyroid function</w:t>
            </w:r>
          </w:p>
        </w:tc>
        <w:tc>
          <w:tcPr>
            <w:tcW w:w="402" w:type="pct"/>
            <w:vAlign w:val="center"/>
          </w:tcPr>
          <w:p w14:paraId="1FF9B022" w14:textId="77777777" w:rsidR="00D5150E" w:rsidRPr="00F16A5E" w:rsidRDefault="00D5150E" w:rsidP="000363AF">
            <w:r w:rsidRPr="00F16A5E">
              <w:t>X</w:t>
            </w:r>
          </w:p>
        </w:tc>
        <w:tc>
          <w:tcPr>
            <w:tcW w:w="236" w:type="pct"/>
            <w:vAlign w:val="center"/>
          </w:tcPr>
          <w:p w14:paraId="48E6CCE9" w14:textId="77777777" w:rsidR="00D5150E" w:rsidRPr="00F16A5E" w:rsidRDefault="00D5150E" w:rsidP="000363AF"/>
        </w:tc>
        <w:tc>
          <w:tcPr>
            <w:tcW w:w="237" w:type="pct"/>
            <w:vAlign w:val="center"/>
          </w:tcPr>
          <w:p w14:paraId="594FE833" w14:textId="77777777" w:rsidR="00D5150E" w:rsidRPr="00F16A5E" w:rsidRDefault="00D5150E" w:rsidP="000363AF"/>
        </w:tc>
        <w:tc>
          <w:tcPr>
            <w:tcW w:w="473" w:type="pct"/>
            <w:vAlign w:val="center"/>
          </w:tcPr>
          <w:p w14:paraId="698BD965" w14:textId="77777777" w:rsidR="00D5150E" w:rsidRPr="00F16A5E" w:rsidRDefault="00D5150E" w:rsidP="000363AF"/>
        </w:tc>
        <w:tc>
          <w:tcPr>
            <w:tcW w:w="473" w:type="pct"/>
            <w:vAlign w:val="center"/>
          </w:tcPr>
          <w:p w14:paraId="351FF4F9" w14:textId="77777777" w:rsidR="00D5150E" w:rsidRPr="00F16A5E" w:rsidRDefault="00D5150E" w:rsidP="000363AF">
            <w:r w:rsidRPr="00F16A5E">
              <w:t>X</w:t>
            </w:r>
          </w:p>
        </w:tc>
        <w:tc>
          <w:tcPr>
            <w:tcW w:w="493" w:type="pct"/>
            <w:shd w:val="clear" w:color="auto" w:fill="auto"/>
            <w:vAlign w:val="center"/>
          </w:tcPr>
          <w:p w14:paraId="2605C2E9" w14:textId="77777777" w:rsidR="00D5150E" w:rsidRPr="00F16A5E" w:rsidRDefault="00D5150E" w:rsidP="000363AF"/>
        </w:tc>
        <w:tc>
          <w:tcPr>
            <w:tcW w:w="454" w:type="pct"/>
            <w:vAlign w:val="center"/>
          </w:tcPr>
          <w:p w14:paraId="46131EF0" w14:textId="77777777" w:rsidR="00D5150E" w:rsidRPr="00F16A5E" w:rsidRDefault="00D5150E" w:rsidP="000363AF">
            <w:r w:rsidRPr="00F16A5E">
              <w:t>X</w:t>
            </w:r>
          </w:p>
        </w:tc>
        <w:tc>
          <w:tcPr>
            <w:tcW w:w="501" w:type="pct"/>
            <w:vAlign w:val="center"/>
          </w:tcPr>
          <w:p w14:paraId="6696C32A" w14:textId="77777777" w:rsidR="00D5150E" w:rsidRPr="00F16A5E" w:rsidRDefault="00D5150E" w:rsidP="000363AF">
            <w:r w:rsidRPr="00F16A5E">
              <w:t>X</w:t>
            </w:r>
          </w:p>
        </w:tc>
        <w:tc>
          <w:tcPr>
            <w:tcW w:w="526" w:type="pct"/>
            <w:vAlign w:val="center"/>
          </w:tcPr>
          <w:p w14:paraId="40CA0444" w14:textId="77777777" w:rsidR="00D5150E" w:rsidRPr="00F16A5E" w:rsidRDefault="00D5150E" w:rsidP="000363AF">
            <w:r w:rsidRPr="00F16A5E">
              <w:t>X</w:t>
            </w:r>
          </w:p>
        </w:tc>
      </w:tr>
      <w:tr w:rsidR="00D5150E" w:rsidRPr="00F16A5E" w14:paraId="3440437C" w14:textId="77777777" w:rsidTr="000363AF">
        <w:trPr>
          <w:trHeight w:val="397"/>
        </w:trPr>
        <w:tc>
          <w:tcPr>
            <w:tcW w:w="1205" w:type="pct"/>
            <w:gridSpan w:val="2"/>
            <w:vAlign w:val="center"/>
          </w:tcPr>
          <w:p w14:paraId="5B2C0795" w14:textId="77777777" w:rsidR="00D5150E" w:rsidRPr="00F16A5E" w:rsidRDefault="00D5150E" w:rsidP="000363AF">
            <w:pPr>
              <w:rPr>
                <w:b/>
                <w:bCs/>
              </w:rPr>
            </w:pPr>
            <w:r w:rsidRPr="00F16A5E">
              <w:rPr>
                <w:b/>
                <w:bCs/>
              </w:rPr>
              <w:t>Ultrasound thyroid</w:t>
            </w:r>
            <w:r w:rsidRPr="00F16A5E">
              <w:rPr>
                <w:b/>
                <w:bCs/>
                <w:vertAlign w:val="superscript"/>
              </w:rPr>
              <w:t>10</w:t>
            </w:r>
          </w:p>
        </w:tc>
        <w:tc>
          <w:tcPr>
            <w:tcW w:w="402" w:type="pct"/>
            <w:vAlign w:val="center"/>
          </w:tcPr>
          <w:p w14:paraId="432BD631" w14:textId="77777777" w:rsidR="00D5150E" w:rsidRPr="00F16A5E" w:rsidRDefault="00D5150E" w:rsidP="000363AF">
            <w:r w:rsidRPr="00F16A5E">
              <w:t>X</w:t>
            </w:r>
          </w:p>
        </w:tc>
        <w:tc>
          <w:tcPr>
            <w:tcW w:w="236" w:type="pct"/>
            <w:vAlign w:val="center"/>
          </w:tcPr>
          <w:p w14:paraId="03C4E155" w14:textId="77777777" w:rsidR="00D5150E" w:rsidRPr="00F16A5E" w:rsidRDefault="00D5150E" w:rsidP="000363AF"/>
        </w:tc>
        <w:tc>
          <w:tcPr>
            <w:tcW w:w="237" w:type="pct"/>
            <w:vAlign w:val="center"/>
          </w:tcPr>
          <w:p w14:paraId="330530F4" w14:textId="77777777" w:rsidR="00D5150E" w:rsidRPr="00F16A5E" w:rsidRDefault="00D5150E" w:rsidP="000363AF"/>
        </w:tc>
        <w:tc>
          <w:tcPr>
            <w:tcW w:w="473" w:type="pct"/>
            <w:vAlign w:val="center"/>
          </w:tcPr>
          <w:p w14:paraId="6933C785" w14:textId="77777777" w:rsidR="00D5150E" w:rsidRPr="00F16A5E" w:rsidRDefault="00D5150E" w:rsidP="000363AF"/>
        </w:tc>
        <w:tc>
          <w:tcPr>
            <w:tcW w:w="473" w:type="pct"/>
            <w:shd w:val="clear" w:color="auto" w:fill="auto"/>
            <w:vAlign w:val="center"/>
          </w:tcPr>
          <w:p w14:paraId="027A3314" w14:textId="77777777" w:rsidR="00D5150E" w:rsidRPr="00F16A5E" w:rsidRDefault="00D5150E" w:rsidP="000363AF">
            <w:r w:rsidRPr="00F16A5E">
              <w:t>X</w:t>
            </w:r>
            <w:r w:rsidRPr="00F16A5E">
              <w:rPr>
                <w:vertAlign w:val="superscript"/>
              </w:rPr>
              <w:t>10</w:t>
            </w:r>
          </w:p>
        </w:tc>
        <w:tc>
          <w:tcPr>
            <w:tcW w:w="493" w:type="pct"/>
            <w:shd w:val="clear" w:color="auto" w:fill="auto"/>
            <w:vAlign w:val="center"/>
          </w:tcPr>
          <w:p w14:paraId="2506401D" w14:textId="77777777" w:rsidR="00D5150E" w:rsidRPr="00F16A5E" w:rsidRDefault="00D5150E" w:rsidP="000363AF"/>
        </w:tc>
        <w:tc>
          <w:tcPr>
            <w:tcW w:w="454" w:type="pct"/>
            <w:vAlign w:val="center"/>
          </w:tcPr>
          <w:p w14:paraId="7BD654B4" w14:textId="77777777" w:rsidR="00D5150E" w:rsidRPr="00F16A5E" w:rsidRDefault="00D5150E" w:rsidP="000363AF">
            <w:r w:rsidRPr="00F16A5E">
              <w:t>X</w:t>
            </w:r>
            <w:r w:rsidRPr="00F16A5E">
              <w:rPr>
                <w:vertAlign w:val="superscript"/>
              </w:rPr>
              <w:t>10</w:t>
            </w:r>
          </w:p>
        </w:tc>
        <w:tc>
          <w:tcPr>
            <w:tcW w:w="501" w:type="pct"/>
            <w:vAlign w:val="center"/>
          </w:tcPr>
          <w:p w14:paraId="687C68C3" w14:textId="77777777" w:rsidR="00D5150E" w:rsidRPr="00F16A5E" w:rsidRDefault="00D5150E" w:rsidP="000363AF"/>
        </w:tc>
        <w:tc>
          <w:tcPr>
            <w:tcW w:w="526" w:type="pct"/>
            <w:vAlign w:val="center"/>
          </w:tcPr>
          <w:p w14:paraId="07CBE5EC" w14:textId="77777777" w:rsidR="00D5150E" w:rsidRPr="00F16A5E" w:rsidRDefault="00D5150E" w:rsidP="000363AF"/>
        </w:tc>
      </w:tr>
      <w:tr w:rsidR="00D5150E" w:rsidRPr="00F16A5E" w14:paraId="16542226" w14:textId="77777777" w:rsidTr="000363AF">
        <w:trPr>
          <w:trHeight w:val="397"/>
        </w:trPr>
        <w:tc>
          <w:tcPr>
            <w:tcW w:w="1205" w:type="pct"/>
            <w:gridSpan w:val="2"/>
            <w:vAlign w:val="center"/>
          </w:tcPr>
          <w:p w14:paraId="2069C118" w14:textId="77777777" w:rsidR="00D5150E" w:rsidRPr="00F16A5E" w:rsidRDefault="00D5150E" w:rsidP="000363AF">
            <w:pPr>
              <w:rPr>
                <w:b/>
                <w:bCs/>
              </w:rPr>
            </w:pPr>
            <w:r w:rsidRPr="00F16A5E">
              <w:rPr>
                <w:b/>
                <w:bCs/>
              </w:rPr>
              <w:t>Chest X-ray</w:t>
            </w:r>
            <w:r w:rsidRPr="00F16A5E">
              <w:rPr>
                <w:b/>
                <w:bCs/>
                <w:vertAlign w:val="superscript"/>
              </w:rPr>
              <w:t>11</w:t>
            </w:r>
          </w:p>
        </w:tc>
        <w:tc>
          <w:tcPr>
            <w:tcW w:w="402" w:type="pct"/>
            <w:vAlign w:val="center"/>
          </w:tcPr>
          <w:p w14:paraId="14216F6B" w14:textId="77777777" w:rsidR="00D5150E" w:rsidRPr="00F16A5E" w:rsidRDefault="00D5150E" w:rsidP="000363AF">
            <w:r w:rsidRPr="00F16A5E">
              <w:t>X</w:t>
            </w:r>
          </w:p>
        </w:tc>
        <w:tc>
          <w:tcPr>
            <w:tcW w:w="2366" w:type="pct"/>
            <w:gridSpan w:val="6"/>
            <w:vAlign w:val="center"/>
          </w:tcPr>
          <w:p w14:paraId="61BC0A1A" w14:textId="77777777" w:rsidR="00D5150E" w:rsidRPr="00F16A5E" w:rsidRDefault="00D5150E" w:rsidP="000363AF">
            <w:r w:rsidRPr="00F16A5E">
              <w:t>as clinically indicated</w:t>
            </w:r>
          </w:p>
        </w:tc>
        <w:tc>
          <w:tcPr>
            <w:tcW w:w="501" w:type="pct"/>
            <w:vAlign w:val="center"/>
          </w:tcPr>
          <w:p w14:paraId="05DC6410" w14:textId="77777777" w:rsidR="00D5150E" w:rsidRPr="00F16A5E" w:rsidRDefault="00D5150E" w:rsidP="000363AF"/>
        </w:tc>
        <w:tc>
          <w:tcPr>
            <w:tcW w:w="526" w:type="pct"/>
            <w:vAlign w:val="center"/>
          </w:tcPr>
          <w:p w14:paraId="72F75A67" w14:textId="77777777" w:rsidR="00D5150E" w:rsidRPr="00F16A5E" w:rsidRDefault="00D5150E" w:rsidP="000363AF"/>
        </w:tc>
      </w:tr>
      <w:tr w:rsidR="00D5150E" w:rsidRPr="00F16A5E" w14:paraId="490C3790" w14:textId="77777777" w:rsidTr="000363AF">
        <w:trPr>
          <w:trHeight w:val="397"/>
        </w:trPr>
        <w:tc>
          <w:tcPr>
            <w:tcW w:w="1205" w:type="pct"/>
            <w:gridSpan w:val="2"/>
            <w:vAlign w:val="center"/>
          </w:tcPr>
          <w:p w14:paraId="34AEC1AE" w14:textId="77777777" w:rsidR="00D5150E" w:rsidRPr="00F16A5E" w:rsidRDefault="00D5150E" w:rsidP="000363AF">
            <w:pPr>
              <w:rPr>
                <w:b/>
                <w:bCs/>
              </w:rPr>
            </w:pPr>
            <w:r w:rsidRPr="00F16A5E">
              <w:rPr>
                <w:b/>
                <w:bCs/>
              </w:rPr>
              <w:t>anti-Smith antibody</w:t>
            </w:r>
          </w:p>
        </w:tc>
        <w:tc>
          <w:tcPr>
            <w:tcW w:w="402" w:type="pct"/>
            <w:vAlign w:val="center"/>
          </w:tcPr>
          <w:p w14:paraId="2F48FAB1" w14:textId="77777777" w:rsidR="00D5150E" w:rsidRPr="00F16A5E" w:rsidRDefault="00D5150E" w:rsidP="000363AF">
            <w:r w:rsidRPr="00F16A5E">
              <w:t>X</w:t>
            </w:r>
          </w:p>
        </w:tc>
        <w:tc>
          <w:tcPr>
            <w:tcW w:w="236" w:type="pct"/>
            <w:vAlign w:val="center"/>
          </w:tcPr>
          <w:p w14:paraId="1DC620E9" w14:textId="77777777" w:rsidR="00D5150E" w:rsidRPr="00F16A5E" w:rsidRDefault="00D5150E" w:rsidP="000363AF"/>
        </w:tc>
        <w:tc>
          <w:tcPr>
            <w:tcW w:w="237" w:type="pct"/>
            <w:vAlign w:val="center"/>
          </w:tcPr>
          <w:p w14:paraId="54E93E7E" w14:textId="77777777" w:rsidR="00D5150E" w:rsidRPr="00F16A5E" w:rsidRDefault="00D5150E" w:rsidP="000363AF"/>
        </w:tc>
        <w:tc>
          <w:tcPr>
            <w:tcW w:w="473" w:type="pct"/>
            <w:vAlign w:val="center"/>
          </w:tcPr>
          <w:p w14:paraId="130F5C4A" w14:textId="77777777" w:rsidR="00D5150E" w:rsidRPr="00F16A5E" w:rsidRDefault="00D5150E" w:rsidP="000363AF"/>
        </w:tc>
        <w:tc>
          <w:tcPr>
            <w:tcW w:w="473" w:type="pct"/>
            <w:vAlign w:val="center"/>
          </w:tcPr>
          <w:p w14:paraId="4F5447AB" w14:textId="77777777" w:rsidR="00D5150E" w:rsidRPr="00F16A5E" w:rsidRDefault="00D5150E" w:rsidP="000363AF"/>
        </w:tc>
        <w:tc>
          <w:tcPr>
            <w:tcW w:w="493" w:type="pct"/>
            <w:shd w:val="clear" w:color="auto" w:fill="auto"/>
            <w:vAlign w:val="center"/>
          </w:tcPr>
          <w:p w14:paraId="6F4E3B38" w14:textId="77777777" w:rsidR="00D5150E" w:rsidRPr="00F16A5E" w:rsidRDefault="00D5150E" w:rsidP="000363AF"/>
        </w:tc>
        <w:tc>
          <w:tcPr>
            <w:tcW w:w="454" w:type="pct"/>
            <w:vAlign w:val="center"/>
          </w:tcPr>
          <w:p w14:paraId="2742B3DA" w14:textId="77777777" w:rsidR="00D5150E" w:rsidRPr="00F16A5E" w:rsidRDefault="00D5150E" w:rsidP="000363AF"/>
        </w:tc>
        <w:tc>
          <w:tcPr>
            <w:tcW w:w="501" w:type="pct"/>
            <w:vAlign w:val="center"/>
          </w:tcPr>
          <w:p w14:paraId="44FA8A3C" w14:textId="77777777" w:rsidR="00D5150E" w:rsidRPr="00F16A5E" w:rsidRDefault="00D5150E" w:rsidP="000363AF"/>
        </w:tc>
        <w:tc>
          <w:tcPr>
            <w:tcW w:w="526" w:type="pct"/>
            <w:vAlign w:val="center"/>
          </w:tcPr>
          <w:p w14:paraId="5A960A0B" w14:textId="77777777" w:rsidR="00D5150E" w:rsidRPr="00F16A5E" w:rsidRDefault="00D5150E" w:rsidP="000363AF"/>
        </w:tc>
      </w:tr>
      <w:tr w:rsidR="00D5150E" w:rsidRPr="00F16A5E" w14:paraId="13D86A03" w14:textId="77777777" w:rsidTr="000363AF">
        <w:trPr>
          <w:trHeight w:val="397"/>
        </w:trPr>
        <w:tc>
          <w:tcPr>
            <w:tcW w:w="1205" w:type="pct"/>
            <w:gridSpan w:val="2"/>
            <w:vAlign w:val="center"/>
          </w:tcPr>
          <w:p w14:paraId="74BC7AE8" w14:textId="77777777" w:rsidR="00D5150E" w:rsidRPr="00F16A5E" w:rsidRDefault="00D5150E" w:rsidP="000363AF">
            <w:pPr>
              <w:rPr>
                <w:b/>
                <w:bCs/>
              </w:rPr>
            </w:pPr>
            <w:r w:rsidRPr="00F16A5E">
              <w:rPr>
                <w:b/>
                <w:bCs/>
              </w:rPr>
              <w:t>Pregnancy test (only for female subjects of childbearing potential)</w:t>
            </w:r>
            <w:r w:rsidRPr="00F16A5E">
              <w:rPr>
                <w:b/>
                <w:bCs/>
                <w:vertAlign w:val="superscript"/>
              </w:rPr>
              <w:t>12</w:t>
            </w:r>
          </w:p>
        </w:tc>
        <w:tc>
          <w:tcPr>
            <w:tcW w:w="402" w:type="pct"/>
            <w:vAlign w:val="center"/>
          </w:tcPr>
          <w:p w14:paraId="7DC41030" w14:textId="77777777" w:rsidR="00D5150E" w:rsidRPr="00F16A5E" w:rsidRDefault="00D5150E" w:rsidP="000363AF">
            <w:r w:rsidRPr="00F16A5E">
              <w:t>X</w:t>
            </w:r>
          </w:p>
        </w:tc>
        <w:tc>
          <w:tcPr>
            <w:tcW w:w="236" w:type="pct"/>
            <w:vAlign w:val="center"/>
          </w:tcPr>
          <w:p w14:paraId="65ADEFA8" w14:textId="77777777" w:rsidR="00D5150E" w:rsidRPr="00F16A5E" w:rsidRDefault="00D5150E" w:rsidP="000363AF">
            <w:r w:rsidRPr="00F16A5E">
              <w:t>X</w:t>
            </w:r>
          </w:p>
        </w:tc>
        <w:tc>
          <w:tcPr>
            <w:tcW w:w="237" w:type="pct"/>
            <w:vAlign w:val="center"/>
          </w:tcPr>
          <w:p w14:paraId="5CCFE15D" w14:textId="77777777" w:rsidR="00D5150E" w:rsidRPr="00F16A5E" w:rsidRDefault="00D5150E" w:rsidP="000363AF"/>
        </w:tc>
        <w:tc>
          <w:tcPr>
            <w:tcW w:w="473" w:type="pct"/>
            <w:vAlign w:val="center"/>
          </w:tcPr>
          <w:p w14:paraId="2E0584C1" w14:textId="77777777" w:rsidR="00D5150E" w:rsidRPr="00F16A5E" w:rsidRDefault="00D5150E" w:rsidP="000363AF"/>
        </w:tc>
        <w:tc>
          <w:tcPr>
            <w:tcW w:w="473" w:type="pct"/>
            <w:vAlign w:val="center"/>
          </w:tcPr>
          <w:p w14:paraId="24C29D08" w14:textId="77777777" w:rsidR="00D5150E" w:rsidRPr="00F16A5E" w:rsidRDefault="00D5150E" w:rsidP="000363AF">
            <w:r w:rsidRPr="00F16A5E">
              <w:t>X</w:t>
            </w:r>
          </w:p>
        </w:tc>
        <w:tc>
          <w:tcPr>
            <w:tcW w:w="493" w:type="pct"/>
            <w:shd w:val="clear" w:color="auto" w:fill="auto"/>
            <w:vAlign w:val="center"/>
          </w:tcPr>
          <w:p w14:paraId="590F093B" w14:textId="77777777" w:rsidR="00D5150E" w:rsidRPr="00F16A5E" w:rsidRDefault="00D5150E" w:rsidP="000363AF">
            <w:r w:rsidRPr="00F16A5E">
              <w:t>X</w:t>
            </w:r>
          </w:p>
        </w:tc>
        <w:tc>
          <w:tcPr>
            <w:tcW w:w="454" w:type="pct"/>
            <w:vAlign w:val="center"/>
          </w:tcPr>
          <w:p w14:paraId="30E207A8" w14:textId="77777777" w:rsidR="00D5150E" w:rsidRPr="00F16A5E" w:rsidRDefault="00D5150E" w:rsidP="000363AF">
            <w:r w:rsidRPr="00F16A5E">
              <w:t>X</w:t>
            </w:r>
          </w:p>
        </w:tc>
        <w:tc>
          <w:tcPr>
            <w:tcW w:w="501" w:type="pct"/>
            <w:vAlign w:val="center"/>
          </w:tcPr>
          <w:p w14:paraId="6A4C8F18" w14:textId="77777777" w:rsidR="00D5150E" w:rsidRPr="00F16A5E" w:rsidRDefault="00D5150E" w:rsidP="000363AF">
            <w:r w:rsidRPr="00F16A5E">
              <w:t>X</w:t>
            </w:r>
          </w:p>
        </w:tc>
        <w:tc>
          <w:tcPr>
            <w:tcW w:w="526" w:type="pct"/>
            <w:vAlign w:val="center"/>
          </w:tcPr>
          <w:p w14:paraId="161A8E79" w14:textId="77777777" w:rsidR="00D5150E" w:rsidRPr="00F16A5E" w:rsidRDefault="00D5150E" w:rsidP="000363AF">
            <w:r w:rsidRPr="00F16A5E">
              <w:t>X</w:t>
            </w:r>
          </w:p>
        </w:tc>
      </w:tr>
      <w:tr w:rsidR="00D5150E" w:rsidRPr="00F16A5E" w14:paraId="68E6AC9B" w14:textId="77777777" w:rsidTr="000363AF">
        <w:trPr>
          <w:trHeight w:val="397"/>
        </w:trPr>
        <w:tc>
          <w:tcPr>
            <w:tcW w:w="1205" w:type="pct"/>
            <w:gridSpan w:val="2"/>
            <w:vAlign w:val="center"/>
          </w:tcPr>
          <w:p w14:paraId="7067B573" w14:textId="77777777" w:rsidR="00D5150E" w:rsidRPr="00F16A5E" w:rsidRDefault="00D5150E" w:rsidP="000363AF">
            <w:pPr>
              <w:rPr>
                <w:b/>
                <w:bCs/>
              </w:rPr>
            </w:pPr>
            <w:r w:rsidRPr="00F16A5E">
              <w:rPr>
                <w:b/>
                <w:bCs/>
              </w:rPr>
              <w:t>TB screening (Interferon-γ release assay)</w:t>
            </w:r>
          </w:p>
        </w:tc>
        <w:tc>
          <w:tcPr>
            <w:tcW w:w="402" w:type="pct"/>
            <w:vAlign w:val="center"/>
          </w:tcPr>
          <w:p w14:paraId="55A8FE1A" w14:textId="77777777" w:rsidR="00D5150E" w:rsidRPr="00F16A5E" w:rsidRDefault="00D5150E" w:rsidP="000363AF">
            <w:r w:rsidRPr="00F16A5E">
              <w:t>X</w:t>
            </w:r>
          </w:p>
        </w:tc>
        <w:tc>
          <w:tcPr>
            <w:tcW w:w="236" w:type="pct"/>
            <w:vAlign w:val="center"/>
          </w:tcPr>
          <w:p w14:paraId="4F291911" w14:textId="77777777" w:rsidR="00D5150E" w:rsidRPr="00F16A5E" w:rsidRDefault="00D5150E" w:rsidP="000363AF"/>
        </w:tc>
        <w:tc>
          <w:tcPr>
            <w:tcW w:w="237" w:type="pct"/>
            <w:vAlign w:val="center"/>
          </w:tcPr>
          <w:p w14:paraId="76B3710C" w14:textId="77777777" w:rsidR="00D5150E" w:rsidRPr="00F16A5E" w:rsidRDefault="00D5150E" w:rsidP="000363AF"/>
        </w:tc>
        <w:tc>
          <w:tcPr>
            <w:tcW w:w="473" w:type="pct"/>
            <w:vAlign w:val="center"/>
          </w:tcPr>
          <w:p w14:paraId="5D04CB53" w14:textId="77777777" w:rsidR="00D5150E" w:rsidRPr="00F16A5E" w:rsidRDefault="00D5150E" w:rsidP="000363AF"/>
        </w:tc>
        <w:tc>
          <w:tcPr>
            <w:tcW w:w="473" w:type="pct"/>
            <w:vAlign w:val="center"/>
          </w:tcPr>
          <w:p w14:paraId="1BF913A2" w14:textId="77777777" w:rsidR="00D5150E" w:rsidRPr="00F16A5E" w:rsidRDefault="00D5150E" w:rsidP="000363AF"/>
        </w:tc>
        <w:tc>
          <w:tcPr>
            <w:tcW w:w="493" w:type="pct"/>
            <w:shd w:val="clear" w:color="auto" w:fill="auto"/>
            <w:vAlign w:val="center"/>
          </w:tcPr>
          <w:p w14:paraId="3D72F795" w14:textId="77777777" w:rsidR="00D5150E" w:rsidRPr="00F16A5E" w:rsidRDefault="00D5150E" w:rsidP="000363AF"/>
        </w:tc>
        <w:tc>
          <w:tcPr>
            <w:tcW w:w="454" w:type="pct"/>
            <w:vAlign w:val="center"/>
          </w:tcPr>
          <w:p w14:paraId="7E90DEC6" w14:textId="77777777" w:rsidR="00D5150E" w:rsidRPr="00F16A5E" w:rsidRDefault="00D5150E" w:rsidP="000363AF"/>
        </w:tc>
        <w:tc>
          <w:tcPr>
            <w:tcW w:w="501" w:type="pct"/>
            <w:vAlign w:val="center"/>
          </w:tcPr>
          <w:p w14:paraId="16BF555B" w14:textId="77777777" w:rsidR="00D5150E" w:rsidRPr="00F16A5E" w:rsidRDefault="00D5150E" w:rsidP="000363AF"/>
        </w:tc>
        <w:tc>
          <w:tcPr>
            <w:tcW w:w="526" w:type="pct"/>
            <w:vAlign w:val="center"/>
          </w:tcPr>
          <w:p w14:paraId="453A4E9D" w14:textId="77777777" w:rsidR="00D5150E" w:rsidRPr="00F16A5E" w:rsidRDefault="00D5150E" w:rsidP="000363AF"/>
        </w:tc>
      </w:tr>
      <w:tr w:rsidR="00D5150E" w:rsidRPr="00F16A5E" w14:paraId="509619B1" w14:textId="77777777" w:rsidTr="000363AF">
        <w:trPr>
          <w:trHeight w:val="397"/>
        </w:trPr>
        <w:tc>
          <w:tcPr>
            <w:tcW w:w="1205" w:type="pct"/>
            <w:gridSpan w:val="2"/>
            <w:vAlign w:val="center"/>
          </w:tcPr>
          <w:p w14:paraId="7478B2C3" w14:textId="77777777" w:rsidR="00D5150E" w:rsidRPr="00F16A5E" w:rsidRDefault="00D5150E" w:rsidP="000363AF">
            <w:pPr>
              <w:rPr>
                <w:b/>
                <w:bCs/>
              </w:rPr>
            </w:pPr>
            <w:r w:rsidRPr="00F16A5E">
              <w:rPr>
                <w:b/>
                <w:bCs/>
              </w:rPr>
              <w:t>serology HIV, HBV, HCV tests</w:t>
            </w:r>
            <w:r w:rsidRPr="00F16A5E">
              <w:rPr>
                <w:b/>
                <w:bCs/>
                <w:vertAlign w:val="superscript"/>
              </w:rPr>
              <w:t>13</w:t>
            </w:r>
          </w:p>
        </w:tc>
        <w:tc>
          <w:tcPr>
            <w:tcW w:w="402" w:type="pct"/>
            <w:vAlign w:val="center"/>
          </w:tcPr>
          <w:p w14:paraId="556ED7BA" w14:textId="77777777" w:rsidR="00D5150E" w:rsidRPr="00F16A5E" w:rsidRDefault="00D5150E" w:rsidP="000363AF">
            <w:r w:rsidRPr="00F16A5E">
              <w:t>X</w:t>
            </w:r>
          </w:p>
        </w:tc>
        <w:tc>
          <w:tcPr>
            <w:tcW w:w="236" w:type="pct"/>
            <w:vAlign w:val="center"/>
          </w:tcPr>
          <w:p w14:paraId="1856E233" w14:textId="77777777" w:rsidR="00D5150E" w:rsidRPr="00F16A5E" w:rsidRDefault="00D5150E" w:rsidP="000363AF"/>
        </w:tc>
        <w:tc>
          <w:tcPr>
            <w:tcW w:w="237" w:type="pct"/>
            <w:vAlign w:val="center"/>
          </w:tcPr>
          <w:p w14:paraId="58307A05" w14:textId="77777777" w:rsidR="00D5150E" w:rsidRPr="00F16A5E" w:rsidRDefault="00D5150E" w:rsidP="000363AF"/>
        </w:tc>
        <w:tc>
          <w:tcPr>
            <w:tcW w:w="473" w:type="pct"/>
            <w:vAlign w:val="center"/>
          </w:tcPr>
          <w:p w14:paraId="56C5F432" w14:textId="77777777" w:rsidR="00D5150E" w:rsidRPr="00F16A5E" w:rsidRDefault="00D5150E" w:rsidP="000363AF"/>
        </w:tc>
        <w:tc>
          <w:tcPr>
            <w:tcW w:w="473" w:type="pct"/>
            <w:vAlign w:val="center"/>
          </w:tcPr>
          <w:p w14:paraId="03360EF7" w14:textId="77777777" w:rsidR="00D5150E" w:rsidRPr="00F16A5E" w:rsidRDefault="00D5150E" w:rsidP="000363AF"/>
        </w:tc>
        <w:tc>
          <w:tcPr>
            <w:tcW w:w="493" w:type="pct"/>
            <w:shd w:val="clear" w:color="auto" w:fill="auto"/>
            <w:vAlign w:val="center"/>
          </w:tcPr>
          <w:p w14:paraId="4BE8C351" w14:textId="77777777" w:rsidR="00D5150E" w:rsidRPr="00F16A5E" w:rsidRDefault="00D5150E" w:rsidP="000363AF"/>
        </w:tc>
        <w:tc>
          <w:tcPr>
            <w:tcW w:w="454" w:type="pct"/>
            <w:vAlign w:val="center"/>
          </w:tcPr>
          <w:p w14:paraId="3B99CD00" w14:textId="77777777" w:rsidR="00D5150E" w:rsidRPr="00F16A5E" w:rsidRDefault="00D5150E" w:rsidP="000363AF"/>
        </w:tc>
        <w:tc>
          <w:tcPr>
            <w:tcW w:w="501" w:type="pct"/>
            <w:vAlign w:val="center"/>
          </w:tcPr>
          <w:p w14:paraId="165A49ED" w14:textId="77777777" w:rsidR="00D5150E" w:rsidRPr="00F16A5E" w:rsidRDefault="00D5150E" w:rsidP="000363AF"/>
        </w:tc>
        <w:tc>
          <w:tcPr>
            <w:tcW w:w="526" w:type="pct"/>
            <w:vAlign w:val="center"/>
          </w:tcPr>
          <w:p w14:paraId="20D2C32B" w14:textId="77777777" w:rsidR="00D5150E" w:rsidRPr="00F16A5E" w:rsidRDefault="00D5150E" w:rsidP="000363AF"/>
        </w:tc>
      </w:tr>
      <w:tr w:rsidR="00D5150E" w:rsidRPr="00F16A5E" w14:paraId="051FF032" w14:textId="77777777" w:rsidTr="000363AF">
        <w:trPr>
          <w:trHeight w:val="397"/>
        </w:trPr>
        <w:tc>
          <w:tcPr>
            <w:tcW w:w="1205" w:type="pct"/>
            <w:gridSpan w:val="2"/>
            <w:vAlign w:val="center"/>
          </w:tcPr>
          <w:p w14:paraId="296489AC" w14:textId="77777777" w:rsidR="00D5150E" w:rsidRPr="00F16A5E" w:rsidRDefault="00D5150E" w:rsidP="000363AF">
            <w:pPr>
              <w:rPr>
                <w:b/>
                <w:bCs/>
              </w:rPr>
            </w:pPr>
            <w:r w:rsidRPr="00F16A5E">
              <w:rPr>
                <w:b/>
                <w:bCs/>
              </w:rPr>
              <w:t>HBV DNA test</w:t>
            </w:r>
            <w:r w:rsidRPr="00F16A5E">
              <w:rPr>
                <w:b/>
                <w:bCs/>
                <w:vertAlign w:val="superscript"/>
              </w:rPr>
              <w:t>13</w:t>
            </w:r>
          </w:p>
        </w:tc>
        <w:tc>
          <w:tcPr>
            <w:tcW w:w="2768" w:type="pct"/>
            <w:gridSpan w:val="7"/>
            <w:vAlign w:val="center"/>
          </w:tcPr>
          <w:p w14:paraId="11025451" w14:textId="77777777" w:rsidR="00D5150E" w:rsidRPr="00F16A5E" w:rsidRDefault="00D5150E" w:rsidP="000363AF">
            <w:r w:rsidRPr="00F16A5E">
              <w:t>as clinically indicated</w:t>
            </w:r>
          </w:p>
        </w:tc>
        <w:tc>
          <w:tcPr>
            <w:tcW w:w="501" w:type="pct"/>
            <w:vAlign w:val="center"/>
          </w:tcPr>
          <w:p w14:paraId="2169702F" w14:textId="77777777" w:rsidR="00D5150E" w:rsidRPr="00F16A5E" w:rsidRDefault="00D5150E" w:rsidP="000363AF"/>
        </w:tc>
        <w:tc>
          <w:tcPr>
            <w:tcW w:w="526" w:type="pct"/>
            <w:vAlign w:val="center"/>
          </w:tcPr>
          <w:p w14:paraId="65017CDC" w14:textId="77777777" w:rsidR="00D5150E" w:rsidRPr="00F16A5E" w:rsidRDefault="00D5150E" w:rsidP="000363AF"/>
        </w:tc>
      </w:tr>
      <w:tr w:rsidR="00D5150E" w:rsidRPr="00F16A5E" w14:paraId="3B8FDDF1" w14:textId="77777777" w:rsidTr="000363AF">
        <w:trPr>
          <w:trHeight w:val="397"/>
        </w:trPr>
        <w:tc>
          <w:tcPr>
            <w:tcW w:w="1205" w:type="pct"/>
            <w:gridSpan w:val="2"/>
            <w:vAlign w:val="center"/>
          </w:tcPr>
          <w:p w14:paraId="354E73B3" w14:textId="77777777" w:rsidR="00D5150E" w:rsidRPr="00F16A5E" w:rsidRDefault="00D5150E" w:rsidP="000363AF">
            <w:pPr>
              <w:rPr>
                <w:b/>
                <w:bCs/>
              </w:rPr>
            </w:pPr>
            <w:r w:rsidRPr="00F16A5E">
              <w:rPr>
                <w:b/>
                <w:bCs/>
              </w:rPr>
              <w:t>12-lead ECG</w:t>
            </w:r>
            <w:r w:rsidRPr="00F16A5E">
              <w:rPr>
                <w:b/>
                <w:bCs/>
                <w:vertAlign w:val="superscript"/>
              </w:rPr>
              <w:t>14</w:t>
            </w:r>
          </w:p>
        </w:tc>
        <w:tc>
          <w:tcPr>
            <w:tcW w:w="402" w:type="pct"/>
            <w:vAlign w:val="center"/>
          </w:tcPr>
          <w:p w14:paraId="1DB96316" w14:textId="77777777" w:rsidR="00D5150E" w:rsidRPr="00F16A5E" w:rsidRDefault="00D5150E" w:rsidP="000363AF">
            <w:r w:rsidRPr="00F16A5E">
              <w:t>X</w:t>
            </w:r>
          </w:p>
        </w:tc>
        <w:tc>
          <w:tcPr>
            <w:tcW w:w="236" w:type="pct"/>
            <w:vAlign w:val="center"/>
          </w:tcPr>
          <w:p w14:paraId="6C1AFA49" w14:textId="77777777" w:rsidR="00D5150E" w:rsidRPr="00F16A5E" w:rsidRDefault="00D5150E" w:rsidP="000363AF">
            <w:r w:rsidRPr="00F16A5E">
              <w:t>X</w:t>
            </w:r>
          </w:p>
        </w:tc>
        <w:tc>
          <w:tcPr>
            <w:tcW w:w="237" w:type="pct"/>
            <w:vAlign w:val="center"/>
          </w:tcPr>
          <w:p w14:paraId="6200C4AB" w14:textId="77777777" w:rsidR="00D5150E" w:rsidRPr="00F16A5E" w:rsidRDefault="00D5150E" w:rsidP="000363AF">
            <w:r w:rsidRPr="00F16A5E">
              <w:t>X</w:t>
            </w:r>
          </w:p>
        </w:tc>
        <w:tc>
          <w:tcPr>
            <w:tcW w:w="473" w:type="pct"/>
            <w:vAlign w:val="center"/>
          </w:tcPr>
          <w:p w14:paraId="5285C197" w14:textId="77777777" w:rsidR="00D5150E" w:rsidRPr="00F16A5E" w:rsidRDefault="00D5150E" w:rsidP="000363AF">
            <w:r w:rsidRPr="00F16A5E">
              <w:t>X</w:t>
            </w:r>
          </w:p>
        </w:tc>
        <w:tc>
          <w:tcPr>
            <w:tcW w:w="473" w:type="pct"/>
            <w:vAlign w:val="center"/>
          </w:tcPr>
          <w:p w14:paraId="7060A627" w14:textId="77777777" w:rsidR="00D5150E" w:rsidRPr="00F16A5E" w:rsidRDefault="00D5150E" w:rsidP="000363AF">
            <w:r w:rsidRPr="00F16A5E">
              <w:t>X</w:t>
            </w:r>
          </w:p>
        </w:tc>
        <w:tc>
          <w:tcPr>
            <w:tcW w:w="493" w:type="pct"/>
            <w:vAlign w:val="center"/>
          </w:tcPr>
          <w:p w14:paraId="46D32060" w14:textId="77777777" w:rsidR="00D5150E" w:rsidRPr="00F16A5E" w:rsidRDefault="00D5150E" w:rsidP="000363AF">
            <w:r w:rsidRPr="00F16A5E">
              <w:t>X</w:t>
            </w:r>
          </w:p>
        </w:tc>
        <w:tc>
          <w:tcPr>
            <w:tcW w:w="454" w:type="pct"/>
            <w:vAlign w:val="center"/>
          </w:tcPr>
          <w:p w14:paraId="2C8DE69B" w14:textId="77777777" w:rsidR="00D5150E" w:rsidRPr="00F16A5E" w:rsidRDefault="00D5150E" w:rsidP="000363AF">
            <w:r w:rsidRPr="00F16A5E">
              <w:t>X</w:t>
            </w:r>
          </w:p>
        </w:tc>
        <w:tc>
          <w:tcPr>
            <w:tcW w:w="501" w:type="pct"/>
            <w:vAlign w:val="center"/>
          </w:tcPr>
          <w:p w14:paraId="5AD49914" w14:textId="77777777" w:rsidR="00D5150E" w:rsidRPr="00F16A5E" w:rsidRDefault="00D5150E" w:rsidP="000363AF">
            <w:r w:rsidRPr="00F16A5E">
              <w:t>X</w:t>
            </w:r>
          </w:p>
        </w:tc>
        <w:tc>
          <w:tcPr>
            <w:tcW w:w="526" w:type="pct"/>
            <w:vAlign w:val="center"/>
          </w:tcPr>
          <w:p w14:paraId="29018D20" w14:textId="77777777" w:rsidR="00D5150E" w:rsidRPr="00F16A5E" w:rsidRDefault="00D5150E" w:rsidP="000363AF">
            <w:r w:rsidRPr="00F16A5E">
              <w:t>X</w:t>
            </w:r>
          </w:p>
        </w:tc>
      </w:tr>
      <w:tr w:rsidR="00D5150E" w:rsidRPr="00F16A5E" w14:paraId="6BE230C8" w14:textId="77777777" w:rsidTr="000363AF">
        <w:trPr>
          <w:trHeight w:val="397"/>
        </w:trPr>
        <w:tc>
          <w:tcPr>
            <w:tcW w:w="1205" w:type="pct"/>
            <w:gridSpan w:val="2"/>
            <w:vAlign w:val="center"/>
          </w:tcPr>
          <w:p w14:paraId="19422DCF" w14:textId="77777777" w:rsidR="00D5150E" w:rsidRPr="00F16A5E" w:rsidRDefault="00D5150E" w:rsidP="000363AF">
            <w:pPr>
              <w:rPr>
                <w:b/>
                <w:bCs/>
              </w:rPr>
            </w:pPr>
            <w:r w:rsidRPr="00F16A5E">
              <w:rPr>
                <w:b/>
                <w:bCs/>
              </w:rPr>
              <w:lastRenderedPageBreak/>
              <w:t>Echocardiography</w:t>
            </w:r>
            <w:r w:rsidRPr="00F16A5E">
              <w:rPr>
                <w:b/>
                <w:bCs/>
                <w:vertAlign w:val="superscript"/>
              </w:rPr>
              <w:t>15</w:t>
            </w:r>
          </w:p>
        </w:tc>
        <w:tc>
          <w:tcPr>
            <w:tcW w:w="402" w:type="pct"/>
            <w:vAlign w:val="center"/>
          </w:tcPr>
          <w:p w14:paraId="1AE42E13" w14:textId="77777777" w:rsidR="00D5150E" w:rsidRPr="00F16A5E" w:rsidRDefault="00D5150E" w:rsidP="000363AF">
            <w:r w:rsidRPr="00F16A5E">
              <w:t>X</w:t>
            </w:r>
          </w:p>
        </w:tc>
        <w:tc>
          <w:tcPr>
            <w:tcW w:w="2366" w:type="pct"/>
            <w:gridSpan w:val="6"/>
            <w:shd w:val="clear" w:color="auto" w:fill="auto"/>
            <w:vAlign w:val="center"/>
          </w:tcPr>
          <w:p w14:paraId="3EC85A81" w14:textId="77777777" w:rsidR="00D5150E" w:rsidRPr="00F16A5E" w:rsidRDefault="00D5150E" w:rsidP="000363AF">
            <w:r w:rsidRPr="00F16A5E">
              <w:t>as clinically indicated</w:t>
            </w:r>
          </w:p>
        </w:tc>
        <w:tc>
          <w:tcPr>
            <w:tcW w:w="501" w:type="pct"/>
            <w:vAlign w:val="center"/>
          </w:tcPr>
          <w:p w14:paraId="2744EB45" w14:textId="77777777" w:rsidR="00D5150E" w:rsidRPr="00F16A5E" w:rsidRDefault="00D5150E" w:rsidP="000363AF">
            <w:r w:rsidRPr="00F16A5E">
              <w:t>X</w:t>
            </w:r>
            <w:r w:rsidRPr="00F16A5E">
              <w:rPr>
                <w:vertAlign w:val="superscript"/>
              </w:rPr>
              <w:t>15</w:t>
            </w:r>
          </w:p>
        </w:tc>
        <w:tc>
          <w:tcPr>
            <w:tcW w:w="526" w:type="pct"/>
            <w:vAlign w:val="center"/>
          </w:tcPr>
          <w:p w14:paraId="1A0278D5" w14:textId="77777777" w:rsidR="00D5150E" w:rsidRPr="00F16A5E" w:rsidRDefault="00D5150E" w:rsidP="000363AF">
            <w:r w:rsidRPr="00F16A5E">
              <w:t>as clinically indicated</w:t>
            </w:r>
          </w:p>
        </w:tc>
      </w:tr>
      <w:tr w:rsidR="00D5150E" w:rsidRPr="00F16A5E" w14:paraId="1BD1E554" w14:textId="77777777" w:rsidTr="000363AF">
        <w:trPr>
          <w:trHeight w:val="397"/>
        </w:trPr>
        <w:tc>
          <w:tcPr>
            <w:tcW w:w="1205" w:type="pct"/>
            <w:gridSpan w:val="2"/>
            <w:vAlign w:val="center"/>
          </w:tcPr>
          <w:p w14:paraId="5F766BB4" w14:textId="77777777" w:rsidR="00D5150E" w:rsidRPr="00F16A5E" w:rsidRDefault="00D5150E" w:rsidP="000363AF">
            <w:pPr>
              <w:rPr>
                <w:b/>
                <w:bCs/>
              </w:rPr>
            </w:pPr>
            <w:r w:rsidRPr="00F16A5E">
              <w:rPr>
                <w:b/>
                <w:bCs/>
              </w:rPr>
              <w:t>Adverse event recording</w:t>
            </w:r>
            <w:r w:rsidRPr="00F16A5E">
              <w:rPr>
                <w:b/>
                <w:bCs/>
                <w:vertAlign w:val="superscript"/>
              </w:rPr>
              <w:t>16</w:t>
            </w:r>
          </w:p>
        </w:tc>
        <w:tc>
          <w:tcPr>
            <w:tcW w:w="3795" w:type="pct"/>
            <w:gridSpan w:val="9"/>
            <w:vAlign w:val="center"/>
          </w:tcPr>
          <w:p w14:paraId="5D0ECCC1" w14:textId="77777777" w:rsidR="00D5150E" w:rsidRPr="00F16A5E" w:rsidRDefault="00D5150E" w:rsidP="000363AF">
            <w:r w:rsidRPr="00F16A5E">
              <w:t>X</w:t>
            </w:r>
          </w:p>
        </w:tc>
      </w:tr>
      <w:tr w:rsidR="00D5150E" w:rsidRPr="00F16A5E" w14:paraId="5CDCB688" w14:textId="77777777" w:rsidTr="000363AF">
        <w:trPr>
          <w:trHeight w:val="397"/>
        </w:trPr>
        <w:tc>
          <w:tcPr>
            <w:tcW w:w="5000" w:type="pct"/>
            <w:gridSpan w:val="11"/>
            <w:shd w:val="clear" w:color="auto" w:fill="BDD6EE" w:themeFill="accent5" w:themeFillTint="66"/>
            <w:vAlign w:val="center"/>
          </w:tcPr>
          <w:p w14:paraId="5E57797E" w14:textId="77777777" w:rsidR="00D5150E" w:rsidRPr="00F16A5E" w:rsidRDefault="00D5150E" w:rsidP="000363AF">
            <w:pPr>
              <w:jc w:val="center"/>
              <w:rPr>
                <w:b/>
                <w:bCs/>
              </w:rPr>
            </w:pPr>
            <w:r w:rsidRPr="00F16A5E">
              <w:rPr>
                <w:b/>
                <w:bCs/>
              </w:rPr>
              <w:t>PK, PD and other evaluations</w:t>
            </w:r>
          </w:p>
        </w:tc>
      </w:tr>
      <w:tr w:rsidR="00D5150E" w:rsidRPr="00F16A5E" w14:paraId="579E4562" w14:textId="77777777" w:rsidTr="000363AF">
        <w:trPr>
          <w:trHeight w:val="397"/>
        </w:trPr>
        <w:tc>
          <w:tcPr>
            <w:tcW w:w="1205" w:type="pct"/>
            <w:gridSpan w:val="2"/>
            <w:vAlign w:val="center"/>
          </w:tcPr>
          <w:p w14:paraId="1A535E7E" w14:textId="77777777" w:rsidR="00D5150E" w:rsidRPr="00F16A5E" w:rsidRDefault="00D5150E" w:rsidP="000363AF">
            <w:pPr>
              <w:rPr>
                <w:b/>
                <w:bCs/>
              </w:rPr>
            </w:pPr>
            <w:r w:rsidRPr="00F16A5E">
              <w:rPr>
                <w:b/>
                <w:bCs/>
              </w:rPr>
              <w:t>Pharmacokinetics Study</w:t>
            </w:r>
            <w:r w:rsidRPr="00F16A5E">
              <w:rPr>
                <w:b/>
                <w:bCs/>
                <w:vertAlign w:val="superscript"/>
              </w:rPr>
              <w:t>17</w:t>
            </w:r>
          </w:p>
        </w:tc>
        <w:tc>
          <w:tcPr>
            <w:tcW w:w="402" w:type="pct"/>
            <w:vAlign w:val="center"/>
          </w:tcPr>
          <w:p w14:paraId="0B5CCE82" w14:textId="77777777" w:rsidR="00D5150E" w:rsidRPr="00F16A5E" w:rsidRDefault="00D5150E" w:rsidP="000363AF"/>
        </w:tc>
        <w:tc>
          <w:tcPr>
            <w:tcW w:w="236" w:type="pct"/>
            <w:vAlign w:val="center"/>
          </w:tcPr>
          <w:p w14:paraId="026B16B0" w14:textId="77777777" w:rsidR="00D5150E" w:rsidRPr="00F16A5E" w:rsidRDefault="00D5150E" w:rsidP="000363AF">
            <w:r w:rsidRPr="00F16A5E">
              <w:t>X</w:t>
            </w:r>
          </w:p>
        </w:tc>
        <w:tc>
          <w:tcPr>
            <w:tcW w:w="237" w:type="pct"/>
            <w:vAlign w:val="center"/>
          </w:tcPr>
          <w:p w14:paraId="61522006" w14:textId="77777777" w:rsidR="00D5150E" w:rsidRPr="00F16A5E" w:rsidRDefault="00D5150E" w:rsidP="000363AF">
            <w:r w:rsidRPr="00F16A5E">
              <w:t>X</w:t>
            </w:r>
          </w:p>
        </w:tc>
        <w:tc>
          <w:tcPr>
            <w:tcW w:w="473" w:type="pct"/>
            <w:vAlign w:val="center"/>
          </w:tcPr>
          <w:p w14:paraId="26A367F7" w14:textId="77777777" w:rsidR="00D5150E" w:rsidRPr="00F16A5E" w:rsidRDefault="00D5150E" w:rsidP="000363AF">
            <w:r w:rsidRPr="00F16A5E">
              <w:t>X</w:t>
            </w:r>
          </w:p>
        </w:tc>
        <w:tc>
          <w:tcPr>
            <w:tcW w:w="473" w:type="pct"/>
            <w:vAlign w:val="center"/>
          </w:tcPr>
          <w:p w14:paraId="65D83AC8" w14:textId="77777777" w:rsidR="00D5150E" w:rsidRPr="00F16A5E" w:rsidRDefault="00D5150E" w:rsidP="000363AF"/>
        </w:tc>
        <w:tc>
          <w:tcPr>
            <w:tcW w:w="493" w:type="pct"/>
            <w:vAlign w:val="center"/>
          </w:tcPr>
          <w:p w14:paraId="3353F282" w14:textId="77777777" w:rsidR="00D5150E" w:rsidRPr="00F16A5E" w:rsidRDefault="00D5150E" w:rsidP="000363AF"/>
        </w:tc>
        <w:tc>
          <w:tcPr>
            <w:tcW w:w="454" w:type="pct"/>
            <w:vAlign w:val="center"/>
          </w:tcPr>
          <w:p w14:paraId="368B35A0" w14:textId="77777777" w:rsidR="00D5150E" w:rsidRPr="00F16A5E" w:rsidRDefault="00D5150E" w:rsidP="000363AF"/>
        </w:tc>
        <w:tc>
          <w:tcPr>
            <w:tcW w:w="501" w:type="pct"/>
            <w:vAlign w:val="center"/>
          </w:tcPr>
          <w:p w14:paraId="15951125" w14:textId="77777777" w:rsidR="00D5150E" w:rsidRPr="00F16A5E" w:rsidRDefault="00D5150E" w:rsidP="000363AF"/>
        </w:tc>
        <w:tc>
          <w:tcPr>
            <w:tcW w:w="526" w:type="pct"/>
            <w:vAlign w:val="center"/>
          </w:tcPr>
          <w:p w14:paraId="12BF8000" w14:textId="77777777" w:rsidR="00D5150E" w:rsidRPr="00F16A5E" w:rsidRDefault="00D5150E" w:rsidP="000363AF"/>
        </w:tc>
      </w:tr>
      <w:tr w:rsidR="00D5150E" w:rsidRPr="00F16A5E" w14:paraId="40B8C8EF" w14:textId="77777777" w:rsidTr="000363AF">
        <w:trPr>
          <w:trHeight w:val="397"/>
        </w:trPr>
        <w:tc>
          <w:tcPr>
            <w:tcW w:w="250" w:type="pct"/>
            <w:vMerge w:val="restart"/>
            <w:vAlign w:val="center"/>
          </w:tcPr>
          <w:p w14:paraId="6DD8A215" w14:textId="77777777" w:rsidR="00D5150E" w:rsidRPr="00F16A5E" w:rsidRDefault="00D5150E" w:rsidP="000363AF">
            <w:pPr>
              <w:rPr>
                <w:b/>
                <w:bCs/>
              </w:rPr>
            </w:pPr>
            <w:r w:rsidRPr="00F16A5E">
              <w:rPr>
                <w:b/>
                <w:bCs/>
              </w:rPr>
              <w:t>Pharmacodynamics study</w:t>
            </w:r>
            <w:r w:rsidRPr="00F16A5E">
              <w:rPr>
                <w:b/>
                <w:bCs/>
                <w:vertAlign w:val="superscript"/>
              </w:rPr>
              <w:t>18</w:t>
            </w:r>
          </w:p>
        </w:tc>
        <w:tc>
          <w:tcPr>
            <w:tcW w:w="955" w:type="pct"/>
            <w:vAlign w:val="center"/>
          </w:tcPr>
          <w:p w14:paraId="2ACEE588" w14:textId="77777777" w:rsidR="00D5150E" w:rsidRPr="00F16A5E" w:rsidRDefault="00D5150E" w:rsidP="000363AF">
            <w:pPr>
              <w:rPr>
                <w:b/>
                <w:bCs/>
              </w:rPr>
            </w:pPr>
            <w:r w:rsidRPr="00F16A5E">
              <w:rPr>
                <w:b/>
                <w:bCs/>
              </w:rPr>
              <w:t>anti-dsDNA antibody, ANA</w:t>
            </w:r>
          </w:p>
        </w:tc>
        <w:tc>
          <w:tcPr>
            <w:tcW w:w="402" w:type="pct"/>
            <w:vAlign w:val="center"/>
          </w:tcPr>
          <w:p w14:paraId="5E486D71" w14:textId="77777777" w:rsidR="00D5150E" w:rsidRPr="00F16A5E" w:rsidRDefault="00D5150E" w:rsidP="000363AF">
            <w:r w:rsidRPr="00F16A5E">
              <w:t>X</w:t>
            </w:r>
          </w:p>
        </w:tc>
        <w:tc>
          <w:tcPr>
            <w:tcW w:w="236" w:type="pct"/>
            <w:vAlign w:val="center"/>
          </w:tcPr>
          <w:p w14:paraId="1B9B7C7E" w14:textId="77777777" w:rsidR="00D5150E" w:rsidRPr="00F16A5E" w:rsidRDefault="00D5150E" w:rsidP="000363AF">
            <w:r w:rsidRPr="00F16A5E">
              <w:t>X</w:t>
            </w:r>
          </w:p>
        </w:tc>
        <w:tc>
          <w:tcPr>
            <w:tcW w:w="237" w:type="pct"/>
            <w:vAlign w:val="center"/>
          </w:tcPr>
          <w:p w14:paraId="3703AB97" w14:textId="77777777" w:rsidR="00D5150E" w:rsidRPr="00F16A5E" w:rsidRDefault="00D5150E" w:rsidP="000363AF"/>
        </w:tc>
        <w:tc>
          <w:tcPr>
            <w:tcW w:w="473" w:type="pct"/>
            <w:vAlign w:val="center"/>
          </w:tcPr>
          <w:p w14:paraId="22DA9414" w14:textId="77777777" w:rsidR="00D5150E" w:rsidRPr="00F16A5E" w:rsidRDefault="00D5150E" w:rsidP="000363AF"/>
        </w:tc>
        <w:tc>
          <w:tcPr>
            <w:tcW w:w="473" w:type="pct"/>
            <w:vAlign w:val="center"/>
          </w:tcPr>
          <w:p w14:paraId="366F7D09" w14:textId="77777777" w:rsidR="00D5150E" w:rsidRPr="00F16A5E" w:rsidRDefault="00D5150E" w:rsidP="000363AF">
            <w:r w:rsidRPr="00F16A5E">
              <w:t>X</w:t>
            </w:r>
          </w:p>
        </w:tc>
        <w:tc>
          <w:tcPr>
            <w:tcW w:w="493" w:type="pct"/>
            <w:vAlign w:val="center"/>
          </w:tcPr>
          <w:p w14:paraId="6E1C9DD4" w14:textId="77777777" w:rsidR="00D5150E" w:rsidRPr="00F16A5E" w:rsidRDefault="00D5150E" w:rsidP="000363AF"/>
        </w:tc>
        <w:tc>
          <w:tcPr>
            <w:tcW w:w="454" w:type="pct"/>
            <w:vAlign w:val="center"/>
          </w:tcPr>
          <w:p w14:paraId="5ADFCCDE" w14:textId="77777777" w:rsidR="00D5150E" w:rsidRPr="00F16A5E" w:rsidRDefault="00D5150E" w:rsidP="000363AF">
            <w:r w:rsidRPr="00F16A5E">
              <w:t>X</w:t>
            </w:r>
          </w:p>
        </w:tc>
        <w:tc>
          <w:tcPr>
            <w:tcW w:w="501" w:type="pct"/>
            <w:vAlign w:val="center"/>
          </w:tcPr>
          <w:p w14:paraId="56C34E6B" w14:textId="77777777" w:rsidR="00D5150E" w:rsidRPr="00F16A5E" w:rsidRDefault="00D5150E" w:rsidP="000363AF"/>
        </w:tc>
        <w:tc>
          <w:tcPr>
            <w:tcW w:w="526" w:type="pct"/>
            <w:vAlign w:val="center"/>
          </w:tcPr>
          <w:p w14:paraId="1DA43CAF" w14:textId="77777777" w:rsidR="00D5150E" w:rsidRPr="00F16A5E" w:rsidRDefault="00D5150E" w:rsidP="000363AF"/>
        </w:tc>
      </w:tr>
      <w:tr w:rsidR="00D5150E" w:rsidRPr="00F16A5E" w14:paraId="00D6FCF7" w14:textId="77777777" w:rsidTr="000363AF">
        <w:trPr>
          <w:trHeight w:val="397"/>
        </w:trPr>
        <w:tc>
          <w:tcPr>
            <w:tcW w:w="250" w:type="pct"/>
            <w:vMerge/>
            <w:vAlign w:val="center"/>
          </w:tcPr>
          <w:p w14:paraId="0C015DFB" w14:textId="77777777" w:rsidR="00D5150E" w:rsidRPr="00F16A5E" w:rsidRDefault="00D5150E" w:rsidP="000363AF"/>
        </w:tc>
        <w:tc>
          <w:tcPr>
            <w:tcW w:w="955" w:type="pct"/>
            <w:vAlign w:val="center"/>
          </w:tcPr>
          <w:p w14:paraId="2B7F21E7" w14:textId="77777777" w:rsidR="00D5150E" w:rsidRPr="00F16A5E" w:rsidRDefault="00D5150E" w:rsidP="000363AF">
            <w:pPr>
              <w:rPr>
                <w:b/>
                <w:bCs/>
              </w:rPr>
            </w:pPr>
            <w:r w:rsidRPr="00F16A5E">
              <w:rPr>
                <w:b/>
                <w:bCs/>
              </w:rPr>
              <w:t>Ig, C3, C4</w:t>
            </w:r>
          </w:p>
        </w:tc>
        <w:tc>
          <w:tcPr>
            <w:tcW w:w="402" w:type="pct"/>
            <w:vAlign w:val="center"/>
          </w:tcPr>
          <w:p w14:paraId="47446BD7" w14:textId="77777777" w:rsidR="00D5150E" w:rsidRPr="00F16A5E" w:rsidRDefault="00D5150E" w:rsidP="000363AF">
            <w:r w:rsidRPr="00F16A5E">
              <w:t>X</w:t>
            </w:r>
          </w:p>
        </w:tc>
        <w:tc>
          <w:tcPr>
            <w:tcW w:w="236" w:type="pct"/>
            <w:vAlign w:val="center"/>
          </w:tcPr>
          <w:p w14:paraId="26E9F78A" w14:textId="77777777" w:rsidR="00D5150E" w:rsidRPr="00F16A5E" w:rsidRDefault="00D5150E" w:rsidP="000363AF">
            <w:r w:rsidRPr="00F16A5E">
              <w:t>X</w:t>
            </w:r>
          </w:p>
        </w:tc>
        <w:tc>
          <w:tcPr>
            <w:tcW w:w="237" w:type="pct"/>
            <w:vAlign w:val="center"/>
          </w:tcPr>
          <w:p w14:paraId="78CA3A34" w14:textId="77777777" w:rsidR="00D5150E" w:rsidRPr="00F16A5E" w:rsidRDefault="00D5150E" w:rsidP="000363AF"/>
        </w:tc>
        <w:tc>
          <w:tcPr>
            <w:tcW w:w="473" w:type="pct"/>
            <w:vAlign w:val="center"/>
          </w:tcPr>
          <w:p w14:paraId="0127CB44" w14:textId="77777777" w:rsidR="00D5150E" w:rsidRPr="00F16A5E" w:rsidRDefault="00D5150E" w:rsidP="000363AF"/>
        </w:tc>
        <w:tc>
          <w:tcPr>
            <w:tcW w:w="473" w:type="pct"/>
            <w:vAlign w:val="center"/>
          </w:tcPr>
          <w:p w14:paraId="6EAD923E" w14:textId="77777777" w:rsidR="00D5150E" w:rsidRPr="00F16A5E" w:rsidRDefault="00D5150E" w:rsidP="000363AF">
            <w:r w:rsidRPr="00F16A5E">
              <w:t>X</w:t>
            </w:r>
          </w:p>
        </w:tc>
        <w:tc>
          <w:tcPr>
            <w:tcW w:w="493" w:type="pct"/>
            <w:vAlign w:val="center"/>
          </w:tcPr>
          <w:p w14:paraId="13D04A9D" w14:textId="77777777" w:rsidR="00D5150E" w:rsidRPr="00F16A5E" w:rsidRDefault="00D5150E" w:rsidP="000363AF"/>
        </w:tc>
        <w:tc>
          <w:tcPr>
            <w:tcW w:w="454" w:type="pct"/>
            <w:vAlign w:val="center"/>
          </w:tcPr>
          <w:p w14:paraId="38CB323E" w14:textId="77777777" w:rsidR="00D5150E" w:rsidRPr="00F16A5E" w:rsidRDefault="00D5150E" w:rsidP="000363AF">
            <w:r w:rsidRPr="00F16A5E">
              <w:t>X</w:t>
            </w:r>
          </w:p>
        </w:tc>
        <w:tc>
          <w:tcPr>
            <w:tcW w:w="501" w:type="pct"/>
            <w:vAlign w:val="center"/>
          </w:tcPr>
          <w:p w14:paraId="665339C1" w14:textId="77777777" w:rsidR="00D5150E" w:rsidRPr="00F16A5E" w:rsidRDefault="00D5150E" w:rsidP="000363AF"/>
        </w:tc>
        <w:tc>
          <w:tcPr>
            <w:tcW w:w="526" w:type="pct"/>
            <w:vAlign w:val="center"/>
          </w:tcPr>
          <w:p w14:paraId="21DB9B06" w14:textId="77777777" w:rsidR="00D5150E" w:rsidRPr="00F16A5E" w:rsidRDefault="00D5150E" w:rsidP="000363AF"/>
        </w:tc>
      </w:tr>
      <w:tr w:rsidR="00D5150E" w:rsidRPr="00F16A5E" w14:paraId="77BF45F5" w14:textId="77777777" w:rsidTr="000363AF">
        <w:trPr>
          <w:trHeight w:val="397"/>
        </w:trPr>
        <w:tc>
          <w:tcPr>
            <w:tcW w:w="250" w:type="pct"/>
            <w:vMerge/>
            <w:vAlign w:val="center"/>
          </w:tcPr>
          <w:p w14:paraId="52B343A8" w14:textId="77777777" w:rsidR="00D5150E" w:rsidRPr="00F16A5E" w:rsidRDefault="00D5150E" w:rsidP="000363AF"/>
        </w:tc>
        <w:tc>
          <w:tcPr>
            <w:tcW w:w="955" w:type="pct"/>
            <w:vAlign w:val="center"/>
          </w:tcPr>
          <w:p w14:paraId="42375927" w14:textId="77777777" w:rsidR="00D5150E" w:rsidRPr="00F16A5E" w:rsidRDefault="00D5150E" w:rsidP="000363AF">
            <w:pPr>
              <w:rPr>
                <w:b/>
                <w:bCs/>
              </w:rPr>
            </w:pPr>
            <w:r w:rsidRPr="00F16A5E">
              <w:rPr>
                <w:b/>
                <w:bCs/>
              </w:rPr>
              <w:t>IFN-α</w:t>
            </w:r>
          </w:p>
        </w:tc>
        <w:tc>
          <w:tcPr>
            <w:tcW w:w="402" w:type="pct"/>
            <w:vAlign w:val="center"/>
          </w:tcPr>
          <w:p w14:paraId="6063F94B" w14:textId="77777777" w:rsidR="00D5150E" w:rsidRPr="00F16A5E" w:rsidRDefault="00D5150E" w:rsidP="000363AF"/>
        </w:tc>
        <w:tc>
          <w:tcPr>
            <w:tcW w:w="236" w:type="pct"/>
            <w:vAlign w:val="center"/>
          </w:tcPr>
          <w:p w14:paraId="765FA110" w14:textId="77777777" w:rsidR="00D5150E" w:rsidRPr="00F16A5E" w:rsidRDefault="00D5150E" w:rsidP="000363AF">
            <w:r w:rsidRPr="00F16A5E">
              <w:t>X</w:t>
            </w:r>
          </w:p>
        </w:tc>
        <w:tc>
          <w:tcPr>
            <w:tcW w:w="237" w:type="pct"/>
            <w:vAlign w:val="center"/>
          </w:tcPr>
          <w:p w14:paraId="4DB2D574" w14:textId="77777777" w:rsidR="00D5150E" w:rsidRPr="00F16A5E" w:rsidRDefault="00D5150E" w:rsidP="000363AF"/>
        </w:tc>
        <w:tc>
          <w:tcPr>
            <w:tcW w:w="473" w:type="pct"/>
            <w:vAlign w:val="center"/>
          </w:tcPr>
          <w:p w14:paraId="60B399AE" w14:textId="77777777" w:rsidR="00D5150E" w:rsidRPr="00F16A5E" w:rsidRDefault="00D5150E" w:rsidP="000363AF"/>
        </w:tc>
        <w:tc>
          <w:tcPr>
            <w:tcW w:w="473" w:type="pct"/>
            <w:vAlign w:val="center"/>
          </w:tcPr>
          <w:p w14:paraId="651BA08B" w14:textId="77777777" w:rsidR="00D5150E" w:rsidRPr="00F16A5E" w:rsidRDefault="00D5150E" w:rsidP="000363AF">
            <w:r w:rsidRPr="00F16A5E">
              <w:t>X</w:t>
            </w:r>
          </w:p>
        </w:tc>
        <w:tc>
          <w:tcPr>
            <w:tcW w:w="493" w:type="pct"/>
            <w:vAlign w:val="center"/>
          </w:tcPr>
          <w:p w14:paraId="6FEAE9C2" w14:textId="77777777" w:rsidR="00D5150E" w:rsidRPr="00F16A5E" w:rsidRDefault="00D5150E" w:rsidP="000363AF"/>
        </w:tc>
        <w:tc>
          <w:tcPr>
            <w:tcW w:w="454" w:type="pct"/>
            <w:vAlign w:val="center"/>
          </w:tcPr>
          <w:p w14:paraId="22169B95" w14:textId="77777777" w:rsidR="00D5150E" w:rsidRPr="00F16A5E" w:rsidRDefault="00D5150E" w:rsidP="000363AF">
            <w:r w:rsidRPr="00F16A5E">
              <w:t>X</w:t>
            </w:r>
          </w:p>
        </w:tc>
        <w:tc>
          <w:tcPr>
            <w:tcW w:w="501" w:type="pct"/>
            <w:vAlign w:val="center"/>
          </w:tcPr>
          <w:p w14:paraId="585B7061" w14:textId="77777777" w:rsidR="00D5150E" w:rsidRPr="00F16A5E" w:rsidRDefault="00D5150E" w:rsidP="000363AF"/>
        </w:tc>
        <w:tc>
          <w:tcPr>
            <w:tcW w:w="526" w:type="pct"/>
            <w:vAlign w:val="center"/>
          </w:tcPr>
          <w:p w14:paraId="46F31D7E" w14:textId="77777777" w:rsidR="00D5150E" w:rsidRPr="00F16A5E" w:rsidRDefault="00D5150E" w:rsidP="000363AF"/>
        </w:tc>
      </w:tr>
      <w:tr w:rsidR="00D5150E" w:rsidRPr="00F16A5E" w14:paraId="3095AEFC" w14:textId="77777777" w:rsidTr="000363AF">
        <w:trPr>
          <w:trHeight w:val="397"/>
        </w:trPr>
        <w:tc>
          <w:tcPr>
            <w:tcW w:w="250" w:type="pct"/>
            <w:vMerge/>
            <w:vAlign w:val="center"/>
          </w:tcPr>
          <w:p w14:paraId="7FEBCA60" w14:textId="77777777" w:rsidR="00D5150E" w:rsidRPr="00F16A5E" w:rsidRDefault="00D5150E" w:rsidP="000363AF"/>
        </w:tc>
        <w:tc>
          <w:tcPr>
            <w:tcW w:w="955" w:type="pct"/>
            <w:vAlign w:val="center"/>
          </w:tcPr>
          <w:p w14:paraId="13BFC72E" w14:textId="77777777" w:rsidR="00D5150E" w:rsidRPr="00F16A5E" w:rsidRDefault="00D5150E" w:rsidP="000363AF">
            <w:pPr>
              <w:rPr>
                <w:b/>
                <w:bCs/>
              </w:rPr>
            </w:pPr>
            <w:r w:rsidRPr="00F16A5E">
              <w:rPr>
                <w:b/>
                <w:bCs/>
              </w:rPr>
              <w:t>IL-6</w:t>
            </w:r>
          </w:p>
        </w:tc>
        <w:tc>
          <w:tcPr>
            <w:tcW w:w="402" w:type="pct"/>
            <w:vAlign w:val="center"/>
          </w:tcPr>
          <w:p w14:paraId="3F48DE64" w14:textId="77777777" w:rsidR="00D5150E" w:rsidRPr="00F16A5E" w:rsidRDefault="00D5150E" w:rsidP="000363AF"/>
        </w:tc>
        <w:tc>
          <w:tcPr>
            <w:tcW w:w="236" w:type="pct"/>
            <w:vAlign w:val="center"/>
          </w:tcPr>
          <w:p w14:paraId="69888262" w14:textId="77777777" w:rsidR="00D5150E" w:rsidRPr="00F16A5E" w:rsidRDefault="00D5150E" w:rsidP="000363AF">
            <w:r w:rsidRPr="00F16A5E">
              <w:t>X</w:t>
            </w:r>
          </w:p>
        </w:tc>
        <w:tc>
          <w:tcPr>
            <w:tcW w:w="237" w:type="pct"/>
            <w:vAlign w:val="center"/>
          </w:tcPr>
          <w:p w14:paraId="34FEE48F" w14:textId="77777777" w:rsidR="00D5150E" w:rsidRPr="00F16A5E" w:rsidRDefault="00D5150E" w:rsidP="000363AF"/>
        </w:tc>
        <w:tc>
          <w:tcPr>
            <w:tcW w:w="473" w:type="pct"/>
            <w:vAlign w:val="center"/>
          </w:tcPr>
          <w:p w14:paraId="31931E90" w14:textId="77777777" w:rsidR="00D5150E" w:rsidRPr="00F16A5E" w:rsidRDefault="00D5150E" w:rsidP="000363AF"/>
        </w:tc>
        <w:tc>
          <w:tcPr>
            <w:tcW w:w="473" w:type="pct"/>
            <w:vAlign w:val="center"/>
          </w:tcPr>
          <w:p w14:paraId="74084144" w14:textId="77777777" w:rsidR="00D5150E" w:rsidRPr="00F16A5E" w:rsidRDefault="00D5150E" w:rsidP="000363AF">
            <w:r w:rsidRPr="00F16A5E">
              <w:t>X</w:t>
            </w:r>
          </w:p>
        </w:tc>
        <w:tc>
          <w:tcPr>
            <w:tcW w:w="493" w:type="pct"/>
            <w:vAlign w:val="center"/>
          </w:tcPr>
          <w:p w14:paraId="7BBCCE6D" w14:textId="77777777" w:rsidR="00D5150E" w:rsidRPr="00F16A5E" w:rsidRDefault="00D5150E" w:rsidP="000363AF"/>
        </w:tc>
        <w:tc>
          <w:tcPr>
            <w:tcW w:w="454" w:type="pct"/>
            <w:vAlign w:val="center"/>
          </w:tcPr>
          <w:p w14:paraId="15482E33" w14:textId="77777777" w:rsidR="00D5150E" w:rsidRPr="00F16A5E" w:rsidRDefault="00D5150E" w:rsidP="000363AF">
            <w:r w:rsidRPr="00F16A5E">
              <w:t>X</w:t>
            </w:r>
          </w:p>
        </w:tc>
        <w:tc>
          <w:tcPr>
            <w:tcW w:w="501" w:type="pct"/>
            <w:vAlign w:val="center"/>
          </w:tcPr>
          <w:p w14:paraId="0D212516" w14:textId="77777777" w:rsidR="00D5150E" w:rsidRPr="00F16A5E" w:rsidRDefault="00D5150E" w:rsidP="000363AF"/>
        </w:tc>
        <w:tc>
          <w:tcPr>
            <w:tcW w:w="526" w:type="pct"/>
            <w:vAlign w:val="center"/>
          </w:tcPr>
          <w:p w14:paraId="4B986634" w14:textId="77777777" w:rsidR="00D5150E" w:rsidRPr="00F16A5E" w:rsidRDefault="00D5150E" w:rsidP="000363AF"/>
        </w:tc>
      </w:tr>
      <w:tr w:rsidR="00D5150E" w:rsidRPr="00F16A5E" w14:paraId="185BE535" w14:textId="77777777" w:rsidTr="000363AF">
        <w:trPr>
          <w:trHeight w:val="397"/>
        </w:trPr>
        <w:tc>
          <w:tcPr>
            <w:tcW w:w="250" w:type="pct"/>
            <w:vMerge/>
            <w:vAlign w:val="center"/>
          </w:tcPr>
          <w:p w14:paraId="7966C812" w14:textId="77777777" w:rsidR="00D5150E" w:rsidRPr="00F16A5E" w:rsidRDefault="00D5150E" w:rsidP="000363AF"/>
        </w:tc>
        <w:tc>
          <w:tcPr>
            <w:tcW w:w="955" w:type="pct"/>
            <w:vAlign w:val="center"/>
          </w:tcPr>
          <w:p w14:paraId="77164229" w14:textId="77777777" w:rsidR="00D5150E" w:rsidRPr="00F16A5E" w:rsidRDefault="00D5150E" w:rsidP="000363AF">
            <w:pPr>
              <w:rPr>
                <w:b/>
                <w:bCs/>
              </w:rPr>
            </w:pPr>
            <w:r w:rsidRPr="00F16A5E">
              <w:rPr>
                <w:b/>
                <w:bCs/>
              </w:rPr>
              <w:t xml:space="preserve">total B cell, </w:t>
            </w:r>
            <w:proofErr w:type="spellStart"/>
            <w:r w:rsidRPr="00F16A5E">
              <w:rPr>
                <w:b/>
                <w:bCs/>
              </w:rPr>
              <w:t>B</w:t>
            </w:r>
            <w:r w:rsidRPr="00F16A5E">
              <w:rPr>
                <w:b/>
                <w:bCs/>
                <w:vertAlign w:val="subscript"/>
              </w:rPr>
              <w:t>effs</w:t>
            </w:r>
            <w:proofErr w:type="spellEnd"/>
            <w:r w:rsidRPr="00F16A5E">
              <w:rPr>
                <w:b/>
                <w:bCs/>
                <w:vertAlign w:val="subscript"/>
              </w:rPr>
              <w:t xml:space="preserve"> </w:t>
            </w:r>
            <w:r w:rsidRPr="00F16A5E">
              <w:rPr>
                <w:b/>
                <w:bCs/>
              </w:rPr>
              <w:t xml:space="preserve">, </w:t>
            </w:r>
            <w:proofErr w:type="spellStart"/>
            <w:r w:rsidRPr="00F16A5E">
              <w:rPr>
                <w:b/>
                <w:bCs/>
              </w:rPr>
              <w:t>B</w:t>
            </w:r>
            <w:r w:rsidRPr="00F16A5E">
              <w:rPr>
                <w:b/>
                <w:bCs/>
                <w:vertAlign w:val="subscript"/>
              </w:rPr>
              <w:t>regs</w:t>
            </w:r>
            <w:proofErr w:type="spellEnd"/>
            <w:r w:rsidRPr="00F16A5E">
              <w:rPr>
                <w:b/>
                <w:bCs/>
              </w:rPr>
              <w:t xml:space="preserve"> counts</w:t>
            </w:r>
          </w:p>
        </w:tc>
        <w:tc>
          <w:tcPr>
            <w:tcW w:w="402" w:type="pct"/>
            <w:vAlign w:val="center"/>
          </w:tcPr>
          <w:p w14:paraId="2BF52731" w14:textId="77777777" w:rsidR="00D5150E" w:rsidRPr="00F16A5E" w:rsidRDefault="00D5150E" w:rsidP="000363AF"/>
        </w:tc>
        <w:tc>
          <w:tcPr>
            <w:tcW w:w="236" w:type="pct"/>
            <w:vAlign w:val="center"/>
          </w:tcPr>
          <w:p w14:paraId="76ED45DC" w14:textId="77777777" w:rsidR="00D5150E" w:rsidRPr="00F16A5E" w:rsidRDefault="00D5150E" w:rsidP="000363AF">
            <w:r w:rsidRPr="00F16A5E">
              <w:t>X</w:t>
            </w:r>
          </w:p>
        </w:tc>
        <w:tc>
          <w:tcPr>
            <w:tcW w:w="237" w:type="pct"/>
            <w:vAlign w:val="center"/>
          </w:tcPr>
          <w:p w14:paraId="079DF892" w14:textId="77777777" w:rsidR="00D5150E" w:rsidRPr="00F16A5E" w:rsidRDefault="00D5150E" w:rsidP="000363AF"/>
        </w:tc>
        <w:tc>
          <w:tcPr>
            <w:tcW w:w="473" w:type="pct"/>
            <w:vAlign w:val="center"/>
          </w:tcPr>
          <w:p w14:paraId="52559F07" w14:textId="77777777" w:rsidR="00D5150E" w:rsidRPr="00F16A5E" w:rsidRDefault="00D5150E" w:rsidP="000363AF"/>
        </w:tc>
        <w:tc>
          <w:tcPr>
            <w:tcW w:w="473" w:type="pct"/>
            <w:vAlign w:val="center"/>
          </w:tcPr>
          <w:p w14:paraId="39C2ACE8" w14:textId="77777777" w:rsidR="00D5150E" w:rsidRPr="00F16A5E" w:rsidRDefault="00D5150E" w:rsidP="000363AF">
            <w:r w:rsidRPr="00F16A5E">
              <w:t>X</w:t>
            </w:r>
          </w:p>
        </w:tc>
        <w:tc>
          <w:tcPr>
            <w:tcW w:w="493" w:type="pct"/>
            <w:vAlign w:val="center"/>
          </w:tcPr>
          <w:p w14:paraId="7C700031" w14:textId="77777777" w:rsidR="00D5150E" w:rsidRPr="00F16A5E" w:rsidRDefault="00D5150E" w:rsidP="000363AF"/>
        </w:tc>
        <w:tc>
          <w:tcPr>
            <w:tcW w:w="454" w:type="pct"/>
            <w:vAlign w:val="center"/>
          </w:tcPr>
          <w:p w14:paraId="6FC455AD" w14:textId="77777777" w:rsidR="00D5150E" w:rsidRPr="00F16A5E" w:rsidRDefault="00D5150E" w:rsidP="000363AF">
            <w:r w:rsidRPr="00F16A5E">
              <w:t>X</w:t>
            </w:r>
          </w:p>
        </w:tc>
        <w:tc>
          <w:tcPr>
            <w:tcW w:w="501" w:type="pct"/>
            <w:vAlign w:val="center"/>
          </w:tcPr>
          <w:p w14:paraId="5A17D40B" w14:textId="77777777" w:rsidR="00D5150E" w:rsidRPr="00F16A5E" w:rsidRDefault="00D5150E" w:rsidP="000363AF"/>
        </w:tc>
        <w:tc>
          <w:tcPr>
            <w:tcW w:w="526" w:type="pct"/>
            <w:vAlign w:val="center"/>
          </w:tcPr>
          <w:p w14:paraId="5F2E901F" w14:textId="77777777" w:rsidR="00D5150E" w:rsidRPr="00F16A5E" w:rsidRDefault="00D5150E" w:rsidP="000363AF"/>
        </w:tc>
      </w:tr>
      <w:tr w:rsidR="00D5150E" w:rsidRPr="00F16A5E" w14:paraId="6C6E62AF" w14:textId="77777777" w:rsidTr="000363AF">
        <w:trPr>
          <w:trHeight w:val="397"/>
        </w:trPr>
        <w:tc>
          <w:tcPr>
            <w:tcW w:w="250" w:type="pct"/>
            <w:vMerge/>
            <w:vAlign w:val="center"/>
          </w:tcPr>
          <w:p w14:paraId="1874E3F8" w14:textId="77777777" w:rsidR="00D5150E" w:rsidRPr="00F16A5E" w:rsidRDefault="00D5150E" w:rsidP="000363AF"/>
        </w:tc>
        <w:tc>
          <w:tcPr>
            <w:tcW w:w="955" w:type="pct"/>
            <w:vAlign w:val="center"/>
          </w:tcPr>
          <w:p w14:paraId="575A6008" w14:textId="77777777" w:rsidR="00D5150E" w:rsidRPr="00F16A5E" w:rsidRDefault="00D5150E" w:rsidP="000363AF">
            <w:pPr>
              <w:rPr>
                <w:b/>
                <w:bCs/>
              </w:rPr>
            </w:pPr>
            <w:r w:rsidRPr="00F16A5E">
              <w:rPr>
                <w:b/>
                <w:bCs/>
              </w:rPr>
              <w:t>Sedimentation rate</w:t>
            </w:r>
          </w:p>
        </w:tc>
        <w:tc>
          <w:tcPr>
            <w:tcW w:w="402" w:type="pct"/>
            <w:vAlign w:val="center"/>
          </w:tcPr>
          <w:p w14:paraId="412302ED" w14:textId="77777777" w:rsidR="00D5150E" w:rsidRPr="00F16A5E" w:rsidRDefault="00D5150E" w:rsidP="000363AF"/>
        </w:tc>
        <w:tc>
          <w:tcPr>
            <w:tcW w:w="236" w:type="pct"/>
            <w:vAlign w:val="center"/>
          </w:tcPr>
          <w:p w14:paraId="773406C6" w14:textId="77777777" w:rsidR="00D5150E" w:rsidRPr="00F16A5E" w:rsidRDefault="00D5150E" w:rsidP="000363AF">
            <w:r w:rsidRPr="00F16A5E">
              <w:t>X</w:t>
            </w:r>
          </w:p>
        </w:tc>
        <w:tc>
          <w:tcPr>
            <w:tcW w:w="237" w:type="pct"/>
            <w:vAlign w:val="center"/>
          </w:tcPr>
          <w:p w14:paraId="21F4E17A" w14:textId="77777777" w:rsidR="00D5150E" w:rsidRPr="00F16A5E" w:rsidRDefault="00D5150E" w:rsidP="000363AF"/>
        </w:tc>
        <w:tc>
          <w:tcPr>
            <w:tcW w:w="473" w:type="pct"/>
            <w:vAlign w:val="center"/>
          </w:tcPr>
          <w:p w14:paraId="4A7ACF6D" w14:textId="77777777" w:rsidR="00D5150E" w:rsidRPr="00F16A5E" w:rsidRDefault="00D5150E" w:rsidP="000363AF"/>
        </w:tc>
        <w:tc>
          <w:tcPr>
            <w:tcW w:w="473" w:type="pct"/>
            <w:vAlign w:val="center"/>
          </w:tcPr>
          <w:p w14:paraId="647454B9" w14:textId="77777777" w:rsidR="00D5150E" w:rsidRPr="00F16A5E" w:rsidRDefault="00D5150E" w:rsidP="000363AF">
            <w:r w:rsidRPr="00F16A5E">
              <w:t>X</w:t>
            </w:r>
          </w:p>
        </w:tc>
        <w:tc>
          <w:tcPr>
            <w:tcW w:w="493" w:type="pct"/>
            <w:vAlign w:val="center"/>
          </w:tcPr>
          <w:p w14:paraId="5DE32C06" w14:textId="77777777" w:rsidR="00D5150E" w:rsidRPr="00F16A5E" w:rsidRDefault="00D5150E" w:rsidP="000363AF"/>
        </w:tc>
        <w:tc>
          <w:tcPr>
            <w:tcW w:w="454" w:type="pct"/>
            <w:vAlign w:val="center"/>
          </w:tcPr>
          <w:p w14:paraId="6F1CD4D1" w14:textId="77777777" w:rsidR="00D5150E" w:rsidRPr="00F16A5E" w:rsidRDefault="00D5150E" w:rsidP="000363AF">
            <w:r w:rsidRPr="00F16A5E">
              <w:t>X</w:t>
            </w:r>
          </w:p>
        </w:tc>
        <w:tc>
          <w:tcPr>
            <w:tcW w:w="501" w:type="pct"/>
            <w:vAlign w:val="center"/>
          </w:tcPr>
          <w:p w14:paraId="401D52AF" w14:textId="77777777" w:rsidR="00D5150E" w:rsidRPr="00F16A5E" w:rsidRDefault="00D5150E" w:rsidP="000363AF"/>
        </w:tc>
        <w:tc>
          <w:tcPr>
            <w:tcW w:w="526" w:type="pct"/>
            <w:vAlign w:val="center"/>
          </w:tcPr>
          <w:p w14:paraId="3FF9C7AF" w14:textId="77777777" w:rsidR="00D5150E" w:rsidRPr="00F16A5E" w:rsidRDefault="00D5150E" w:rsidP="000363AF"/>
        </w:tc>
      </w:tr>
      <w:tr w:rsidR="00D5150E" w:rsidRPr="00F16A5E" w14:paraId="17B54820" w14:textId="77777777" w:rsidTr="000363AF">
        <w:trPr>
          <w:trHeight w:val="397"/>
        </w:trPr>
        <w:tc>
          <w:tcPr>
            <w:tcW w:w="1205" w:type="pct"/>
            <w:gridSpan w:val="2"/>
            <w:vAlign w:val="center"/>
          </w:tcPr>
          <w:p w14:paraId="61CCB2CE" w14:textId="77777777" w:rsidR="00D5150E" w:rsidRPr="00F16A5E" w:rsidRDefault="00D5150E" w:rsidP="000363AF">
            <w:pPr>
              <w:rPr>
                <w:b/>
                <w:bCs/>
              </w:rPr>
            </w:pPr>
            <w:r w:rsidRPr="00F16A5E">
              <w:rPr>
                <w:b/>
                <w:bCs/>
              </w:rPr>
              <w:t>Target Occupancy</w:t>
            </w:r>
            <w:r w:rsidRPr="00F16A5E">
              <w:rPr>
                <w:b/>
                <w:bCs/>
                <w:vertAlign w:val="superscript"/>
              </w:rPr>
              <w:t>19</w:t>
            </w:r>
          </w:p>
        </w:tc>
        <w:tc>
          <w:tcPr>
            <w:tcW w:w="402" w:type="pct"/>
            <w:vAlign w:val="center"/>
          </w:tcPr>
          <w:p w14:paraId="04F483F2" w14:textId="77777777" w:rsidR="00D5150E" w:rsidRPr="00F16A5E" w:rsidRDefault="00D5150E" w:rsidP="000363AF">
            <w:r w:rsidRPr="00F16A5E">
              <w:t>X</w:t>
            </w:r>
          </w:p>
        </w:tc>
        <w:tc>
          <w:tcPr>
            <w:tcW w:w="236" w:type="pct"/>
            <w:vAlign w:val="center"/>
          </w:tcPr>
          <w:p w14:paraId="33769F1A" w14:textId="77777777" w:rsidR="00D5150E" w:rsidRPr="00F16A5E" w:rsidRDefault="00D5150E" w:rsidP="000363AF">
            <w:r w:rsidRPr="00F16A5E">
              <w:t>X</w:t>
            </w:r>
          </w:p>
        </w:tc>
        <w:tc>
          <w:tcPr>
            <w:tcW w:w="237" w:type="pct"/>
            <w:vAlign w:val="center"/>
          </w:tcPr>
          <w:p w14:paraId="68C26728" w14:textId="77777777" w:rsidR="00D5150E" w:rsidRPr="00F16A5E" w:rsidRDefault="00D5150E" w:rsidP="000363AF"/>
        </w:tc>
        <w:tc>
          <w:tcPr>
            <w:tcW w:w="473" w:type="pct"/>
            <w:vAlign w:val="center"/>
          </w:tcPr>
          <w:p w14:paraId="04FC6B03" w14:textId="77777777" w:rsidR="00D5150E" w:rsidRPr="00F16A5E" w:rsidRDefault="00D5150E" w:rsidP="000363AF">
            <w:r w:rsidRPr="00F16A5E">
              <w:t>X</w:t>
            </w:r>
          </w:p>
        </w:tc>
        <w:tc>
          <w:tcPr>
            <w:tcW w:w="473" w:type="pct"/>
            <w:vAlign w:val="center"/>
          </w:tcPr>
          <w:p w14:paraId="62A200C5" w14:textId="77777777" w:rsidR="00D5150E" w:rsidRPr="00F16A5E" w:rsidRDefault="00D5150E" w:rsidP="000363AF"/>
        </w:tc>
        <w:tc>
          <w:tcPr>
            <w:tcW w:w="493" w:type="pct"/>
            <w:vAlign w:val="center"/>
          </w:tcPr>
          <w:p w14:paraId="7C04659F" w14:textId="77777777" w:rsidR="00D5150E" w:rsidRPr="00F16A5E" w:rsidRDefault="00D5150E" w:rsidP="000363AF"/>
        </w:tc>
        <w:tc>
          <w:tcPr>
            <w:tcW w:w="454" w:type="pct"/>
            <w:vAlign w:val="center"/>
          </w:tcPr>
          <w:p w14:paraId="4FBB7FB8" w14:textId="77777777" w:rsidR="00D5150E" w:rsidRPr="00F16A5E" w:rsidRDefault="00D5150E" w:rsidP="000363AF"/>
        </w:tc>
        <w:tc>
          <w:tcPr>
            <w:tcW w:w="501" w:type="pct"/>
            <w:vAlign w:val="center"/>
          </w:tcPr>
          <w:p w14:paraId="671F9287" w14:textId="77777777" w:rsidR="00D5150E" w:rsidRPr="00F16A5E" w:rsidRDefault="00D5150E" w:rsidP="000363AF"/>
        </w:tc>
        <w:tc>
          <w:tcPr>
            <w:tcW w:w="526" w:type="pct"/>
            <w:vAlign w:val="center"/>
          </w:tcPr>
          <w:p w14:paraId="41453955" w14:textId="77777777" w:rsidR="00D5150E" w:rsidRPr="00F16A5E" w:rsidRDefault="00D5150E" w:rsidP="000363AF"/>
        </w:tc>
      </w:tr>
      <w:tr w:rsidR="00D5150E" w:rsidRPr="00F16A5E" w14:paraId="7F3CBF30" w14:textId="77777777" w:rsidTr="000363AF">
        <w:trPr>
          <w:trHeight w:val="397"/>
        </w:trPr>
        <w:tc>
          <w:tcPr>
            <w:tcW w:w="1205" w:type="pct"/>
            <w:gridSpan w:val="2"/>
            <w:vAlign w:val="center"/>
          </w:tcPr>
          <w:p w14:paraId="209CA9BA" w14:textId="77777777" w:rsidR="00D5150E" w:rsidRPr="00F16A5E" w:rsidRDefault="00D5150E" w:rsidP="000363AF">
            <w:pPr>
              <w:rPr>
                <w:b/>
                <w:bCs/>
              </w:rPr>
            </w:pPr>
            <w:r w:rsidRPr="00F16A5E">
              <w:rPr>
                <w:b/>
                <w:bCs/>
              </w:rPr>
              <w:t>Protein urine 24 hour quantification</w:t>
            </w:r>
            <w:r w:rsidRPr="00F16A5E">
              <w:rPr>
                <w:b/>
                <w:bCs/>
                <w:vertAlign w:val="superscript"/>
              </w:rPr>
              <w:t>20</w:t>
            </w:r>
          </w:p>
        </w:tc>
        <w:tc>
          <w:tcPr>
            <w:tcW w:w="402" w:type="pct"/>
            <w:vAlign w:val="center"/>
          </w:tcPr>
          <w:p w14:paraId="3527FD97" w14:textId="77777777" w:rsidR="00D5150E" w:rsidRPr="00F16A5E" w:rsidRDefault="00D5150E" w:rsidP="000363AF">
            <w:r w:rsidRPr="00F16A5E">
              <w:t>X</w:t>
            </w:r>
          </w:p>
        </w:tc>
        <w:tc>
          <w:tcPr>
            <w:tcW w:w="1912" w:type="pct"/>
            <w:gridSpan w:val="5"/>
            <w:vAlign w:val="center"/>
          </w:tcPr>
          <w:p w14:paraId="5A386C76" w14:textId="77777777" w:rsidR="00D5150E" w:rsidRPr="00F16A5E" w:rsidRDefault="00D5150E" w:rsidP="00BF2D0D">
            <w:pPr>
              <w:jc w:val="center"/>
            </w:pPr>
            <w:r w:rsidRPr="00F16A5E">
              <w:t>as clinically indicated</w:t>
            </w:r>
          </w:p>
        </w:tc>
        <w:tc>
          <w:tcPr>
            <w:tcW w:w="454" w:type="pct"/>
            <w:vAlign w:val="center"/>
          </w:tcPr>
          <w:p w14:paraId="41A5C634" w14:textId="77777777" w:rsidR="00D5150E" w:rsidRPr="00F16A5E" w:rsidRDefault="00D5150E" w:rsidP="000363AF">
            <w:r w:rsidRPr="00F16A5E">
              <w:t>X</w:t>
            </w:r>
          </w:p>
        </w:tc>
        <w:tc>
          <w:tcPr>
            <w:tcW w:w="501" w:type="pct"/>
            <w:vAlign w:val="center"/>
          </w:tcPr>
          <w:p w14:paraId="0FB1A2D8" w14:textId="77777777" w:rsidR="00D5150E" w:rsidRPr="00F16A5E" w:rsidRDefault="00D5150E" w:rsidP="000363AF">
            <w:r w:rsidRPr="00F16A5E">
              <w:t>X</w:t>
            </w:r>
          </w:p>
        </w:tc>
        <w:tc>
          <w:tcPr>
            <w:tcW w:w="526" w:type="pct"/>
            <w:vAlign w:val="center"/>
          </w:tcPr>
          <w:p w14:paraId="2CC0E5CD" w14:textId="77777777" w:rsidR="00D5150E" w:rsidRPr="00F16A5E" w:rsidRDefault="00D5150E" w:rsidP="000363AF"/>
        </w:tc>
      </w:tr>
      <w:tr w:rsidR="00D5150E" w:rsidRPr="00F16A5E" w14:paraId="776E91F0" w14:textId="77777777" w:rsidTr="000363AF">
        <w:trPr>
          <w:trHeight w:val="397"/>
        </w:trPr>
        <w:tc>
          <w:tcPr>
            <w:tcW w:w="1205" w:type="pct"/>
            <w:gridSpan w:val="2"/>
            <w:vAlign w:val="center"/>
          </w:tcPr>
          <w:p w14:paraId="587F8CD9" w14:textId="77777777" w:rsidR="00D5150E" w:rsidRPr="00F16A5E" w:rsidRDefault="00D5150E" w:rsidP="000363AF">
            <w:pPr>
              <w:rPr>
                <w:b/>
                <w:bCs/>
              </w:rPr>
            </w:pPr>
            <w:r w:rsidRPr="00F16A5E">
              <w:rPr>
                <w:b/>
                <w:bCs/>
              </w:rPr>
              <w:t>SRI 21</w:t>
            </w:r>
          </w:p>
        </w:tc>
        <w:tc>
          <w:tcPr>
            <w:tcW w:w="402" w:type="pct"/>
            <w:vAlign w:val="center"/>
          </w:tcPr>
          <w:p w14:paraId="304B36C7" w14:textId="77777777" w:rsidR="00D5150E" w:rsidRPr="00F16A5E" w:rsidRDefault="00D5150E" w:rsidP="000363AF"/>
        </w:tc>
        <w:tc>
          <w:tcPr>
            <w:tcW w:w="236" w:type="pct"/>
            <w:vAlign w:val="center"/>
          </w:tcPr>
          <w:p w14:paraId="508130E1" w14:textId="77777777" w:rsidR="00D5150E" w:rsidRPr="00F16A5E" w:rsidRDefault="00D5150E" w:rsidP="000363AF"/>
        </w:tc>
        <w:tc>
          <w:tcPr>
            <w:tcW w:w="237" w:type="pct"/>
            <w:vAlign w:val="center"/>
          </w:tcPr>
          <w:p w14:paraId="073D179C" w14:textId="77777777" w:rsidR="00D5150E" w:rsidRPr="00F16A5E" w:rsidRDefault="00D5150E" w:rsidP="000363AF"/>
        </w:tc>
        <w:tc>
          <w:tcPr>
            <w:tcW w:w="473" w:type="pct"/>
            <w:vAlign w:val="center"/>
          </w:tcPr>
          <w:p w14:paraId="4DBF766A" w14:textId="77777777" w:rsidR="00D5150E" w:rsidRPr="00F16A5E" w:rsidRDefault="00D5150E" w:rsidP="000363AF"/>
        </w:tc>
        <w:tc>
          <w:tcPr>
            <w:tcW w:w="473" w:type="pct"/>
            <w:vAlign w:val="center"/>
          </w:tcPr>
          <w:p w14:paraId="452EA9EF" w14:textId="77777777" w:rsidR="00D5150E" w:rsidRPr="00F16A5E" w:rsidRDefault="00D5150E" w:rsidP="000363AF">
            <w:r w:rsidRPr="00F16A5E">
              <w:t>X</w:t>
            </w:r>
          </w:p>
        </w:tc>
        <w:tc>
          <w:tcPr>
            <w:tcW w:w="493" w:type="pct"/>
            <w:vAlign w:val="center"/>
          </w:tcPr>
          <w:p w14:paraId="2A39FF1B" w14:textId="77777777" w:rsidR="00D5150E" w:rsidRPr="00F16A5E" w:rsidRDefault="00D5150E" w:rsidP="000363AF"/>
        </w:tc>
        <w:tc>
          <w:tcPr>
            <w:tcW w:w="454" w:type="pct"/>
            <w:vAlign w:val="center"/>
          </w:tcPr>
          <w:p w14:paraId="0DFC7B04" w14:textId="77777777" w:rsidR="00D5150E" w:rsidRPr="00F16A5E" w:rsidRDefault="00D5150E" w:rsidP="000363AF">
            <w:r w:rsidRPr="00F16A5E">
              <w:t>X</w:t>
            </w:r>
          </w:p>
        </w:tc>
        <w:tc>
          <w:tcPr>
            <w:tcW w:w="501" w:type="pct"/>
            <w:vAlign w:val="center"/>
          </w:tcPr>
          <w:p w14:paraId="2A07F184" w14:textId="77777777" w:rsidR="00D5150E" w:rsidRPr="00F16A5E" w:rsidRDefault="00D5150E" w:rsidP="000363AF">
            <w:r w:rsidRPr="00F16A5E">
              <w:t>X</w:t>
            </w:r>
          </w:p>
        </w:tc>
        <w:tc>
          <w:tcPr>
            <w:tcW w:w="526" w:type="pct"/>
            <w:vAlign w:val="center"/>
          </w:tcPr>
          <w:p w14:paraId="0DC91D1D" w14:textId="77777777" w:rsidR="00D5150E" w:rsidRPr="00F16A5E" w:rsidRDefault="00D5150E" w:rsidP="000363AF"/>
        </w:tc>
      </w:tr>
      <w:tr w:rsidR="00D5150E" w:rsidRPr="00F16A5E" w14:paraId="1BBFAC69" w14:textId="77777777" w:rsidTr="000363AF">
        <w:trPr>
          <w:trHeight w:val="397"/>
        </w:trPr>
        <w:tc>
          <w:tcPr>
            <w:tcW w:w="1205" w:type="pct"/>
            <w:gridSpan w:val="2"/>
            <w:vAlign w:val="center"/>
          </w:tcPr>
          <w:p w14:paraId="67E18B10" w14:textId="77777777" w:rsidR="00D5150E" w:rsidRPr="00F16A5E" w:rsidRDefault="00D5150E" w:rsidP="000363AF">
            <w:pPr>
              <w:rPr>
                <w:b/>
                <w:bCs/>
              </w:rPr>
            </w:pPr>
            <w:r w:rsidRPr="00F16A5E">
              <w:rPr>
                <w:b/>
                <w:bCs/>
              </w:rPr>
              <w:t xml:space="preserve">SLEDAI-2K </w:t>
            </w:r>
          </w:p>
        </w:tc>
        <w:tc>
          <w:tcPr>
            <w:tcW w:w="402" w:type="pct"/>
            <w:vAlign w:val="center"/>
          </w:tcPr>
          <w:p w14:paraId="52A0CDC9" w14:textId="77777777" w:rsidR="00D5150E" w:rsidRPr="00F16A5E" w:rsidRDefault="00D5150E" w:rsidP="000363AF">
            <w:r w:rsidRPr="00F16A5E">
              <w:t>X</w:t>
            </w:r>
          </w:p>
        </w:tc>
        <w:tc>
          <w:tcPr>
            <w:tcW w:w="236" w:type="pct"/>
            <w:vAlign w:val="center"/>
          </w:tcPr>
          <w:p w14:paraId="7E038436" w14:textId="77777777" w:rsidR="00D5150E" w:rsidRPr="00F16A5E" w:rsidRDefault="00D5150E" w:rsidP="000363AF"/>
        </w:tc>
        <w:tc>
          <w:tcPr>
            <w:tcW w:w="237" w:type="pct"/>
            <w:vAlign w:val="center"/>
          </w:tcPr>
          <w:p w14:paraId="67F416E8" w14:textId="77777777" w:rsidR="00D5150E" w:rsidRPr="00F16A5E" w:rsidRDefault="00D5150E" w:rsidP="000363AF"/>
        </w:tc>
        <w:tc>
          <w:tcPr>
            <w:tcW w:w="473" w:type="pct"/>
            <w:vAlign w:val="center"/>
          </w:tcPr>
          <w:p w14:paraId="1A1FB5E6" w14:textId="77777777" w:rsidR="00D5150E" w:rsidRPr="00F16A5E" w:rsidRDefault="00D5150E" w:rsidP="000363AF"/>
        </w:tc>
        <w:tc>
          <w:tcPr>
            <w:tcW w:w="473" w:type="pct"/>
            <w:vAlign w:val="center"/>
          </w:tcPr>
          <w:p w14:paraId="4D91F672" w14:textId="77777777" w:rsidR="00D5150E" w:rsidRPr="00F16A5E" w:rsidRDefault="00D5150E" w:rsidP="000363AF">
            <w:r w:rsidRPr="00F16A5E">
              <w:t>X</w:t>
            </w:r>
          </w:p>
        </w:tc>
        <w:tc>
          <w:tcPr>
            <w:tcW w:w="493" w:type="pct"/>
            <w:vAlign w:val="center"/>
          </w:tcPr>
          <w:p w14:paraId="73A84E99" w14:textId="77777777" w:rsidR="00D5150E" w:rsidRPr="00F16A5E" w:rsidRDefault="00D5150E" w:rsidP="000363AF"/>
        </w:tc>
        <w:tc>
          <w:tcPr>
            <w:tcW w:w="454" w:type="pct"/>
            <w:vAlign w:val="center"/>
          </w:tcPr>
          <w:p w14:paraId="1ADC45F6" w14:textId="77777777" w:rsidR="00D5150E" w:rsidRPr="00F16A5E" w:rsidRDefault="00D5150E" w:rsidP="000363AF">
            <w:r w:rsidRPr="00F16A5E">
              <w:t>X</w:t>
            </w:r>
          </w:p>
        </w:tc>
        <w:tc>
          <w:tcPr>
            <w:tcW w:w="501" w:type="pct"/>
            <w:vAlign w:val="center"/>
          </w:tcPr>
          <w:p w14:paraId="0F74A3F2" w14:textId="77777777" w:rsidR="00D5150E" w:rsidRPr="00F16A5E" w:rsidRDefault="00D5150E" w:rsidP="000363AF">
            <w:r w:rsidRPr="00F16A5E">
              <w:t>X</w:t>
            </w:r>
          </w:p>
        </w:tc>
        <w:tc>
          <w:tcPr>
            <w:tcW w:w="526" w:type="pct"/>
            <w:vAlign w:val="center"/>
          </w:tcPr>
          <w:p w14:paraId="08C22986" w14:textId="77777777" w:rsidR="00D5150E" w:rsidRPr="00F16A5E" w:rsidRDefault="00D5150E" w:rsidP="000363AF"/>
        </w:tc>
      </w:tr>
      <w:tr w:rsidR="00D5150E" w:rsidRPr="00F16A5E" w14:paraId="765EA4F5" w14:textId="77777777" w:rsidTr="000363AF">
        <w:trPr>
          <w:trHeight w:val="397"/>
        </w:trPr>
        <w:tc>
          <w:tcPr>
            <w:tcW w:w="1205" w:type="pct"/>
            <w:gridSpan w:val="2"/>
            <w:vAlign w:val="center"/>
          </w:tcPr>
          <w:p w14:paraId="2345EA80" w14:textId="77777777" w:rsidR="00D5150E" w:rsidRPr="00F16A5E" w:rsidRDefault="00D5150E" w:rsidP="000363AF">
            <w:pPr>
              <w:rPr>
                <w:b/>
                <w:bCs/>
              </w:rPr>
            </w:pPr>
            <w:r w:rsidRPr="00F16A5E">
              <w:rPr>
                <w:b/>
                <w:bCs/>
              </w:rPr>
              <w:t xml:space="preserve">BILAG-2004 </w:t>
            </w:r>
          </w:p>
        </w:tc>
        <w:tc>
          <w:tcPr>
            <w:tcW w:w="402" w:type="pct"/>
            <w:vAlign w:val="center"/>
          </w:tcPr>
          <w:p w14:paraId="4C41E65F" w14:textId="77777777" w:rsidR="00D5150E" w:rsidRPr="00F16A5E" w:rsidRDefault="00D5150E" w:rsidP="000363AF">
            <w:r w:rsidRPr="00F16A5E">
              <w:t>X</w:t>
            </w:r>
          </w:p>
        </w:tc>
        <w:tc>
          <w:tcPr>
            <w:tcW w:w="236" w:type="pct"/>
            <w:vAlign w:val="center"/>
          </w:tcPr>
          <w:p w14:paraId="172FBB5B" w14:textId="77777777" w:rsidR="00D5150E" w:rsidRPr="00F16A5E" w:rsidRDefault="00D5150E" w:rsidP="000363AF"/>
        </w:tc>
        <w:tc>
          <w:tcPr>
            <w:tcW w:w="237" w:type="pct"/>
            <w:vAlign w:val="center"/>
          </w:tcPr>
          <w:p w14:paraId="1D335AAB" w14:textId="77777777" w:rsidR="00D5150E" w:rsidRPr="00F16A5E" w:rsidRDefault="00D5150E" w:rsidP="000363AF"/>
        </w:tc>
        <w:tc>
          <w:tcPr>
            <w:tcW w:w="473" w:type="pct"/>
            <w:vAlign w:val="center"/>
          </w:tcPr>
          <w:p w14:paraId="562A05F8" w14:textId="77777777" w:rsidR="00D5150E" w:rsidRPr="00F16A5E" w:rsidRDefault="00D5150E" w:rsidP="000363AF"/>
        </w:tc>
        <w:tc>
          <w:tcPr>
            <w:tcW w:w="473" w:type="pct"/>
            <w:vAlign w:val="center"/>
          </w:tcPr>
          <w:p w14:paraId="2533EF9C" w14:textId="77777777" w:rsidR="00D5150E" w:rsidRPr="00F16A5E" w:rsidRDefault="00D5150E" w:rsidP="000363AF">
            <w:r w:rsidRPr="00F16A5E">
              <w:t>X</w:t>
            </w:r>
          </w:p>
        </w:tc>
        <w:tc>
          <w:tcPr>
            <w:tcW w:w="493" w:type="pct"/>
            <w:vAlign w:val="center"/>
          </w:tcPr>
          <w:p w14:paraId="547BF875" w14:textId="77777777" w:rsidR="00D5150E" w:rsidRPr="00F16A5E" w:rsidRDefault="00D5150E" w:rsidP="000363AF"/>
        </w:tc>
        <w:tc>
          <w:tcPr>
            <w:tcW w:w="454" w:type="pct"/>
            <w:vAlign w:val="center"/>
          </w:tcPr>
          <w:p w14:paraId="32F7709A" w14:textId="77777777" w:rsidR="00D5150E" w:rsidRPr="00F16A5E" w:rsidRDefault="00D5150E" w:rsidP="000363AF">
            <w:r w:rsidRPr="00F16A5E">
              <w:t>X</w:t>
            </w:r>
          </w:p>
        </w:tc>
        <w:tc>
          <w:tcPr>
            <w:tcW w:w="501" w:type="pct"/>
            <w:vAlign w:val="center"/>
          </w:tcPr>
          <w:p w14:paraId="59A7A474" w14:textId="77777777" w:rsidR="00D5150E" w:rsidRPr="00F16A5E" w:rsidRDefault="00D5150E" w:rsidP="000363AF">
            <w:r w:rsidRPr="00F16A5E">
              <w:t>X</w:t>
            </w:r>
          </w:p>
        </w:tc>
        <w:tc>
          <w:tcPr>
            <w:tcW w:w="526" w:type="pct"/>
            <w:vAlign w:val="center"/>
          </w:tcPr>
          <w:p w14:paraId="0F5CCE2F" w14:textId="77777777" w:rsidR="00D5150E" w:rsidRPr="00F16A5E" w:rsidRDefault="00D5150E" w:rsidP="000363AF"/>
        </w:tc>
      </w:tr>
      <w:tr w:rsidR="00D5150E" w:rsidRPr="00F16A5E" w14:paraId="5BBA35E7" w14:textId="77777777" w:rsidTr="000363AF">
        <w:trPr>
          <w:trHeight w:val="397"/>
        </w:trPr>
        <w:tc>
          <w:tcPr>
            <w:tcW w:w="1205" w:type="pct"/>
            <w:gridSpan w:val="2"/>
            <w:vAlign w:val="center"/>
          </w:tcPr>
          <w:p w14:paraId="27EB3A93" w14:textId="77777777" w:rsidR="00D5150E" w:rsidRPr="00F16A5E" w:rsidRDefault="00D5150E" w:rsidP="000363AF">
            <w:pPr>
              <w:rPr>
                <w:b/>
                <w:bCs/>
              </w:rPr>
            </w:pPr>
            <w:r w:rsidRPr="00F16A5E">
              <w:rPr>
                <w:b/>
                <w:bCs/>
              </w:rPr>
              <w:lastRenderedPageBreak/>
              <w:t xml:space="preserve">PGA </w:t>
            </w:r>
          </w:p>
        </w:tc>
        <w:tc>
          <w:tcPr>
            <w:tcW w:w="402" w:type="pct"/>
            <w:vAlign w:val="center"/>
          </w:tcPr>
          <w:p w14:paraId="0632DEB7" w14:textId="77777777" w:rsidR="00D5150E" w:rsidRPr="00F16A5E" w:rsidRDefault="00D5150E" w:rsidP="000363AF">
            <w:r w:rsidRPr="00F16A5E">
              <w:t>X</w:t>
            </w:r>
          </w:p>
        </w:tc>
        <w:tc>
          <w:tcPr>
            <w:tcW w:w="236" w:type="pct"/>
            <w:vAlign w:val="center"/>
          </w:tcPr>
          <w:p w14:paraId="6896C6A1" w14:textId="77777777" w:rsidR="00D5150E" w:rsidRPr="00F16A5E" w:rsidRDefault="00D5150E" w:rsidP="000363AF"/>
        </w:tc>
        <w:tc>
          <w:tcPr>
            <w:tcW w:w="237" w:type="pct"/>
            <w:vAlign w:val="center"/>
          </w:tcPr>
          <w:p w14:paraId="7B4EF882" w14:textId="77777777" w:rsidR="00D5150E" w:rsidRPr="00F16A5E" w:rsidRDefault="00D5150E" w:rsidP="000363AF"/>
        </w:tc>
        <w:tc>
          <w:tcPr>
            <w:tcW w:w="473" w:type="pct"/>
            <w:vAlign w:val="center"/>
          </w:tcPr>
          <w:p w14:paraId="1FA09441" w14:textId="77777777" w:rsidR="00D5150E" w:rsidRPr="00F16A5E" w:rsidRDefault="00D5150E" w:rsidP="000363AF"/>
        </w:tc>
        <w:tc>
          <w:tcPr>
            <w:tcW w:w="473" w:type="pct"/>
            <w:vAlign w:val="center"/>
          </w:tcPr>
          <w:p w14:paraId="6E64535C" w14:textId="77777777" w:rsidR="00D5150E" w:rsidRPr="00F16A5E" w:rsidRDefault="00D5150E" w:rsidP="000363AF">
            <w:r w:rsidRPr="00F16A5E">
              <w:t>X</w:t>
            </w:r>
          </w:p>
        </w:tc>
        <w:tc>
          <w:tcPr>
            <w:tcW w:w="493" w:type="pct"/>
            <w:vAlign w:val="center"/>
          </w:tcPr>
          <w:p w14:paraId="19DED0C8" w14:textId="77777777" w:rsidR="00D5150E" w:rsidRPr="00F16A5E" w:rsidRDefault="00D5150E" w:rsidP="000363AF"/>
        </w:tc>
        <w:tc>
          <w:tcPr>
            <w:tcW w:w="454" w:type="pct"/>
            <w:vAlign w:val="center"/>
          </w:tcPr>
          <w:p w14:paraId="13FC52EA" w14:textId="77777777" w:rsidR="00D5150E" w:rsidRPr="00F16A5E" w:rsidRDefault="00D5150E" w:rsidP="000363AF">
            <w:r w:rsidRPr="00F16A5E">
              <w:t>X</w:t>
            </w:r>
          </w:p>
        </w:tc>
        <w:tc>
          <w:tcPr>
            <w:tcW w:w="501" w:type="pct"/>
            <w:vAlign w:val="center"/>
          </w:tcPr>
          <w:p w14:paraId="52058EB5" w14:textId="77777777" w:rsidR="00D5150E" w:rsidRPr="00F16A5E" w:rsidRDefault="00D5150E" w:rsidP="000363AF">
            <w:r w:rsidRPr="00F16A5E">
              <w:t>X</w:t>
            </w:r>
          </w:p>
        </w:tc>
        <w:tc>
          <w:tcPr>
            <w:tcW w:w="526" w:type="pct"/>
            <w:vAlign w:val="center"/>
          </w:tcPr>
          <w:p w14:paraId="3A409C55" w14:textId="77777777" w:rsidR="00D5150E" w:rsidRPr="00F16A5E" w:rsidRDefault="00D5150E" w:rsidP="000363AF"/>
        </w:tc>
      </w:tr>
      <w:tr w:rsidR="00D5150E" w:rsidRPr="00F16A5E" w14:paraId="6484D1AC" w14:textId="77777777" w:rsidTr="000363AF">
        <w:trPr>
          <w:trHeight w:val="397"/>
        </w:trPr>
        <w:tc>
          <w:tcPr>
            <w:tcW w:w="1205" w:type="pct"/>
            <w:gridSpan w:val="2"/>
            <w:vAlign w:val="center"/>
          </w:tcPr>
          <w:p w14:paraId="11B2D4A2" w14:textId="77777777" w:rsidR="00D5150E" w:rsidRPr="00F16A5E" w:rsidRDefault="00D5150E" w:rsidP="000363AF">
            <w:pPr>
              <w:rPr>
                <w:b/>
                <w:bCs/>
              </w:rPr>
            </w:pPr>
            <w:r w:rsidRPr="00F16A5E">
              <w:rPr>
                <w:b/>
                <w:bCs/>
              </w:rPr>
              <w:t>Joint evaluation</w:t>
            </w:r>
          </w:p>
        </w:tc>
        <w:tc>
          <w:tcPr>
            <w:tcW w:w="402" w:type="pct"/>
            <w:vAlign w:val="center"/>
          </w:tcPr>
          <w:p w14:paraId="14940C0B" w14:textId="77777777" w:rsidR="00D5150E" w:rsidRPr="00F16A5E" w:rsidRDefault="00D5150E" w:rsidP="000363AF">
            <w:r w:rsidRPr="00F16A5E">
              <w:t>X</w:t>
            </w:r>
          </w:p>
        </w:tc>
        <w:tc>
          <w:tcPr>
            <w:tcW w:w="236" w:type="pct"/>
            <w:vAlign w:val="center"/>
          </w:tcPr>
          <w:p w14:paraId="0E9EB686" w14:textId="77777777" w:rsidR="00D5150E" w:rsidRPr="00F16A5E" w:rsidRDefault="00D5150E" w:rsidP="000363AF"/>
        </w:tc>
        <w:tc>
          <w:tcPr>
            <w:tcW w:w="237" w:type="pct"/>
            <w:vAlign w:val="center"/>
          </w:tcPr>
          <w:p w14:paraId="79CCF2D1" w14:textId="77777777" w:rsidR="00D5150E" w:rsidRPr="00F16A5E" w:rsidRDefault="00D5150E" w:rsidP="000363AF"/>
        </w:tc>
        <w:tc>
          <w:tcPr>
            <w:tcW w:w="473" w:type="pct"/>
            <w:vAlign w:val="center"/>
          </w:tcPr>
          <w:p w14:paraId="468C2859" w14:textId="77777777" w:rsidR="00D5150E" w:rsidRPr="00F16A5E" w:rsidRDefault="00D5150E" w:rsidP="000363AF"/>
        </w:tc>
        <w:tc>
          <w:tcPr>
            <w:tcW w:w="473" w:type="pct"/>
            <w:vAlign w:val="center"/>
          </w:tcPr>
          <w:p w14:paraId="09F4B1E1" w14:textId="77777777" w:rsidR="00D5150E" w:rsidRPr="00F16A5E" w:rsidRDefault="00D5150E" w:rsidP="000363AF">
            <w:r w:rsidRPr="00F16A5E">
              <w:t>X</w:t>
            </w:r>
          </w:p>
        </w:tc>
        <w:tc>
          <w:tcPr>
            <w:tcW w:w="493" w:type="pct"/>
            <w:vAlign w:val="center"/>
          </w:tcPr>
          <w:p w14:paraId="0B58CC86" w14:textId="77777777" w:rsidR="00D5150E" w:rsidRPr="00F16A5E" w:rsidRDefault="00D5150E" w:rsidP="000363AF"/>
        </w:tc>
        <w:tc>
          <w:tcPr>
            <w:tcW w:w="454" w:type="pct"/>
            <w:vAlign w:val="center"/>
          </w:tcPr>
          <w:p w14:paraId="68AAE49A" w14:textId="77777777" w:rsidR="00D5150E" w:rsidRPr="00F16A5E" w:rsidRDefault="00D5150E" w:rsidP="000363AF">
            <w:r w:rsidRPr="00F16A5E">
              <w:t>X</w:t>
            </w:r>
          </w:p>
        </w:tc>
        <w:tc>
          <w:tcPr>
            <w:tcW w:w="501" w:type="pct"/>
            <w:vAlign w:val="center"/>
          </w:tcPr>
          <w:p w14:paraId="7F10E36C" w14:textId="77777777" w:rsidR="00D5150E" w:rsidRPr="00F16A5E" w:rsidRDefault="00D5150E" w:rsidP="000363AF">
            <w:r w:rsidRPr="00F16A5E">
              <w:t>X</w:t>
            </w:r>
          </w:p>
        </w:tc>
        <w:tc>
          <w:tcPr>
            <w:tcW w:w="526" w:type="pct"/>
            <w:vAlign w:val="center"/>
          </w:tcPr>
          <w:p w14:paraId="45F1B3A0" w14:textId="77777777" w:rsidR="00D5150E" w:rsidRPr="00F16A5E" w:rsidRDefault="00D5150E" w:rsidP="000363AF"/>
        </w:tc>
      </w:tr>
    </w:tbl>
    <w:p w14:paraId="04527E11" w14:textId="56C8467C" w:rsidR="00DC675A" w:rsidRPr="00F16A5E" w:rsidRDefault="00D5150E" w:rsidP="00D5150E">
      <w:pPr>
        <w:spacing w:beforeLines="50" w:before="156"/>
        <w:rPr>
          <w:b/>
          <w:bCs/>
          <w:lang w:val="x-none"/>
        </w:rPr>
      </w:pPr>
      <w:r w:rsidRPr="00F16A5E">
        <w:rPr>
          <w:b/>
          <w:bCs/>
          <w:lang w:val="x-none"/>
        </w:rPr>
        <w:t>Notes:</w:t>
      </w:r>
    </w:p>
    <w:p w14:paraId="2CEFB580" w14:textId="52C4232E" w:rsidR="006E649A" w:rsidRPr="00F16A5E" w:rsidRDefault="00D5150E" w:rsidP="00D5150E">
      <w:pPr>
        <w:spacing w:beforeLines="50" w:before="156"/>
      </w:pPr>
      <w:bookmarkStart w:id="12" w:name="_Hlk60250046"/>
      <w:bookmarkStart w:id="13" w:name="_Hlk19715548"/>
      <w:r w:rsidRPr="00F16A5E">
        <w:rPr>
          <w:rFonts w:ascii="宋体" w:hAnsi="宋体" w:cs="宋体" w:hint="eastAsia"/>
        </w:rPr>
        <w:t>◆</w:t>
      </w:r>
      <w:r w:rsidRPr="00F16A5E">
        <w:t xml:space="preserve"> </w:t>
      </w:r>
      <w:r w:rsidRPr="00F16A5E">
        <w:rPr>
          <w:b/>
        </w:rPr>
        <w:t>End-of-Treatment visit:</w:t>
      </w:r>
      <w:r w:rsidRPr="00F16A5E">
        <w:t xml:space="preserve"> Regardless of the reason for early withdrawal from the study, the investigator will arrange for the subject to return to the study center within 3 days after the last dose for the evaluation of the End-of-Treatment visit. For subjects who have completed the 12-week treatment according to the </w:t>
      </w:r>
      <w:r w:rsidR="00461B39" w:rsidRPr="00F16A5E">
        <w:t>study protocol</w:t>
      </w:r>
      <w:r w:rsidRPr="00F16A5E">
        <w:t xml:space="preserve"> and have completed the evaluation of the Day 84 visit, the End-of-Treatment visit is not necessary.</w:t>
      </w:r>
    </w:p>
    <w:p w14:paraId="5FD65B02" w14:textId="462BF26E" w:rsidR="00D5150E" w:rsidRPr="00F16A5E" w:rsidRDefault="00D5150E" w:rsidP="00D5150E">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The informed consent must be obtained before the subject enters the screening period.</w:t>
      </w:r>
    </w:p>
    <w:p w14:paraId="7D7B9C43" w14:textId="273FAC38" w:rsidR="0001176C" w:rsidRPr="00F16A5E" w:rsidRDefault="00BF49E3" w:rsidP="00BF49E3">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Demographic statistics include date of birth, gender, height, and weight. The body weight will only be measured on Days 14, 28, 56, and 84.</w:t>
      </w:r>
    </w:p>
    <w:p w14:paraId="3FBD416C" w14:textId="089EFC65" w:rsidR="00BF49E3" w:rsidRPr="00F16A5E" w:rsidRDefault="00BF49E3" w:rsidP="00BF49E3">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Medication compliance = The number of tablets taken since the last drug dispensation/The number of tablets that should be taken since the last drug dispensation. The medication compliance should be ≥ 80% and ≤120%. If a subjects’ medication compliance does not meet the above requirements, the investigator must communicate with the subject in a timely manner to improve the subject’ awareness of medication.</w:t>
      </w:r>
    </w:p>
    <w:p w14:paraId="5645763F" w14:textId="0404D10B" w:rsidR="00BF49E3" w:rsidRPr="00F16A5E" w:rsidRDefault="00BF49E3" w:rsidP="00BF49E3">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 xml:space="preserve">Hematology should include complete blood count, i.e. white blood cells (WBC) including lymphocytes, neutrophils, red blood cells (RBC), hemoglobin, </w:t>
      </w:r>
      <w:proofErr w:type="spellStart"/>
      <w:r w:rsidRPr="00F16A5E">
        <w:rPr>
          <w:rFonts w:ascii="Times New Roman" w:hAnsi="Times New Roman"/>
        </w:rPr>
        <w:t>haematocrit</w:t>
      </w:r>
      <w:proofErr w:type="spellEnd"/>
      <w:r w:rsidRPr="00F16A5E">
        <w:rPr>
          <w:rFonts w:ascii="Times New Roman" w:hAnsi="Times New Roman"/>
        </w:rPr>
        <w:t xml:space="preserve"> and platelets. The </w:t>
      </w:r>
      <w:proofErr w:type="spellStart"/>
      <w:r w:rsidRPr="00F16A5E">
        <w:rPr>
          <w:rFonts w:ascii="Times New Roman" w:hAnsi="Times New Roman"/>
        </w:rPr>
        <w:t>haematology</w:t>
      </w:r>
      <w:proofErr w:type="spellEnd"/>
      <w:r w:rsidRPr="00F16A5E">
        <w:rPr>
          <w:rFonts w:ascii="Times New Roman" w:hAnsi="Times New Roman"/>
        </w:rPr>
        <w:t xml:space="preserve"> results within 5 days before the first dose can be accepted at D1. If more than 5 days, the test should be repeated at D1. Blood samples during the treatment period should be collected before administration.</w:t>
      </w:r>
    </w:p>
    <w:p w14:paraId="4E5F77AA" w14:textId="142477C9" w:rsidR="00BF49E3" w:rsidRPr="00F16A5E" w:rsidRDefault="009026AF" w:rsidP="009026AF">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Urinalysis includes protein, glucose, red blood cells urine (qualitative or quantitative results, including occult blood or blood urine). The urinalysis results within 5 days before the first dose can be accepted at D1. If more than 5 days, the test should be repeated at D1. Urine samples during the treatment period should be collected before administration.</w:t>
      </w:r>
    </w:p>
    <w:p w14:paraId="3706F7A5" w14:textId="5B940C9C" w:rsidR="009026AF" w:rsidRPr="00F16A5E" w:rsidRDefault="00A96581" w:rsidP="00A96581">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lastRenderedPageBreak/>
        <w:t>Blood chemistry includes: AST, ALT, Glutamyl transpeptidase (GGT), Albumin (ALB), Total bilirubin (TBIL), Direct bilirubin (DBIL), Blood Urea Nitrogen (BUN) or urea, Creatinine (Cr), Triglyceride (TG), Total Cholesterol (TC), Glucose (Glu), Lactate dehydrogenase (LDH). The blood chemistry results within 5 days before the first dose can be accepted at D1. If more than 5 days, the test should be repeated at D1. Blood samples during the treatment period should be collected before administration.</w:t>
      </w:r>
    </w:p>
    <w:p w14:paraId="05DA82E4" w14:textId="59B4AFD6" w:rsidR="00A96581" w:rsidRPr="00F16A5E" w:rsidRDefault="00A96581" w:rsidP="00A96581">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Electrolytes include: potassium (K), sodium (Na), chlorine (Cl), calcium (Ca), magnesium (Mg), phosphorus (P). The electrolyte results within 5 days before the first dose can be accepted at D1. If more than 5 days, the test should be repeated at D1. Blood samples during the treatment period should be collected before administration.</w:t>
      </w:r>
    </w:p>
    <w:p w14:paraId="13A307A5" w14:textId="03CA858E" w:rsidR="00A96581" w:rsidRPr="00F16A5E" w:rsidRDefault="008C5021" w:rsidP="008C5021">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Amylase: serum amylase (AMY); lipase: serum lipase (LPS). The amylase &amp; lipase results within 5 days before the first dose can be accepted at D1. If more than 5 days, the test should be repeated at D1. Blood samples during the treatment period should be collected before administration.</w:t>
      </w:r>
    </w:p>
    <w:p w14:paraId="313025FB" w14:textId="5FD11666" w:rsidR="008C5021" w:rsidRPr="00F16A5E" w:rsidRDefault="008C5021" w:rsidP="008C5021">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The coagulation includes: International Normalized Ratio (INR), Prothrombin Time (PT), and Activated Partial Thromboplastin Time (APTT). The coagulation results within 5 days before the first dose can be accepted at D1. If more than 5 days, the test should be repeated at D1. Blood samples during the treatment period should be collected before administration.</w:t>
      </w:r>
    </w:p>
    <w:p w14:paraId="73552C94" w14:textId="08E65883" w:rsidR="008C5021" w:rsidRPr="00F16A5E" w:rsidRDefault="003604EB" w:rsidP="008C5021">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Thyroid ultrasound examination will be performed at the following time points: screening period, Day 28 (results within ±5 days can be accepted), and Day 84 (results within ±5 days can be accepted).</w:t>
      </w:r>
    </w:p>
    <w:p w14:paraId="07DE5370" w14:textId="389E2CCA" w:rsidR="003604EB" w:rsidRPr="00F16A5E" w:rsidRDefault="003604EB" w:rsidP="008C5021">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Chest X-ray examination will be performed during the screening period. If the subject has undergone chest CT examination due to COVID-19 or other reasons and can provide the results, the chest X-ray examination during the screening period can be exempted.</w:t>
      </w:r>
    </w:p>
    <w:p w14:paraId="272918C0" w14:textId="5980C0CE" w:rsidR="003604EB" w:rsidRPr="00F16A5E" w:rsidRDefault="003604EB" w:rsidP="003604EB">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 xml:space="preserve">Blood pregnancy test (only for female subjects of childbearing potential) is mandatory during the screening period. During the treatment period and until 28 days after the last dose, a urine pregnancy test will be performed every 4 weeks. </w:t>
      </w:r>
      <w:r w:rsidR="001E4096" w:rsidRPr="00F16A5E">
        <w:rPr>
          <w:rFonts w:ascii="Times New Roman" w:hAnsi="Times New Roman"/>
        </w:rPr>
        <w:t>If the urine pregnancy test is positive, a serum pregnancy test must be performed for confirmation.</w:t>
      </w:r>
      <w:r w:rsidRPr="00F16A5E">
        <w:rPr>
          <w:rFonts w:ascii="Times New Roman" w:hAnsi="Times New Roman"/>
        </w:rPr>
        <w:t xml:space="preserve"> Urine or blood samples during the treatment period should be collected before administration.</w:t>
      </w:r>
    </w:p>
    <w:p w14:paraId="17BC4804" w14:textId="097B3F0F" w:rsidR="003604EB" w:rsidRPr="00F16A5E" w:rsidRDefault="00E06CE8" w:rsidP="00E06CE8">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 xml:space="preserve">HIV, HBV, and HCV testing are mandatory during the screening period. Relevant test items may be repeated during the treatment period and follow-up period when clinically indicated. If </w:t>
      </w:r>
      <w:proofErr w:type="spellStart"/>
      <w:r w:rsidRPr="00F16A5E">
        <w:rPr>
          <w:rFonts w:ascii="Times New Roman" w:hAnsi="Times New Roman"/>
        </w:rPr>
        <w:t>HBcAb</w:t>
      </w:r>
      <w:proofErr w:type="spellEnd"/>
      <w:r w:rsidRPr="00F16A5E">
        <w:rPr>
          <w:rFonts w:ascii="Times New Roman" w:hAnsi="Times New Roman"/>
        </w:rPr>
        <w:t xml:space="preserve"> is positive during the screening period, HBV DNA testing will be repeated every 4 weeks thereafter (week 4, week 8 and week 12). If the DNA titer exceeds the upper limit of normal, it is recommended to give antiviral treatment or treat it as per the investigator's discretion. Subjects can continue to receive treatment until they meet the criteria for termination or discontinuation of treatment prescribed by the study protocol.</w:t>
      </w:r>
    </w:p>
    <w:p w14:paraId="582EEA87" w14:textId="7927351E" w:rsidR="00E06CE8" w:rsidRPr="00F16A5E" w:rsidRDefault="000043A1" w:rsidP="000043A1">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The 12-lead ECG will be performed at the following time points: pre-dose and post-dose at Day 1; before leaving the study center at Day 2; post-dose at Days 14, 28, 56 and 84; End-of-Treatment visit and follow-up period. The ECG after administration during the treatment period should be performed within 2 to 4 hours post-dose, and the subject should rest in a semi-supine position for at least 5 minutes before the ECG examination.</w:t>
      </w:r>
    </w:p>
    <w:p w14:paraId="702DBF33" w14:textId="72418E62" w:rsidR="000043A1" w:rsidRPr="00F16A5E" w:rsidRDefault="000043A1" w:rsidP="000043A1">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lastRenderedPageBreak/>
        <w:t>Echocardiography will be performed at: screening period, treatment period (when clinically indicated), End-of-Treatment visit (results within 5 days after the visit can be accepted), follow-up period (when clinically indicated).</w:t>
      </w:r>
    </w:p>
    <w:p w14:paraId="580049B3" w14:textId="5094F9C8" w:rsidR="000043A1" w:rsidRPr="00F16A5E" w:rsidRDefault="000043A1" w:rsidP="000043A1">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 xml:space="preserve">For the collection and follow-up time-frame of adverse events, see section </w:t>
      </w:r>
      <w:hyperlink w:anchor="_8.2.5_Collection_&amp;" w:history="1">
        <w:r w:rsidRPr="00F16A5E">
          <w:rPr>
            <w:rStyle w:val="ae"/>
            <w:rFonts w:ascii="Times New Roman" w:hAnsi="Times New Roman"/>
          </w:rPr>
          <w:t>8.2.5</w:t>
        </w:r>
      </w:hyperlink>
      <w:r w:rsidRPr="00F16A5E">
        <w:rPr>
          <w:rFonts w:ascii="Times New Roman" w:hAnsi="Times New Roman"/>
        </w:rPr>
        <w:t>.</w:t>
      </w:r>
    </w:p>
    <w:p w14:paraId="059C5734" w14:textId="27B8682D" w:rsidR="000043A1" w:rsidRPr="00F16A5E" w:rsidRDefault="000043A1" w:rsidP="000043A1">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The PK blood samples will be collected at Days 1 and 14: 60 min pre-dose; 30 min, 1 h, 2 h, 4 h, 8 h, 12 h, 24 h (that is, before D2 and D15 administration) post-dose.</w:t>
      </w:r>
    </w:p>
    <w:p w14:paraId="68815864" w14:textId="05B0062B" w:rsidR="000043A1" w:rsidRPr="00F16A5E" w:rsidRDefault="000043A1" w:rsidP="000043A1">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The PD blood samples will be collected at Days 1 (or within 7 days before the first dose), 28 and 84: pre-dose. The PD study involves multiple testing items. If anti-dsDNA antibody, ANA, Ig, C3, C4, and erythrocyte sedimentation rate tests are completed within 7 days before the first dose, tests need not be repeated at Day 1; If a study center is incapable to carry out a certain PD item and cannot send samples to the unit with such capabilities in time, subjects enrolled in this study center may not participate in this PD test.</w:t>
      </w:r>
    </w:p>
    <w:p w14:paraId="4CE94BC1" w14:textId="43F224FE" w:rsidR="000043A1" w:rsidRPr="00F16A5E" w:rsidRDefault="008E29FA" w:rsidP="008E29FA">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The target occupancy blood samples will be collected at the following time points: within 60 min pre-dose (or within 5 days before the first administration) and 4 hours (±10 min) post-dose at Day 1; and within 60 min pre-dose and 4 hours (±10 min) post-dose at Day 14. If a study center is incapable to carry out this test and cannot send samples to the unit with such capabilities in time, subjects enrolled in this study center may not participate in this target occupancy study.</w:t>
      </w:r>
    </w:p>
    <w:p w14:paraId="3B81F2F3" w14:textId="1F3C490F" w:rsidR="008E29FA" w:rsidRPr="00F16A5E" w:rsidRDefault="008E29FA" w:rsidP="008E29FA">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24-hour urine protein quantitative determination is mandatory during the screening period; for subjects with urine protein ≥1+, 24-hour urine protein quantitative determination will be performed when clinically indicated.</w:t>
      </w:r>
    </w:p>
    <w:p w14:paraId="66CB8110" w14:textId="1DE590A7" w:rsidR="008E29FA" w:rsidRPr="00F16A5E" w:rsidRDefault="008E29FA" w:rsidP="008E29FA">
      <w:pPr>
        <w:pStyle w:val="aa"/>
        <w:numPr>
          <w:ilvl w:val="0"/>
          <w:numId w:val="7"/>
        </w:numPr>
        <w:spacing w:beforeLines="50" w:before="156"/>
        <w:ind w:left="397" w:firstLineChars="0" w:hanging="397"/>
        <w:rPr>
          <w:rFonts w:ascii="Times New Roman" w:hAnsi="Times New Roman"/>
        </w:rPr>
      </w:pPr>
      <w:r w:rsidRPr="00F16A5E">
        <w:rPr>
          <w:rFonts w:ascii="Times New Roman" w:hAnsi="Times New Roman"/>
        </w:rPr>
        <w:t xml:space="preserve">SRI assessment includes the assessment of disease activity according to three assessment systems: SLEDAI-2K, British Isles Lupus Assessment Group 2004 (BILAG 2004) and Physician Global Assessment (PGA) (see section </w:t>
      </w:r>
      <w:hyperlink w:anchor="_8.6.1_SRI_Evaluation" w:history="1">
        <w:r w:rsidRPr="00F16A5E">
          <w:rPr>
            <w:rStyle w:val="ae"/>
            <w:rFonts w:ascii="Times New Roman" w:hAnsi="Times New Roman"/>
          </w:rPr>
          <w:t>8.6.1</w:t>
        </w:r>
      </w:hyperlink>
      <w:r w:rsidRPr="00F16A5E">
        <w:rPr>
          <w:rFonts w:ascii="Times New Roman" w:hAnsi="Times New Roman"/>
        </w:rPr>
        <w:t>), at screening, Day 28, Day 84, and End-of-Treatment visit.</w:t>
      </w:r>
    </w:p>
    <w:p w14:paraId="75FF54C0" w14:textId="77777777" w:rsidR="008E29FA" w:rsidRPr="00F16A5E" w:rsidRDefault="008E29FA" w:rsidP="008E29FA">
      <w:pPr>
        <w:pStyle w:val="aa"/>
        <w:spacing w:beforeLines="50" w:before="156"/>
        <w:ind w:left="397" w:firstLineChars="0" w:firstLine="0"/>
        <w:rPr>
          <w:rFonts w:ascii="Times New Roman" w:hAnsi="Times New Roman"/>
        </w:rPr>
      </w:pPr>
    </w:p>
    <w:bookmarkEnd w:id="12"/>
    <w:bookmarkEnd w:id="13"/>
    <w:p w14:paraId="38CBAEB4" w14:textId="1286F43F" w:rsidR="002430DB" w:rsidRPr="00F16A5E" w:rsidRDefault="002430DB" w:rsidP="00DF78C3">
      <w:pPr>
        <w:snapToGrid w:val="0"/>
        <w:spacing w:line="360" w:lineRule="auto"/>
        <w:contextualSpacing/>
        <w:textAlignment w:val="center"/>
        <w:rPr>
          <w:szCs w:val="28"/>
        </w:rPr>
      </w:pPr>
    </w:p>
    <w:p w14:paraId="4BEC8904" w14:textId="7965DD9D" w:rsidR="0001176C" w:rsidRPr="00F16A5E" w:rsidRDefault="0001176C" w:rsidP="004F7984">
      <w:pPr>
        <w:sectPr w:rsidR="0001176C" w:rsidRPr="00F16A5E" w:rsidSect="004C10EE">
          <w:headerReference w:type="default" r:id="rId14"/>
          <w:pgSz w:w="16838" w:h="11906" w:orient="landscape" w:code="9"/>
          <w:pgMar w:top="1418" w:right="851" w:bottom="1418" w:left="851" w:header="851" w:footer="851" w:gutter="0"/>
          <w:cols w:space="425"/>
          <w:docGrid w:type="lines" w:linePitch="312"/>
        </w:sectPr>
      </w:pPr>
    </w:p>
    <w:p w14:paraId="076C903B" w14:textId="73593A6D" w:rsidR="007A50C3" w:rsidRPr="00F16A5E" w:rsidRDefault="008E29FA" w:rsidP="007A50C3">
      <w:pPr>
        <w:pStyle w:val="1"/>
        <w:spacing w:beforeLines="0" w:before="120" w:line="360" w:lineRule="auto"/>
        <w:jc w:val="center"/>
        <w:rPr>
          <w:rFonts w:eastAsia="宋体"/>
          <w:szCs w:val="28"/>
          <w:lang w:eastAsia="zh-CN"/>
        </w:rPr>
      </w:pPr>
      <w:bookmarkStart w:id="14" w:name="_Toc71149131"/>
      <w:r w:rsidRPr="00F16A5E">
        <w:rPr>
          <w:rFonts w:eastAsia="宋体"/>
          <w:szCs w:val="28"/>
          <w:lang w:eastAsia="zh-CN"/>
        </w:rPr>
        <w:lastRenderedPageBreak/>
        <w:t>Table of Contents</w:t>
      </w:r>
      <w:bookmarkEnd w:id="14"/>
    </w:p>
    <w:p w14:paraId="27CD2EB5" w14:textId="6D86D8EB" w:rsidR="00F91956" w:rsidRDefault="007A50C3">
      <w:pPr>
        <w:pStyle w:val="TOC1"/>
        <w:tabs>
          <w:tab w:val="right" w:leader="dot" w:pos="9628"/>
        </w:tabs>
        <w:spacing w:before="156"/>
        <w:rPr>
          <w:rFonts w:asciiTheme="minorHAnsi" w:eastAsiaTheme="minorEastAsia" w:hAnsiTheme="minorHAnsi" w:cstheme="minorBidi" w:hint="eastAsia"/>
          <w:b w:val="0"/>
          <w:noProof/>
          <w:sz w:val="21"/>
          <w:szCs w:val="22"/>
        </w:rPr>
      </w:pPr>
      <w:r w:rsidRPr="00F16A5E">
        <w:fldChar w:fldCharType="begin"/>
      </w:r>
      <w:r w:rsidRPr="00F16A5E">
        <w:instrText xml:space="preserve"> TOC \o "1-3" \h \z \u </w:instrText>
      </w:r>
      <w:r w:rsidRPr="00F16A5E">
        <w:fldChar w:fldCharType="separate"/>
      </w:r>
      <w:hyperlink w:anchor="_Toc71149126" w:history="1">
        <w:r w:rsidR="00F91956" w:rsidRPr="00756616">
          <w:rPr>
            <w:rStyle w:val="ae"/>
            <w:noProof/>
          </w:rPr>
          <w:t>Sponsor Signature</w:t>
        </w:r>
        <w:r w:rsidR="00F91956">
          <w:rPr>
            <w:noProof/>
            <w:webHidden/>
          </w:rPr>
          <w:tab/>
        </w:r>
        <w:r w:rsidR="00F91956">
          <w:rPr>
            <w:noProof/>
            <w:webHidden/>
          </w:rPr>
          <w:fldChar w:fldCharType="begin"/>
        </w:r>
        <w:r w:rsidR="00F91956">
          <w:rPr>
            <w:noProof/>
            <w:webHidden/>
          </w:rPr>
          <w:instrText xml:space="preserve"> PAGEREF _Toc71149126 \h </w:instrText>
        </w:r>
        <w:r w:rsidR="00F91956">
          <w:rPr>
            <w:noProof/>
            <w:webHidden/>
          </w:rPr>
        </w:r>
        <w:r w:rsidR="00F91956">
          <w:rPr>
            <w:noProof/>
            <w:webHidden/>
          </w:rPr>
          <w:fldChar w:fldCharType="separate"/>
        </w:r>
        <w:r w:rsidR="002F3CA2">
          <w:rPr>
            <w:noProof/>
            <w:webHidden/>
          </w:rPr>
          <w:t>1</w:t>
        </w:r>
        <w:r w:rsidR="00F91956">
          <w:rPr>
            <w:noProof/>
            <w:webHidden/>
          </w:rPr>
          <w:fldChar w:fldCharType="end"/>
        </w:r>
      </w:hyperlink>
    </w:p>
    <w:p w14:paraId="0585A542" w14:textId="7721B0C5" w:rsidR="00F91956" w:rsidRDefault="00F91956">
      <w:pPr>
        <w:pStyle w:val="TOC1"/>
        <w:tabs>
          <w:tab w:val="right" w:leader="dot" w:pos="9628"/>
        </w:tabs>
        <w:spacing w:before="156"/>
        <w:rPr>
          <w:rFonts w:asciiTheme="minorHAnsi" w:eastAsiaTheme="minorEastAsia" w:hAnsiTheme="minorHAnsi" w:cstheme="minorBidi" w:hint="eastAsia"/>
          <w:b w:val="0"/>
          <w:noProof/>
          <w:sz w:val="21"/>
          <w:szCs w:val="22"/>
        </w:rPr>
      </w:pPr>
      <w:hyperlink w:anchor="_Toc71149127" w:history="1">
        <w:r w:rsidRPr="00756616">
          <w:rPr>
            <w:rStyle w:val="ae"/>
            <w:noProof/>
          </w:rPr>
          <w:t>Investigator Signature Page</w:t>
        </w:r>
        <w:r>
          <w:rPr>
            <w:noProof/>
            <w:webHidden/>
          </w:rPr>
          <w:tab/>
        </w:r>
        <w:r>
          <w:rPr>
            <w:noProof/>
            <w:webHidden/>
          </w:rPr>
          <w:fldChar w:fldCharType="begin"/>
        </w:r>
        <w:r>
          <w:rPr>
            <w:noProof/>
            <w:webHidden/>
          </w:rPr>
          <w:instrText xml:space="preserve"> PAGEREF _Toc71149127 \h </w:instrText>
        </w:r>
        <w:r>
          <w:rPr>
            <w:noProof/>
            <w:webHidden/>
          </w:rPr>
        </w:r>
        <w:r>
          <w:rPr>
            <w:noProof/>
            <w:webHidden/>
          </w:rPr>
          <w:fldChar w:fldCharType="separate"/>
        </w:r>
        <w:r w:rsidR="002F3CA2">
          <w:rPr>
            <w:noProof/>
            <w:webHidden/>
          </w:rPr>
          <w:t>2</w:t>
        </w:r>
        <w:r>
          <w:rPr>
            <w:noProof/>
            <w:webHidden/>
          </w:rPr>
          <w:fldChar w:fldCharType="end"/>
        </w:r>
      </w:hyperlink>
    </w:p>
    <w:p w14:paraId="73217DBC" w14:textId="6393388A" w:rsidR="00F91956" w:rsidRDefault="00F91956">
      <w:pPr>
        <w:pStyle w:val="TOC1"/>
        <w:tabs>
          <w:tab w:val="right" w:leader="dot" w:pos="9628"/>
        </w:tabs>
        <w:spacing w:before="156"/>
        <w:rPr>
          <w:rFonts w:asciiTheme="minorHAnsi" w:eastAsiaTheme="minorEastAsia" w:hAnsiTheme="minorHAnsi" w:cstheme="minorBidi" w:hint="eastAsia"/>
          <w:b w:val="0"/>
          <w:noProof/>
          <w:sz w:val="21"/>
          <w:szCs w:val="22"/>
        </w:rPr>
      </w:pPr>
      <w:hyperlink w:anchor="_Toc71149128" w:history="1">
        <w:r w:rsidRPr="00756616">
          <w:rPr>
            <w:rStyle w:val="ae"/>
            <w:noProof/>
          </w:rPr>
          <w:t>Statement of Compliance</w:t>
        </w:r>
        <w:r>
          <w:rPr>
            <w:noProof/>
            <w:webHidden/>
          </w:rPr>
          <w:tab/>
        </w:r>
        <w:r>
          <w:rPr>
            <w:noProof/>
            <w:webHidden/>
          </w:rPr>
          <w:fldChar w:fldCharType="begin"/>
        </w:r>
        <w:r>
          <w:rPr>
            <w:noProof/>
            <w:webHidden/>
          </w:rPr>
          <w:instrText xml:space="preserve"> PAGEREF _Toc71149128 \h </w:instrText>
        </w:r>
        <w:r>
          <w:rPr>
            <w:noProof/>
            <w:webHidden/>
          </w:rPr>
        </w:r>
        <w:r>
          <w:rPr>
            <w:noProof/>
            <w:webHidden/>
          </w:rPr>
          <w:fldChar w:fldCharType="separate"/>
        </w:r>
        <w:r w:rsidR="002F3CA2">
          <w:rPr>
            <w:noProof/>
            <w:webHidden/>
          </w:rPr>
          <w:t>3</w:t>
        </w:r>
        <w:r>
          <w:rPr>
            <w:noProof/>
            <w:webHidden/>
          </w:rPr>
          <w:fldChar w:fldCharType="end"/>
        </w:r>
      </w:hyperlink>
    </w:p>
    <w:p w14:paraId="66E18E4E" w14:textId="3FA02BBF" w:rsidR="00F91956" w:rsidRDefault="00F91956">
      <w:pPr>
        <w:pStyle w:val="TOC1"/>
        <w:tabs>
          <w:tab w:val="right" w:leader="dot" w:pos="9628"/>
        </w:tabs>
        <w:spacing w:before="156"/>
        <w:rPr>
          <w:rFonts w:asciiTheme="minorHAnsi" w:eastAsiaTheme="minorEastAsia" w:hAnsiTheme="minorHAnsi" w:cstheme="minorBidi" w:hint="eastAsia"/>
          <w:b w:val="0"/>
          <w:noProof/>
          <w:sz w:val="21"/>
          <w:szCs w:val="22"/>
        </w:rPr>
      </w:pPr>
      <w:hyperlink w:anchor="_Toc71149129" w:history="1">
        <w:r w:rsidRPr="00756616">
          <w:rPr>
            <w:rStyle w:val="ae"/>
            <w:noProof/>
          </w:rPr>
          <w:t>Synopsis</w:t>
        </w:r>
        <w:r>
          <w:rPr>
            <w:noProof/>
            <w:webHidden/>
          </w:rPr>
          <w:tab/>
        </w:r>
        <w:r>
          <w:rPr>
            <w:noProof/>
            <w:webHidden/>
          </w:rPr>
          <w:fldChar w:fldCharType="begin"/>
        </w:r>
        <w:r>
          <w:rPr>
            <w:noProof/>
            <w:webHidden/>
          </w:rPr>
          <w:instrText xml:space="preserve"> PAGEREF _Toc71149129 \h </w:instrText>
        </w:r>
        <w:r>
          <w:rPr>
            <w:noProof/>
            <w:webHidden/>
          </w:rPr>
        </w:r>
        <w:r>
          <w:rPr>
            <w:noProof/>
            <w:webHidden/>
          </w:rPr>
          <w:fldChar w:fldCharType="separate"/>
        </w:r>
        <w:r w:rsidR="002F3CA2">
          <w:rPr>
            <w:noProof/>
            <w:webHidden/>
          </w:rPr>
          <w:t>4</w:t>
        </w:r>
        <w:r>
          <w:rPr>
            <w:noProof/>
            <w:webHidden/>
          </w:rPr>
          <w:fldChar w:fldCharType="end"/>
        </w:r>
      </w:hyperlink>
    </w:p>
    <w:p w14:paraId="761D2DA9" w14:textId="130A93D0" w:rsidR="00F91956" w:rsidRDefault="00F91956">
      <w:pPr>
        <w:pStyle w:val="TOC1"/>
        <w:tabs>
          <w:tab w:val="right" w:leader="dot" w:pos="9628"/>
        </w:tabs>
        <w:spacing w:before="156"/>
        <w:rPr>
          <w:rFonts w:asciiTheme="minorHAnsi" w:eastAsiaTheme="minorEastAsia" w:hAnsiTheme="minorHAnsi" w:cstheme="minorBidi" w:hint="eastAsia"/>
          <w:b w:val="0"/>
          <w:noProof/>
          <w:sz w:val="21"/>
          <w:szCs w:val="22"/>
        </w:rPr>
      </w:pPr>
      <w:hyperlink w:anchor="_Toc71149130" w:history="1">
        <w:r w:rsidRPr="00756616">
          <w:rPr>
            <w:rStyle w:val="ae"/>
            <w:noProof/>
          </w:rPr>
          <w:t>Study Schedule</w:t>
        </w:r>
        <w:r>
          <w:rPr>
            <w:noProof/>
            <w:webHidden/>
          </w:rPr>
          <w:tab/>
        </w:r>
        <w:r>
          <w:rPr>
            <w:noProof/>
            <w:webHidden/>
          </w:rPr>
          <w:fldChar w:fldCharType="begin"/>
        </w:r>
        <w:r>
          <w:rPr>
            <w:noProof/>
            <w:webHidden/>
          </w:rPr>
          <w:instrText xml:space="preserve"> PAGEREF _Toc71149130 \h </w:instrText>
        </w:r>
        <w:r>
          <w:rPr>
            <w:noProof/>
            <w:webHidden/>
          </w:rPr>
        </w:r>
        <w:r>
          <w:rPr>
            <w:noProof/>
            <w:webHidden/>
          </w:rPr>
          <w:fldChar w:fldCharType="separate"/>
        </w:r>
        <w:r w:rsidR="002F3CA2">
          <w:rPr>
            <w:noProof/>
            <w:webHidden/>
          </w:rPr>
          <w:t>12</w:t>
        </w:r>
        <w:r>
          <w:rPr>
            <w:noProof/>
            <w:webHidden/>
          </w:rPr>
          <w:fldChar w:fldCharType="end"/>
        </w:r>
      </w:hyperlink>
    </w:p>
    <w:p w14:paraId="586D98BD" w14:textId="14DD7882" w:rsidR="00F91956" w:rsidRDefault="00F91956">
      <w:pPr>
        <w:pStyle w:val="TOC1"/>
        <w:tabs>
          <w:tab w:val="right" w:leader="dot" w:pos="9628"/>
        </w:tabs>
        <w:spacing w:before="156"/>
        <w:rPr>
          <w:rFonts w:asciiTheme="minorHAnsi" w:eastAsiaTheme="minorEastAsia" w:hAnsiTheme="minorHAnsi" w:cstheme="minorBidi" w:hint="eastAsia"/>
          <w:b w:val="0"/>
          <w:noProof/>
          <w:sz w:val="21"/>
          <w:szCs w:val="22"/>
        </w:rPr>
      </w:pPr>
      <w:hyperlink w:anchor="_Toc71149131" w:history="1">
        <w:r w:rsidRPr="00756616">
          <w:rPr>
            <w:rStyle w:val="ae"/>
            <w:noProof/>
          </w:rPr>
          <w:t>Table of Contents</w:t>
        </w:r>
        <w:r>
          <w:rPr>
            <w:noProof/>
            <w:webHidden/>
          </w:rPr>
          <w:tab/>
        </w:r>
        <w:r>
          <w:rPr>
            <w:noProof/>
            <w:webHidden/>
          </w:rPr>
          <w:fldChar w:fldCharType="begin"/>
        </w:r>
        <w:r>
          <w:rPr>
            <w:noProof/>
            <w:webHidden/>
          </w:rPr>
          <w:instrText xml:space="preserve"> PAGEREF _Toc71149131 \h </w:instrText>
        </w:r>
        <w:r>
          <w:rPr>
            <w:noProof/>
            <w:webHidden/>
          </w:rPr>
        </w:r>
        <w:r>
          <w:rPr>
            <w:noProof/>
            <w:webHidden/>
          </w:rPr>
          <w:fldChar w:fldCharType="separate"/>
        </w:r>
        <w:r w:rsidR="002F3CA2">
          <w:rPr>
            <w:noProof/>
            <w:webHidden/>
          </w:rPr>
          <w:t>18</w:t>
        </w:r>
        <w:r>
          <w:rPr>
            <w:noProof/>
            <w:webHidden/>
          </w:rPr>
          <w:fldChar w:fldCharType="end"/>
        </w:r>
      </w:hyperlink>
    </w:p>
    <w:p w14:paraId="7F897DAC" w14:textId="34C235E9" w:rsidR="00F91956" w:rsidRDefault="00F91956">
      <w:pPr>
        <w:pStyle w:val="TOC1"/>
        <w:tabs>
          <w:tab w:val="left" w:pos="420"/>
          <w:tab w:val="right" w:leader="dot" w:pos="9628"/>
        </w:tabs>
        <w:spacing w:before="156"/>
        <w:rPr>
          <w:rFonts w:asciiTheme="minorHAnsi" w:eastAsiaTheme="minorEastAsia" w:hAnsiTheme="minorHAnsi" w:cstheme="minorBidi" w:hint="eastAsia"/>
          <w:b w:val="0"/>
          <w:noProof/>
          <w:sz w:val="21"/>
          <w:szCs w:val="22"/>
        </w:rPr>
      </w:pPr>
      <w:hyperlink w:anchor="_Toc71149132" w:history="1">
        <w:r w:rsidRPr="00756616">
          <w:rPr>
            <w:rStyle w:val="ae"/>
            <w:noProof/>
          </w:rPr>
          <w:t>1</w:t>
        </w:r>
        <w:r>
          <w:rPr>
            <w:rFonts w:asciiTheme="minorHAnsi" w:eastAsiaTheme="minorEastAsia" w:hAnsiTheme="minorHAnsi" w:cstheme="minorBidi"/>
            <w:b w:val="0"/>
            <w:noProof/>
            <w:sz w:val="21"/>
            <w:szCs w:val="22"/>
          </w:rPr>
          <w:tab/>
        </w:r>
        <w:r w:rsidRPr="00756616">
          <w:rPr>
            <w:rStyle w:val="ae"/>
            <w:noProof/>
          </w:rPr>
          <w:t>Introduction</w:t>
        </w:r>
        <w:r>
          <w:rPr>
            <w:noProof/>
            <w:webHidden/>
          </w:rPr>
          <w:tab/>
        </w:r>
        <w:r>
          <w:rPr>
            <w:noProof/>
            <w:webHidden/>
          </w:rPr>
          <w:fldChar w:fldCharType="begin"/>
        </w:r>
        <w:r>
          <w:rPr>
            <w:noProof/>
            <w:webHidden/>
          </w:rPr>
          <w:instrText xml:space="preserve"> PAGEREF _Toc71149132 \h </w:instrText>
        </w:r>
        <w:r>
          <w:rPr>
            <w:noProof/>
            <w:webHidden/>
          </w:rPr>
        </w:r>
        <w:r>
          <w:rPr>
            <w:noProof/>
            <w:webHidden/>
          </w:rPr>
          <w:fldChar w:fldCharType="separate"/>
        </w:r>
        <w:r w:rsidR="002F3CA2">
          <w:rPr>
            <w:noProof/>
            <w:webHidden/>
          </w:rPr>
          <w:t>21</w:t>
        </w:r>
        <w:r>
          <w:rPr>
            <w:noProof/>
            <w:webHidden/>
          </w:rPr>
          <w:fldChar w:fldCharType="end"/>
        </w:r>
      </w:hyperlink>
    </w:p>
    <w:p w14:paraId="58A728B8" w14:textId="27818591"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33" w:history="1">
        <w:r w:rsidRPr="00756616">
          <w:rPr>
            <w:rStyle w:val="ae"/>
            <w:noProof/>
          </w:rPr>
          <w:t>1.1</w:t>
        </w:r>
        <w:r>
          <w:rPr>
            <w:rFonts w:asciiTheme="minorHAnsi" w:eastAsiaTheme="minorEastAsia" w:hAnsiTheme="minorHAnsi" w:cstheme="minorBidi"/>
            <w:noProof/>
            <w:sz w:val="21"/>
            <w:szCs w:val="22"/>
          </w:rPr>
          <w:tab/>
        </w:r>
        <w:r w:rsidRPr="00756616">
          <w:rPr>
            <w:rStyle w:val="ae"/>
            <w:noProof/>
          </w:rPr>
          <w:t>Study Rationale</w:t>
        </w:r>
        <w:r>
          <w:rPr>
            <w:noProof/>
            <w:webHidden/>
          </w:rPr>
          <w:tab/>
        </w:r>
        <w:r>
          <w:rPr>
            <w:noProof/>
            <w:webHidden/>
          </w:rPr>
          <w:fldChar w:fldCharType="begin"/>
        </w:r>
        <w:r>
          <w:rPr>
            <w:noProof/>
            <w:webHidden/>
          </w:rPr>
          <w:instrText xml:space="preserve"> PAGEREF _Toc71149133 \h </w:instrText>
        </w:r>
        <w:r>
          <w:rPr>
            <w:noProof/>
            <w:webHidden/>
          </w:rPr>
        </w:r>
        <w:r>
          <w:rPr>
            <w:noProof/>
            <w:webHidden/>
          </w:rPr>
          <w:fldChar w:fldCharType="separate"/>
        </w:r>
        <w:r w:rsidR="002F3CA2">
          <w:rPr>
            <w:noProof/>
            <w:webHidden/>
          </w:rPr>
          <w:t>21</w:t>
        </w:r>
        <w:r>
          <w:rPr>
            <w:noProof/>
            <w:webHidden/>
          </w:rPr>
          <w:fldChar w:fldCharType="end"/>
        </w:r>
      </w:hyperlink>
    </w:p>
    <w:p w14:paraId="1FD1F0CA" w14:textId="033E7045"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34" w:history="1">
        <w:r w:rsidRPr="00756616">
          <w:rPr>
            <w:rStyle w:val="ae"/>
            <w:noProof/>
          </w:rPr>
          <w:t>1.2</w:t>
        </w:r>
        <w:r>
          <w:rPr>
            <w:rFonts w:asciiTheme="minorHAnsi" w:eastAsiaTheme="minorEastAsia" w:hAnsiTheme="minorHAnsi" w:cstheme="minorBidi"/>
            <w:noProof/>
            <w:sz w:val="21"/>
            <w:szCs w:val="22"/>
          </w:rPr>
          <w:tab/>
        </w:r>
        <w:r w:rsidRPr="00756616">
          <w:rPr>
            <w:rStyle w:val="ae"/>
            <w:noProof/>
          </w:rPr>
          <w:t>Study Background</w:t>
        </w:r>
        <w:r>
          <w:rPr>
            <w:noProof/>
            <w:webHidden/>
          </w:rPr>
          <w:tab/>
        </w:r>
        <w:r>
          <w:rPr>
            <w:noProof/>
            <w:webHidden/>
          </w:rPr>
          <w:fldChar w:fldCharType="begin"/>
        </w:r>
        <w:r>
          <w:rPr>
            <w:noProof/>
            <w:webHidden/>
          </w:rPr>
          <w:instrText xml:space="preserve"> PAGEREF _Toc71149134 \h </w:instrText>
        </w:r>
        <w:r>
          <w:rPr>
            <w:noProof/>
            <w:webHidden/>
          </w:rPr>
        </w:r>
        <w:r>
          <w:rPr>
            <w:noProof/>
            <w:webHidden/>
          </w:rPr>
          <w:fldChar w:fldCharType="separate"/>
        </w:r>
        <w:r w:rsidR="002F3CA2">
          <w:rPr>
            <w:noProof/>
            <w:webHidden/>
          </w:rPr>
          <w:t>22</w:t>
        </w:r>
        <w:r>
          <w:rPr>
            <w:noProof/>
            <w:webHidden/>
          </w:rPr>
          <w:fldChar w:fldCharType="end"/>
        </w:r>
      </w:hyperlink>
    </w:p>
    <w:p w14:paraId="540F35F8" w14:textId="681B316C"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35" w:history="1">
        <w:r w:rsidRPr="00756616">
          <w:rPr>
            <w:rStyle w:val="ae"/>
            <w:noProof/>
          </w:rPr>
          <w:t>1.2.1</w:t>
        </w:r>
        <w:r>
          <w:rPr>
            <w:rFonts w:asciiTheme="minorHAnsi" w:eastAsiaTheme="minorEastAsia" w:hAnsiTheme="minorHAnsi" w:cstheme="minorBidi"/>
            <w:noProof/>
            <w:sz w:val="21"/>
            <w:szCs w:val="22"/>
          </w:rPr>
          <w:tab/>
        </w:r>
        <w:r w:rsidRPr="00756616">
          <w:rPr>
            <w:rStyle w:val="ae"/>
            <w:noProof/>
          </w:rPr>
          <w:t>Nonclinical Study</w:t>
        </w:r>
        <w:r>
          <w:rPr>
            <w:noProof/>
            <w:webHidden/>
          </w:rPr>
          <w:tab/>
        </w:r>
        <w:r>
          <w:rPr>
            <w:noProof/>
            <w:webHidden/>
          </w:rPr>
          <w:fldChar w:fldCharType="begin"/>
        </w:r>
        <w:r>
          <w:rPr>
            <w:noProof/>
            <w:webHidden/>
          </w:rPr>
          <w:instrText xml:space="preserve"> PAGEREF _Toc71149135 \h </w:instrText>
        </w:r>
        <w:r>
          <w:rPr>
            <w:noProof/>
            <w:webHidden/>
          </w:rPr>
        </w:r>
        <w:r>
          <w:rPr>
            <w:noProof/>
            <w:webHidden/>
          </w:rPr>
          <w:fldChar w:fldCharType="separate"/>
        </w:r>
        <w:r w:rsidR="002F3CA2">
          <w:rPr>
            <w:noProof/>
            <w:webHidden/>
          </w:rPr>
          <w:t>22</w:t>
        </w:r>
        <w:r>
          <w:rPr>
            <w:noProof/>
            <w:webHidden/>
          </w:rPr>
          <w:fldChar w:fldCharType="end"/>
        </w:r>
      </w:hyperlink>
    </w:p>
    <w:p w14:paraId="66965AF6" w14:textId="5F3D2FA6"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36" w:history="1">
        <w:r w:rsidRPr="00756616">
          <w:rPr>
            <w:rStyle w:val="ae"/>
            <w:noProof/>
          </w:rPr>
          <w:t>1.2.2</w:t>
        </w:r>
        <w:r>
          <w:rPr>
            <w:rFonts w:asciiTheme="minorHAnsi" w:eastAsiaTheme="minorEastAsia" w:hAnsiTheme="minorHAnsi" w:cstheme="minorBidi"/>
            <w:noProof/>
            <w:sz w:val="21"/>
            <w:szCs w:val="22"/>
          </w:rPr>
          <w:tab/>
        </w:r>
        <w:r w:rsidRPr="00756616">
          <w:rPr>
            <w:rStyle w:val="ae"/>
            <w:noProof/>
          </w:rPr>
          <w:t>Clinical Studies</w:t>
        </w:r>
        <w:r>
          <w:rPr>
            <w:noProof/>
            <w:webHidden/>
          </w:rPr>
          <w:tab/>
        </w:r>
        <w:r>
          <w:rPr>
            <w:noProof/>
            <w:webHidden/>
          </w:rPr>
          <w:fldChar w:fldCharType="begin"/>
        </w:r>
        <w:r>
          <w:rPr>
            <w:noProof/>
            <w:webHidden/>
          </w:rPr>
          <w:instrText xml:space="preserve"> PAGEREF _Toc71149136 \h </w:instrText>
        </w:r>
        <w:r>
          <w:rPr>
            <w:noProof/>
            <w:webHidden/>
          </w:rPr>
        </w:r>
        <w:r>
          <w:rPr>
            <w:noProof/>
            <w:webHidden/>
          </w:rPr>
          <w:fldChar w:fldCharType="separate"/>
        </w:r>
        <w:r w:rsidR="002F3CA2">
          <w:rPr>
            <w:noProof/>
            <w:webHidden/>
          </w:rPr>
          <w:t>25</w:t>
        </w:r>
        <w:r>
          <w:rPr>
            <w:noProof/>
            <w:webHidden/>
          </w:rPr>
          <w:fldChar w:fldCharType="end"/>
        </w:r>
      </w:hyperlink>
    </w:p>
    <w:p w14:paraId="312C707A" w14:textId="73772890"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37" w:history="1">
        <w:r w:rsidRPr="00756616">
          <w:rPr>
            <w:rStyle w:val="ae"/>
            <w:noProof/>
          </w:rPr>
          <w:t>1.3</w:t>
        </w:r>
        <w:r>
          <w:rPr>
            <w:rFonts w:asciiTheme="minorHAnsi" w:eastAsiaTheme="minorEastAsia" w:hAnsiTheme="minorHAnsi" w:cstheme="minorBidi"/>
            <w:noProof/>
            <w:sz w:val="21"/>
            <w:szCs w:val="22"/>
          </w:rPr>
          <w:tab/>
        </w:r>
        <w:r w:rsidRPr="00756616">
          <w:rPr>
            <w:rStyle w:val="ae"/>
            <w:noProof/>
          </w:rPr>
          <w:t>Risk-Benefit Assessment</w:t>
        </w:r>
        <w:r>
          <w:rPr>
            <w:noProof/>
            <w:webHidden/>
          </w:rPr>
          <w:tab/>
        </w:r>
        <w:r>
          <w:rPr>
            <w:noProof/>
            <w:webHidden/>
          </w:rPr>
          <w:fldChar w:fldCharType="begin"/>
        </w:r>
        <w:r>
          <w:rPr>
            <w:noProof/>
            <w:webHidden/>
          </w:rPr>
          <w:instrText xml:space="preserve"> PAGEREF _Toc71149137 \h </w:instrText>
        </w:r>
        <w:r>
          <w:rPr>
            <w:noProof/>
            <w:webHidden/>
          </w:rPr>
        </w:r>
        <w:r>
          <w:rPr>
            <w:noProof/>
            <w:webHidden/>
          </w:rPr>
          <w:fldChar w:fldCharType="separate"/>
        </w:r>
        <w:r w:rsidR="002F3CA2">
          <w:rPr>
            <w:noProof/>
            <w:webHidden/>
          </w:rPr>
          <w:t>28</w:t>
        </w:r>
        <w:r>
          <w:rPr>
            <w:noProof/>
            <w:webHidden/>
          </w:rPr>
          <w:fldChar w:fldCharType="end"/>
        </w:r>
      </w:hyperlink>
    </w:p>
    <w:p w14:paraId="10E3BB62" w14:textId="335DA51A" w:rsidR="00F91956" w:rsidRDefault="00F91956">
      <w:pPr>
        <w:pStyle w:val="TOC1"/>
        <w:tabs>
          <w:tab w:val="left" w:pos="420"/>
          <w:tab w:val="right" w:leader="dot" w:pos="9628"/>
        </w:tabs>
        <w:spacing w:before="156"/>
        <w:rPr>
          <w:rFonts w:asciiTheme="minorHAnsi" w:eastAsiaTheme="minorEastAsia" w:hAnsiTheme="minorHAnsi" w:cstheme="minorBidi" w:hint="eastAsia"/>
          <w:b w:val="0"/>
          <w:noProof/>
          <w:sz w:val="21"/>
          <w:szCs w:val="22"/>
        </w:rPr>
      </w:pPr>
      <w:hyperlink w:anchor="_Toc71149138" w:history="1">
        <w:r w:rsidRPr="00756616">
          <w:rPr>
            <w:rStyle w:val="ae"/>
            <w:noProof/>
          </w:rPr>
          <w:t>2</w:t>
        </w:r>
        <w:r>
          <w:rPr>
            <w:rFonts w:asciiTheme="minorHAnsi" w:eastAsiaTheme="minorEastAsia" w:hAnsiTheme="minorHAnsi" w:cstheme="minorBidi"/>
            <w:b w:val="0"/>
            <w:noProof/>
            <w:sz w:val="21"/>
            <w:szCs w:val="22"/>
          </w:rPr>
          <w:tab/>
        </w:r>
        <w:r w:rsidRPr="00756616">
          <w:rPr>
            <w:rStyle w:val="ae"/>
            <w:noProof/>
          </w:rPr>
          <w:t>Study Objectives and Endpoints</w:t>
        </w:r>
        <w:r>
          <w:rPr>
            <w:noProof/>
            <w:webHidden/>
          </w:rPr>
          <w:tab/>
        </w:r>
        <w:r>
          <w:rPr>
            <w:noProof/>
            <w:webHidden/>
          </w:rPr>
          <w:fldChar w:fldCharType="begin"/>
        </w:r>
        <w:r>
          <w:rPr>
            <w:noProof/>
            <w:webHidden/>
          </w:rPr>
          <w:instrText xml:space="preserve"> PAGEREF _Toc71149138 \h </w:instrText>
        </w:r>
        <w:r>
          <w:rPr>
            <w:noProof/>
            <w:webHidden/>
          </w:rPr>
        </w:r>
        <w:r>
          <w:rPr>
            <w:noProof/>
            <w:webHidden/>
          </w:rPr>
          <w:fldChar w:fldCharType="separate"/>
        </w:r>
        <w:r w:rsidR="002F3CA2">
          <w:rPr>
            <w:noProof/>
            <w:webHidden/>
          </w:rPr>
          <w:t>30</w:t>
        </w:r>
        <w:r>
          <w:rPr>
            <w:noProof/>
            <w:webHidden/>
          </w:rPr>
          <w:fldChar w:fldCharType="end"/>
        </w:r>
      </w:hyperlink>
    </w:p>
    <w:p w14:paraId="0B9867E3" w14:textId="5184BE14"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39" w:history="1">
        <w:r w:rsidRPr="00756616">
          <w:rPr>
            <w:rStyle w:val="ae"/>
            <w:noProof/>
          </w:rPr>
          <w:t>2.1</w:t>
        </w:r>
        <w:r>
          <w:rPr>
            <w:rFonts w:asciiTheme="minorHAnsi" w:eastAsiaTheme="minorEastAsia" w:hAnsiTheme="minorHAnsi" w:cstheme="minorBidi"/>
            <w:noProof/>
            <w:sz w:val="21"/>
            <w:szCs w:val="22"/>
          </w:rPr>
          <w:tab/>
        </w:r>
        <w:r w:rsidRPr="00756616">
          <w:rPr>
            <w:rStyle w:val="ae"/>
            <w:noProof/>
          </w:rPr>
          <w:t>Study Objectives</w:t>
        </w:r>
        <w:r>
          <w:rPr>
            <w:noProof/>
            <w:webHidden/>
          </w:rPr>
          <w:tab/>
        </w:r>
        <w:r>
          <w:rPr>
            <w:noProof/>
            <w:webHidden/>
          </w:rPr>
          <w:fldChar w:fldCharType="begin"/>
        </w:r>
        <w:r>
          <w:rPr>
            <w:noProof/>
            <w:webHidden/>
          </w:rPr>
          <w:instrText xml:space="preserve"> PAGEREF _Toc71149139 \h </w:instrText>
        </w:r>
        <w:r>
          <w:rPr>
            <w:noProof/>
            <w:webHidden/>
          </w:rPr>
        </w:r>
        <w:r>
          <w:rPr>
            <w:noProof/>
            <w:webHidden/>
          </w:rPr>
          <w:fldChar w:fldCharType="separate"/>
        </w:r>
        <w:r w:rsidR="002F3CA2">
          <w:rPr>
            <w:noProof/>
            <w:webHidden/>
          </w:rPr>
          <w:t>30</w:t>
        </w:r>
        <w:r>
          <w:rPr>
            <w:noProof/>
            <w:webHidden/>
          </w:rPr>
          <w:fldChar w:fldCharType="end"/>
        </w:r>
      </w:hyperlink>
    </w:p>
    <w:p w14:paraId="70D6154D" w14:textId="0B1414B3"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40" w:history="1">
        <w:r w:rsidRPr="00756616">
          <w:rPr>
            <w:rStyle w:val="ae"/>
            <w:noProof/>
          </w:rPr>
          <w:t>2.1.1</w:t>
        </w:r>
        <w:r>
          <w:rPr>
            <w:rFonts w:asciiTheme="minorHAnsi" w:eastAsiaTheme="minorEastAsia" w:hAnsiTheme="minorHAnsi" w:cstheme="minorBidi"/>
            <w:noProof/>
            <w:sz w:val="21"/>
            <w:szCs w:val="22"/>
          </w:rPr>
          <w:tab/>
        </w:r>
        <w:r w:rsidRPr="00756616">
          <w:rPr>
            <w:rStyle w:val="ae"/>
            <w:noProof/>
          </w:rPr>
          <w:t>Primary Objectives</w:t>
        </w:r>
        <w:r>
          <w:rPr>
            <w:noProof/>
            <w:webHidden/>
          </w:rPr>
          <w:tab/>
        </w:r>
        <w:r>
          <w:rPr>
            <w:noProof/>
            <w:webHidden/>
          </w:rPr>
          <w:fldChar w:fldCharType="begin"/>
        </w:r>
        <w:r>
          <w:rPr>
            <w:noProof/>
            <w:webHidden/>
          </w:rPr>
          <w:instrText xml:space="preserve"> PAGEREF _Toc71149140 \h </w:instrText>
        </w:r>
        <w:r>
          <w:rPr>
            <w:noProof/>
            <w:webHidden/>
          </w:rPr>
        </w:r>
        <w:r>
          <w:rPr>
            <w:noProof/>
            <w:webHidden/>
          </w:rPr>
          <w:fldChar w:fldCharType="separate"/>
        </w:r>
        <w:r w:rsidR="002F3CA2">
          <w:rPr>
            <w:noProof/>
            <w:webHidden/>
          </w:rPr>
          <w:t>30</w:t>
        </w:r>
        <w:r>
          <w:rPr>
            <w:noProof/>
            <w:webHidden/>
          </w:rPr>
          <w:fldChar w:fldCharType="end"/>
        </w:r>
      </w:hyperlink>
    </w:p>
    <w:p w14:paraId="5FFC20C2" w14:textId="517B594C"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41" w:history="1">
        <w:r w:rsidRPr="00756616">
          <w:rPr>
            <w:rStyle w:val="ae"/>
            <w:noProof/>
          </w:rPr>
          <w:t>2.1.2</w:t>
        </w:r>
        <w:r>
          <w:rPr>
            <w:rFonts w:asciiTheme="minorHAnsi" w:eastAsiaTheme="minorEastAsia" w:hAnsiTheme="minorHAnsi" w:cstheme="minorBidi"/>
            <w:noProof/>
            <w:sz w:val="21"/>
            <w:szCs w:val="22"/>
          </w:rPr>
          <w:tab/>
        </w:r>
        <w:r w:rsidRPr="00756616">
          <w:rPr>
            <w:rStyle w:val="ae"/>
            <w:noProof/>
          </w:rPr>
          <w:t>Secondary Objectives</w:t>
        </w:r>
        <w:r>
          <w:rPr>
            <w:noProof/>
            <w:webHidden/>
          </w:rPr>
          <w:tab/>
        </w:r>
        <w:r>
          <w:rPr>
            <w:noProof/>
            <w:webHidden/>
          </w:rPr>
          <w:fldChar w:fldCharType="begin"/>
        </w:r>
        <w:r>
          <w:rPr>
            <w:noProof/>
            <w:webHidden/>
          </w:rPr>
          <w:instrText xml:space="preserve"> PAGEREF _Toc71149141 \h </w:instrText>
        </w:r>
        <w:r>
          <w:rPr>
            <w:noProof/>
            <w:webHidden/>
          </w:rPr>
        </w:r>
        <w:r>
          <w:rPr>
            <w:noProof/>
            <w:webHidden/>
          </w:rPr>
          <w:fldChar w:fldCharType="separate"/>
        </w:r>
        <w:r w:rsidR="002F3CA2">
          <w:rPr>
            <w:noProof/>
            <w:webHidden/>
          </w:rPr>
          <w:t>30</w:t>
        </w:r>
        <w:r>
          <w:rPr>
            <w:noProof/>
            <w:webHidden/>
          </w:rPr>
          <w:fldChar w:fldCharType="end"/>
        </w:r>
      </w:hyperlink>
    </w:p>
    <w:p w14:paraId="6681A0FE" w14:textId="7B61ECAD"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42" w:history="1">
        <w:r w:rsidRPr="00756616">
          <w:rPr>
            <w:rStyle w:val="ae"/>
            <w:noProof/>
          </w:rPr>
          <w:t>2.2</w:t>
        </w:r>
        <w:r>
          <w:rPr>
            <w:rFonts w:asciiTheme="minorHAnsi" w:eastAsiaTheme="minorEastAsia" w:hAnsiTheme="minorHAnsi" w:cstheme="minorBidi"/>
            <w:noProof/>
            <w:sz w:val="21"/>
            <w:szCs w:val="22"/>
          </w:rPr>
          <w:tab/>
        </w:r>
        <w:r w:rsidRPr="00756616">
          <w:rPr>
            <w:rStyle w:val="ae"/>
            <w:noProof/>
          </w:rPr>
          <w:t>Study Endpoints</w:t>
        </w:r>
        <w:r>
          <w:rPr>
            <w:noProof/>
            <w:webHidden/>
          </w:rPr>
          <w:tab/>
        </w:r>
        <w:r>
          <w:rPr>
            <w:noProof/>
            <w:webHidden/>
          </w:rPr>
          <w:fldChar w:fldCharType="begin"/>
        </w:r>
        <w:r>
          <w:rPr>
            <w:noProof/>
            <w:webHidden/>
          </w:rPr>
          <w:instrText xml:space="preserve"> PAGEREF _Toc71149142 \h </w:instrText>
        </w:r>
        <w:r>
          <w:rPr>
            <w:noProof/>
            <w:webHidden/>
          </w:rPr>
        </w:r>
        <w:r>
          <w:rPr>
            <w:noProof/>
            <w:webHidden/>
          </w:rPr>
          <w:fldChar w:fldCharType="separate"/>
        </w:r>
        <w:r w:rsidR="002F3CA2">
          <w:rPr>
            <w:noProof/>
            <w:webHidden/>
          </w:rPr>
          <w:t>30</w:t>
        </w:r>
        <w:r>
          <w:rPr>
            <w:noProof/>
            <w:webHidden/>
          </w:rPr>
          <w:fldChar w:fldCharType="end"/>
        </w:r>
      </w:hyperlink>
    </w:p>
    <w:p w14:paraId="160A2D68" w14:textId="4B1BE8AD"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43" w:history="1">
        <w:r w:rsidRPr="00756616">
          <w:rPr>
            <w:rStyle w:val="ae"/>
            <w:noProof/>
          </w:rPr>
          <w:t>2.2.1</w:t>
        </w:r>
        <w:r>
          <w:rPr>
            <w:rFonts w:asciiTheme="minorHAnsi" w:eastAsiaTheme="minorEastAsia" w:hAnsiTheme="minorHAnsi" w:cstheme="minorBidi"/>
            <w:noProof/>
            <w:sz w:val="21"/>
            <w:szCs w:val="22"/>
          </w:rPr>
          <w:tab/>
        </w:r>
        <w:r w:rsidRPr="00756616">
          <w:rPr>
            <w:rStyle w:val="ae"/>
            <w:noProof/>
          </w:rPr>
          <w:t>Primary Endpoints</w:t>
        </w:r>
        <w:r>
          <w:rPr>
            <w:noProof/>
            <w:webHidden/>
          </w:rPr>
          <w:tab/>
        </w:r>
        <w:r>
          <w:rPr>
            <w:noProof/>
            <w:webHidden/>
          </w:rPr>
          <w:fldChar w:fldCharType="begin"/>
        </w:r>
        <w:r>
          <w:rPr>
            <w:noProof/>
            <w:webHidden/>
          </w:rPr>
          <w:instrText xml:space="preserve"> PAGEREF _Toc71149143 \h </w:instrText>
        </w:r>
        <w:r>
          <w:rPr>
            <w:noProof/>
            <w:webHidden/>
          </w:rPr>
        </w:r>
        <w:r>
          <w:rPr>
            <w:noProof/>
            <w:webHidden/>
          </w:rPr>
          <w:fldChar w:fldCharType="separate"/>
        </w:r>
        <w:r w:rsidR="002F3CA2">
          <w:rPr>
            <w:noProof/>
            <w:webHidden/>
          </w:rPr>
          <w:t>30</w:t>
        </w:r>
        <w:r>
          <w:rPr>
            <w:noProof/>
            <w:webHidden/>
          </w:rPr>
          <w:fldChar w:fldCharType="end"/>
        </w:r>
      </w:hyperlink>
    </w:p>
    <w:p w14:paraId="1F7CAF4C" w14:textId="33A10C5B"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44" w:history="1">
        <w:r w:rsidRPr="00756616">
          <w:rPr>
            <w:rStyle w:val="ae"/>
            <w:noProof/>
          </w:rPr>
          <w:t>2.2.2</w:t>
        </w:r>
        <w:r>
          <w:rPr>
            <w:rFonts w:asciiTheme="minorHAnsi" w:eastAsiaTheme="minorEastAsia" w:hAnsiTheme="minorHAnsi" w:cstheme="minorBidi"/>
            <w:noProof/>
            <w:sz w:val="21"/>
            <w:szCs w:val="22"/>
          </w:rPr>
          <w:tab/>
        </w:r>
        <w:r w:rsidRPr="00756616">
          <w:rPr>
            <w:rStyle w:val="ae"/>
            <w:noProof/>
          </w:rPr>
          <w:t>Secondary Endpoints</w:t>
        </w:r>
        <w:r>
          <w:rPr>
            <w:noProof/>
            <w:webHidden/>
          </w:rPr>
          <w:tab/>
        </w:r>
        <w:r>
          <w:rPr>
            <w:noProof/>
            <w:webHidden/>
          </w:rPr>
          <w:fldChar w:fldCharType="begin"/>
        </w:r>
        <w:r>
          <w:rPr>
            <w:noProof/>
            <w:webHidden/>
          </w:rPr>
          <w:instrText xml:space="preserve"> PAGEREF _Toc71149144 \h </w:instrText>
        </w:r>
        <w:r>
          <w:rPr>
            <w:noProof/>
            <w:webHidden/>
          </w:rPr>
        </w:r>
        <w:r>
          <w:rPr>
            <w:noProof/>
            <w:webHidden/>
          </w:rPr>
          <w:fldChar w:fldCharType="separate"/>
        </w:r>
        <w:r w:rsidR="002F3CA2">
          <w:rPr>
            <w:noProof/>
            <w:webHidden/>
          </w:rPr>
          <w:t>30</w:t>
        </w:r>
        <w:r>
          <w:rPr>
            <w:noProof/>
            <w:webHidden/>
          </w:rPr>
          <w:fldChar w:fldCharType="end"/>
        </w:r>
      </w:hyperlink>
    </w:p>
    <w:p w14:paraId="0D5DB926" w14:textId="3F12B034" w:rsidR="00F91956" w:rsidRDefault="00F91956">
      <w:pPr>
        <w:pStyle w:val="TOC1"/>
        <w:tabs>
          <w:tab w:val="left" w:pos="420"/>
          <w:tab w:val="right" w:leader="dot" w:pos="9628"/>
        </w:tabs>
        <w:spacing w:before="156"/>
        <w:rPr>
          <w:rFonts w:asciiTheme="minorHAnsi" w:eastAsiaTheme="minorEastAsia" w:hAnsiTheme="minorHAnsi" w:cstheme="minorBidi" w:hint="eastAsia"/>
          <w:b w:val="0"/>
          <w:noProof/>
          <w:sz w:val="21"/>
          <w:szCs w:val="22"/>
        </w:rPr>
      </w:pPr>
      <w:hyperlink w:anchor="_Toc71149145" w:history="1">
        <w:r w:rsidRPr="00756616">
          <w:rPr>
            <w:rStyle w:val="ae"/>
            <w:noProof/>
          </w:rPr>
          <w:t>3</w:t>
        </w:r>
        <w:r>
          <w:rPr>
            <w:rFonts w:asciiTheme="minorHAnsi" w:eastAsiaTheme="minorEastAsia" w:hAnsiTheme="minorHAnsi" w:cstheme="minorBidi"/>
            <w:b w:val="0"/>
            <w:noProof/>
            <w:sz w:val="21"/>
            <w:szCs w:val="22"/>
          </w:rPr>
          <w:tab/>
        </w:r>
        <w:r w:rsidRPr="00756616">
          <w:rPr>
            <w:rStyle w:val="ae"/>
            <w:noProof/>
          </w:rPr>
          <w:t>Study Design</w:t>
        </w:r>
        <w:r>
          <w:rPr>
            <w:noProof/>
            <w:webHidden/>
          </w:rPr>
          <w:tab/>
        </w:r>
        <w:r>
          <w:rPr>
            <w:noProof/>
            <w:webHidden/>
          </w:rPr>
          <w:fldChar w:fldCharType="begin"/>
        </w:r>
        <w:r>
          <w:rPr>
            <w:noProof/>
            <w:webHidden/>
          </w:rPr>
          <w:instrText xml:space="preserve"> PAGEREF _Toc71149145 \h </w:instrText>
        </w:r>
        <w:r>
          <w:rPr>
            <w:noProof/>
            <w:webHidden/>
          </w:rPr>
        </w:r>
        <w:r>
          <w:rPr>
            <w:noProof/>
            <w:webHidden/>
          </w:rPr>
          <w:fldChar w:fldCharType="separate"/>
        </w:r>
        <w:r w:rsidR="002F3CA2">
          <w:rPr>
            <w:noProof/>
            <w:webHidden/>
          </w:rPr>
          <w:t>32</w:t>
        </w:r>
        <w:r>
          <w:rPr>
            <w:noProof/>
            <w:webHidden/>
          </w:rPr>
          <w:fldChar w:fldCharType="end"/>
        </w:r>
      </w:hyperlink>
    </w:p>
    <w:p w14:paraId="5F94A5AB" w14:textId="4982F732"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46" w:history="1">
        <w:r w:rsidRPr="00756616">
          <w:rPr>
            <w:rStyle w:val="ae"/>
            <w:noProof/>
          </w:rPr>
          <w:t>3.1</w:t>
        </w:r>
        <w:r>
          <w:rPr>
            <w:rFonts w:asciiTheme="minorHAnsi" w:eastAsiaTheme="minorEastAsia" w:hAnsiTheme="minorHAnsi" w:cstheme="minorBidi"/>
            <w:noProof/>
            <w:sz w:val="21"/>
            <w:szCs w:val="22"/>
          </w:rPr>
          <w:tab/>
        </w:r>
        <w:r w:rsidRPr="00756616">
          <w:rPr>
            <w:rStyle w:val="ae"/>
            <w:noProof/>
          </w:rPr>
          <w:t>Overall Design of the Study</w:t>
        </w:r>
        <w:r>
          <w:rPr>
            <w:noProof/>
            <w:webHidden/>
          </w:rPr>
          <w:tab/>
        </w:r>
        <w:r>
          <w:rPr>
            <w:noProof/>
            <w:webHidden/>
          </w:rPr>
          <w:fldChar w:fldCharType="begin"/>
        </w:r>
        <w:r>
          <w:rPr>
            <w:noProof/>
            <w:webHidden/>
          </w:rPr>
          <w:instrText xml:space="preserve"> PAGEREF _Toc71149146 \h </w:instrText>
        </w:r>
        <w:r>
          <w:rPr>
            <w:noProof/>
            <w:webHidden/>
          </w:rPr>
        </w:r>
        <w:r>
          <w:rPr>
            <w:noProof/>
            <w:webHidden/>
          </w:rPr>
          <w:fldChar w:fldCharType="separate"/>
        </w:r>
        <w:r w:rsidR="002F3CA2">
          <w:rPr>
            <w:noProof/>
            <w:webHidden/>
          </w:rPr>
          <w:t>32</w:t>
        </w:r>
        <w:r>
          <w:rPr>
            <w:noProof/>
            <w:webHidden/>
          </w:rPr>
          <w:fldChar w:fldCharType="end"/>
        </w:r>
      </w:hyperlink>
    </w:p>
    <w:p w14:paraId="64A47A2B" w14:textId="03FE934A"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47" w:history="1">
        <w:r w:rsidRPr="00756616">
          <w:rPr>
            <w:rStyle w:val="ae"/>
            <w:noProof/>
          </w:rPr>
          <w:t>3.2</w:t>
        </w:r>
        <w:r>
          <w:rPr>
            <w:rFonts w:asciiTheme="minorHAnsi" w:eastAsiaTheme="minorEastAsia" w:hAnsiTheme="minorHAnsi" w:cstheme="minorBidi"/>
            <w:noProof/>
            <w:sz w:val="21"/>
            <w:szCs w:val="22"/>
          </w:rPr>
          <w:tab/>
        </w:r>
        <w:r w:rsidRPr="00756616">
          <w:rPr>
            <w:rStyle w:val="ae"/>
            <w:noProof/>
          </w:rPr>
          <w:t>Dose-selection Rationale</w:t>
        </w:r>
        <w:r>
          <w:rPr>
            <w:noProof/>
            <w:webHidden/>
          </w:rPr>
          <w:tab/>
        </w:r>
        <w:r>
          <w:rPr>
            <w:noProof/>
            <w:webHidden/>
          </w:rPr>
          <w:fldChar w:fldCharType="begin"/>
        </w:r>
        <w:r>
          <w:rPr>
            <w:noProof/>
            <w:webHidden/>
          </w:rPr>
          <w:instrText xml:space="preserve"> PAGEREF _Toc71149147 \h </w:instrText>
        </w:r>
        <w:r>
          <w:rPr>
            <w:noProof/>
            <w:webHidden/>
          </w:rPr>
        </w:r>
        <w:r>
          <w:rPr>
            <w:noProof/>
            <w:webHidden/>
          </w:rPr>
          <w:fldChar w:fldCharType="separate"/>
        </w:r>
        <w:r w:rsidR="002F3CA2">
          <w:rPr>
            <w:noProof/>
            <w:webHidden/>
          </w:rPr>
          <w:t>32</w:t>
        </w:r>
        <w:r>
          <w:rPr>
            <w:noProof/>
            <w:webHidden/>
          </w:rPr>
          <w:fldChar w:fldCharType="end"/>
        </w:r>
      </w:hyperlink>
    </w:p>
    <w:p w14:paraId="14EFB6CA" w14:textId="2D624448"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48" w:history="1">
        <w:r w:rsidRPr="00756616">
          <w:rPr>
            <w:rStyle w:val="ae"/>
            <w:noProof/>
          </w:rPr>
          <w:t>3.3</w:t>
        </w:r>
        <w:r>
          <w:rPr>
            <w:rFonts w:asciiTheme="minorHAnsi" w:eastAsiaTheme="minorEastAsia" w:hAnsiTheme="minorHAnsi" w:cstheme="minorBidi"/>
            <w:noProof/>
            <w:sz w:val="21"/>
            <w:szCs w:val="22"/>
          </w:rPr>
          <w:tab/>
        </w:r>
        <w:r w:rsidRPr="00756616">
          <w:rPr>
            <w:rStyle w:val="ae"/>
            <w:noProof/>
          </w:rPr>
          <w:t>Definition of End of Study</w:t>
        </w:r>
        <w:r>
          <w:rPr>
            <w:noProof/>
            <w:webHidden/>
          </w:rPr>
          <w:tab/>
        </w:r>
        <w:r>
          <w:rPr>
            <w:noProof/>
            <w:webHidden/>
          </w:rPr>
          <w:fldChar w:fldCharType="begin"/>
        </w:r>
        <w:r>
          <w:rPr>
            <w:noProof/>
            <w:webHidden/>
          </w:rPr>
          <w:instrText xml:space="preserve"> PAGEREF _Toc71149148 \h </w:instrText>
        </w:r>
        <w:r>
          <w:rPr>
            <w:noProof/>
            <w:webHidden/>
          </w:rPr>
        </w:r>
        <w:r>
          <w:rPr>
            <w:noProof/>
            <w:webHidden/>
          </w:rPr>
          <w:fldChar w:fldCharType="separate"/>
        </w:r>
        <w:r w:rsidR="002F3CA2">
          <w:rPr>
            <w:noProof/>
            <w:webHidden/>
          </w:rPr>
          <w:t>32</w:t>
        </w:r>
        <w:r>
          <w:rPr>
            <w:noProof/>
            <w:webHidden/>
          </w:rPr>
          <w:fldChar w:fldCharType="end"/>
        </w:r>
      </w:hyperlink>
    </w:p>
    <w:p w14:paraId="4B441DD4" w14:textId="3D544FF3" w:rsidR="00F91956" w:rsidRDefault="00F91956">
      <w:pPr>
        <w:pStyle w:val="TOC1"/>
        <w:tabs>
          <w:tab w:val="left" w:pos="420"/>
          <w:tab w:val="right" w:leader="dot" w:pos="9628"/>
        </w:tabs>
        <w:spacing w:before="156"/>
        <w:rPr>
          <w:rFonts w:asciiTheme="minorHAnsi" w:eastAsiaTheme="minorEastAsia" w:hAnsiTheme="minorHAnsi" w:cstheme="minorBidi" w:hint="eastAsia"/>
          <w:b w:val="0"/>
          <w:noProof/>
          <w:sz w:val="21"/>
          <w:szCs w:val="22"/>
        </w:rPr>
      </w:pPr>
      <w:hyperlink w:anchor="_Toc71149149" w:history="1">
        <w:r w:rsidRPr="00756616">
          <w:rPr>
            <w:rStyle w:val="ae"/>
            <w:noProof/>
          </w:rPr>
          <w:t>4</w:t>
        </w:r>
        <w:r>
          <w:rPr>
            <w:rFonts w:asciiTheme="minorHAnsi" w:eastAsiaTheme="minorEastAsia" w:hAnsiTheme="minorHAnsi" w:cstheme="minorBidi"/>
            <w:b w:val="0"/>
            <w:noProof/>
            <w:sz w:val="21"/>
            <w:szCs w:val="22"/>
          </w:rPr>
          <w:tab/>
        </w:r>
        <w:r w:rsidRPr="00756616">
          <w:rPr>
            <w:rStyle w:val="ae"/>
            <w:noProof/>
          </w:rPr>
          <w:t>Study Population</w:t>
        </w:r>
        <w:r>
          <w:rPr>
            <w:noProof/>
            <w:webHidden/>
          </w:rPr>
          <w:tab/>
        </w:r>
        <w:r>
          <w:rPr>
            <w:noProof/>
            <w:webHidden/>
          </w:rPr>
          <w:fldChar w:fldCharType="begin"/>
        </w:r>
        <w:r>
          <w:rPr>
            <w:noProof/>
            <w:webHidden/>
          </w:rPr>
          <w:instrText xml:space="preserve"> PAGEREF _Toc71149149 \h </w:instrText>
        </w:r>
        <w:r>
          <w:rPr>
            <w:noProof/>
            <w:webHidden/>
          </w:rPr>
        </w:r>
        <w:r>
          <w:rPr>
            <w:noProof/>
            <w:webHidden/>
          </w:rPr>
          <w:fldChar w:fldCharType="separate"/>
        </w:r>
        <w:r w:rsidR="002F3CA2">
          <w:rPr>
            <w:noProof/>
            <w:webHidden/>
          </w:rPr>
          <w:t>34</w:t>
        </w:r>
        <w:r>
          <w:rPr>
            <w:noProof/>
            <w:webHidden/>
          </w:rPr>
          <w:fldChar w:fldCharType="end"/>
        </w:r>
      </w:hyperlink>
    </w:p>
    <w:p w14:paraId="0F391B92" w14:textId="729E7235"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50" w:history="1">
        <w:r w:rsidRPr="00756616">
          <w:rPr>
            <w:rStyle w:val="ae"/>
            <w:noProof/>
          </w:rPr>
          <w:t>4.1</w:t>
        </w:r>
        <w:r>
          <w:rPr>
            <w:rFonts w:asciiTheme="minorHAnsi" w:eastAsiaTheme="minorEastAsia" w:hAnsiTheme="minorHAnsi" w:cstheme="minorBidi"/>
            <w:noProof/>
            <w:sz w:val="21"/>
            <w:szCs w:val="22"/>
          </w:rPr>
          <w:tab/>
        </w:r>
        <w:r w:rsidRPr="00756616">
          <w:rPr>
            <w:rStyle w:val="ae"/>
            <w:noProof/>
          </w:rPr>
          <w:t>Inclusion Criteria</w:t>
        </w:r>
        <w:r>
          <w:rPr>
            <w:noProof/>
            <w:webHidden/>
          </w:rPr>
          <w:tab/>
        </w:r>
        <w:r>
          <w:rPr>
            <w:noProof/>
            <w:webHidden/>
          </w:rPr>
          <w:fldChar w:fldCharType="begin"/>
        </w:r>
        <w:r>
          <w:rPr>
            <w:noProof/>
            <w:webHidden/>
          </w:rPr>
          <w:instrText xml:space="preserve"> PAGEREF _Toc71149150 \h </w:instrText>
        </w:r>
        <w:r>
          <w:rPr>
            <w:noProof/>
            <w:webHidden/>
          </w:rPr>
        </w:r>
        <w:r>
          <w:rPr>
            <w:noProof/>
            <w:webHidden/>
          </w:rPr>
          <w:fldChar w:fldCharType="separate"/>
        </w:r>
        <w:r w:rsidR="002F3CA2">
          <w:rPr>
            <w:noProof/>
            <w:webHidden/>
          </w:rPr>
          <w:t>34</w:t>
        </w:r>
        <w:r>
          <w:rPr>
            <w:noProof/>
            <w:webHidden/>
          </w:rPr>
          <w:fldChar w:fldCharType="end"/>
        </w:r>
      </w:hyperlink>
    </w:p>
    <w:p w14:paraId="1CE36371" w14:textId="7C08E3AD"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51" w:history="1">
        <w:r w:rsidRPr="00756616">
          <w:rPr>
            <w:rStyle w:val="ae"/>
            <w:noProof/>
          </w:rPr>
          <w:t>4.2</w:t>
        </w:r>
        <w:r>
          <w:rPr>
            <w:rFonts w:asciiTheme="minorHAnsi" w:eastAsiaTheme="minorEastAsia" w:hAnsiTheme="minorHAnsi" w:cstheme="minorBidi"/>
            <w:noProof/>
            <w:sz w:val="21"/>
            <w:szCs w:val="22"/>
          </w:rPr>
          <w:tab/>
        </w:r>
        <w:r w:rsidRPr="00756616">
          <w:rPr>
            <w:rStyle w:val="ae"/>
            <w:noProof/>
          </w:rPr>
          <w:t>Exclusion Criteria</w:t>
        </w:r>
        <w:r>
          <w:rPr>
            <w:noProof/>
            <w:webHidden/>
          </w:rPr>
          <w:tab/>
        </w:r>
        <w:r>
          <w:rPr>
            <w:noProof/>
            <w:webHidden/>
          </w:rPr>
          <w:fldChar w:fldCharType="begin"/>
        </w:r>
        <w:r>
          <w:rPr>
            <w:noProof/>
            <w:webHidden/>
          </w:rPr>
          <w:instrText xml:space="preserve"> PAGEREF _Toc71149151 \h </w:instrText>
        </w:r>
        <w:r>
          <w:rPr>
            <w:noProof/>
            <w:webHidden/>
          </w:rPr>
        </w:r>
        <w:r>
          <w:rPr>
            <w:noProof/>
            <w:webHidden/>
          </w:rPr>
          <w:fldChar w:fldCharType="separate"/>
        </w:r>
        <w:r w:rsidR="002F3CA2">
          <w:rPr>
            <w:noProof/>
            <w:webHidden/>
          </w:rPr>
          <w:t>34</w:t>
        </w:r>
        <w:r>
          <w:rPr>
            <w:noProof/>
            <w:webHidden/>
          </w:rPr>
          <w:fldChar w:fldCharType="end"/>
        </w:r>
      </w:hyperlink>
    </w:p>
    <w:p w14:paraId="5A6AB0C1" w14:textId="71BCEA7F"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52" w:history="1">
        <w:r w:rsidRPr="00756616">
          <w:rPr>
            <w:rStyle w:val="ae"/>
            <w:noProof/>
          </w:rPr>
          <w:t>4.3</w:t>
        </w:r>
        <w:r>
          <w:rPr>
            <w:rFonts w:asciiTheme="minorHAnsi" w:eastAsiaTheme="minorEastAsia" w:hAnsiTheme="minorHAnsi" w:cstheme="minorBidi"/>
            <w:noProof/>
            <w:sz w:val="21"/>
            <w:szCs w:val="22"/>
          </w:rPr>
          <w:tab/>
        </w:r>
        <w:r w:rsidRPr="00756616">
          <w:rPr>
            <w:rStyle w:val="ae"/>
            <w:noProof/>
          </w:rPr>
          <w:t>Lifestyle Considerations</w:t>
        </w:r>
        <w:r>
          <w:rPr>
            <w:noProof/>
            <w:webHidden/>
          </w:rPr>
          <w:tab/>
        </w:r>
        <w:r>
          <w:rPr>
            <w:noProof/>
            <w:webHidden/>
          </w:rPr>
          <w:fldChar w:fldCharType="begin"/>
        </w:r>
        <w:r>
          <w:rPr>
            <w:noProof/>
            <w:webHidden/>
          </w:rPr>
          <w:instrText xml:space="preserve"> PAGEREF _Toc71149152 \h </w:instrText>
        </w:r>
        <w:r>
          <w:rPr>
            <w:noProof/>
            <w:webHidden/>
          </w:rPr>
        </w:r>
        <w:r>
          <w:rPr>
            <w:noProof/>
            <w:webHidden/>
          </w:rPr>
          <w:fldChar w:fldCharType="separate"/>
        </w:r>
        <w:r w:rsidR="002F3CA2">
          <w:rPr>
            <w:noProof/>
            <w:webHidden/>
          </w:rPr>
          <w:t>37</w:t>
        </w:r>
        <w:r>
          <w:rPr>
            <w:noProof/>
            <w:webHidden/>
          </w:rPr>
          <w:fldChar w:fldCharType="end"/>
        </w:r>
      </w:hyperlink>
    </w:p>
    <w:p w14:paraId="4A0BB9A0" w14:textId="63B0B10F"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53" w:history="1">
        <w:r w:rsidRPr="00756616">
          <w:rPr>
            <w:rStyle w:val="ae"/>
            <w:noProof/>
          </w:rPr>
          <w:t>4.3.1</w:t>
        </w:r>
        <w:r>
          <w:rPr>
            <w:rFonts w:asciiTheme="minorHAnsi" w:eastAsiaTheme="minorEastAsia" w:hAnsiTheme="minorHAnsi" w:cstheme="minorBidi"/>
            <w:noProof/>
            <w:sz w:val="21"/>
            <w:szCs w:val="22"/>
          </w:rPr>
          <w:tab/>
        </w:r>
        <w:r w:rsidRPr="00756616">
          <w:rPr>
            <w:rStyle w:val="ae"/>
            <w:noProof/>
          </w:rPr>
          <w:t>Contraception</w:t>
        </w:r>
        <w:r>
          <w:rPr>
            <w:noProof/>
            <w:webHidden/>
          </w:rPr>
          <w:tab/>
        </w:r>
        <w:r>
          <w:rPr>
            <w:noProof/>
            <w:webHidden/>
          </w:rPr>
          <w:fldChar w:fldCharType="begin"/>
        </w:r>
        <w:r>
          <w:rPr>
            <w:noProof/>
            <w:webHidden/>
          </w:rPr>
          <w:instrText xml:space="preserve"> PAGEREF _Toc71149153 \h </w:instrText>
        </w:r>
        <w:r>
          <w:rPr>
            <w:noProof/>
            <w:webHidden/>
          </w:rPr>
        </w:r>
        <w:r>
          <w:rPr>
            <w:noProof/>
            <w:webHidden/>
          </w:rPr>
          <w:fldChar w:fldCharType="separate"/>
        </w:r>
        <w:r w:rsidR="002F3CA2">
          <w:rPr>
            <w:noProof/>
            <w:webHidden/>
          </w:rPr>
          <w:t>37</w:t>
        </w:r>
        <w:r>
          <w:rPr>
            <w:noProof/>
            <w:webHidden/>
          </w:rPr>
          <w:fldChar w:fldCharType="end"/>
        </w:r>
      </w:hyperlink>
    </w:p>
    <w:p w14:paraId="3EDCFCFA" w14:textId="1B5DE2AE"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54" w:history="1">
        <w:r w:rsidRPr="00756616">
          <w:rPr>
            <w:rStyle w:val="ae"/>
            <w:noProof/>
          </w:rPr>
          <w:t>4.3.2</w:t>
        </w:r>
        <w:r>
          <w:rPr>
            <w:rFonts w:asciiTheme="minorHAnsi" w:eastAsiaTheme="minorEastAsia" w:hAnsiTheme="minorHAnsi" w:cstheme="minorBidi"/>
            <w:noProof/>
            <w:sz w:val="21"/>
            <w:szCs w:val="22"/>
          </w:rPr>
          <w:tab/>
        </w:r>
        <w:r w:rsidRPr="00756616">
          <w:rPr>
            <w:rStyle w:val="ae"/>
            <w:noProof/>
          </w:rPr>
          <w:t>Visit Requirements</w:t>
        </w:r>
        <w:r>
          <w:rPr>
            <w:noProof/>
            <w:webHidden/>
          </w:rPr>
          <w:tab/>
        </w:r>
        <w:r>
          <w:rPr>
            <w:noProof/>
            <w:webHidden/>
          </w:rPr>
          <w:fldChar w:fldCharType="begin"/>
        </w:r>
        <w:r>
          <w:rPr>
            <w:noProof/>
            <w:webHidden/>
          </w:rPr>
          <w:instrText xml:space="preserve"> PAGEREF _Toc71149154 \h </w:instrText>
        </w:r>
        <w:r>
          <w:rPr>
            <w:noProof/>
            <w:webHidden/>
          </w:rPr>
        </w:r>
        <w:r>
          <w:rPr>
            <w:noProof/>
            <w:webHidden/>
          </w:rPr>
          <w:fldChar w:fldCharType="separate"/>
        </w:r>
        <w:r w:rsidR="002F3CA2">
          <w:rPr>
            <w:noProof/>
            <w:webHidden/>
          </w:rPr>
          <w:t>38</w:t>
        </w:r>
        <w:r>
          <w:rPr>
            <w:noProof/>
            <w:webHidden/>
          </w:rPr>
          <w:fldChar w:fldCharType="end"/>
        </w:r>
      </w:hyperlink>
    </w:p>
    <w:p w14:paraId="3EE1D218" w14:textId="6B2C63B8"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55" w:history="1">
        <w:r w:rsidRPr="00756616">
          <w:rPr>
            <w:rStyle w:val="ae"/>
            <w:noProof/>
          </w:rPr>
          <w:t>4.4</w:t>
        </w:r>
        <w:r>
          <w:rPr>
            <w:rFonts w:asciiTheme="minorHAnsi" w:eastAsiaTheme="minorEastAsia" w:hAnsiTheme="minorHAnsi" w:cstheme="minorBidi"/>
            <w:noProof/>
            <w:sz w:val="21"/>
            <w:szCs w:val="22"/>
          </w:rPr>
          <w:tab/>
        </w:r>
        <w:r w:rsidRPr="00756616">
          <w:rPr>
            <w:rStyle w:val="ae"/>
            <w:noProof/>
          </w:rPr>
          <w:t>Screening Failure</w:t>
        </w:r>
        <w:r>
          <w:rPr>
            <w:noProof/>
            <w:webHidden/>
          </w:rPr>
          <w:tab/>
        </w:r>
        <w:r>
          <w:rPr>
            <w:noProof/>
            <w:webHidden/>
          </w:rPr>
          <w:fldChar w:fldCharType="begin"/>
        </w:r>
        <w:r>
          <w:rPr>
            <w:noProof/>
            <w:webHidden/>
          </w:rPr>
          <w:instrText xml:space="preserve"> PAGEREF _Toc71149155 \h </w:instrText>
        </w:r>
        <w:r>
          <w:rPr>
            <w:noProof/>
            <w:webHidden/>
          </w:rPr>
        </w:r>
        <w:r>
          <w:rPr>
            <w:noProof/>
            <w:webHidden/>
          </w:rPr>
          <w:fldChar w:fldCharType="separate"/>
        </w:r>
        <w:r w:rsidR="002F3CA2">
          <w:rPr>
            <w:noProof/>
            <w:webHidden/>
          </w:rPr>
          <w:t>38</w:t>
        </w:r>
        <w:r>
          <w:rPr>
            <w:noProof/>
            <w:webHidden/>
          </w:rPr>
          <w:fldChar w:fldCharType="end"/>
        </w:r>
      </w:hyperlink>
    </w:p>
    <w:p w14:paraId="7845C34C" w14:textId="420E8567" w:rsidR="00F91956" w:rsidRDefault="00F91956">
      <w:pPr>
        <w:pStyle w:val="TOC1"/>
        <w:tabs>
          <w:tab w:val="left" w:pos="420"/>
          <w:tab w:val="right" w:leader="dot" w:pos="9628"/>
        </w:tabs>
        <w:spacing w:before="156"/>
        <w:rPr>
          <w:rFonts w:asciiTheme="minorHAnsi" w:eastAsiaTheme="minorEastAsia" w:hAnsiTheme="minorHAnsi" w:cstheme="minorBidi" w:hint="eastAsia"/>
          <w:b w:val="0"/>
          <w:noProof/>
          <w:sz w:val="21"/>
          <w:szCs w:val="22"/>
        </w:rPr>
      </w:pPr>
      <w:hyperlink w:anchor="_Toc71149156" w:history="1">
        <w:r w:rsidRPr="00756616">
          <w:rPr>
            <w:rStyle w:val="ae"/>
            <w:noProof/>
          </w:rPr>
          <w:t>5</w:t>
        </w:r>
        <w:r>
          <w:rPr>
            <w:rFonts w:asciiTheme="minorHAnsi" w:eastAsiaTheme="minorEastAsia" w:hAnsiTheme="minorHAnsi" w:cstheme="minorBidi"/>
            <w:b w:val="0"/>
            <w:noProof/>
            <w:sz w:val="21"/>
            <w:szCs w:val="22"/>
          </w:rPr>
          <w:tab/>
        </w:r>
        <w:r w:rsidRPr="00756616">
          <w:rPr>
            <w:rStyle w:val="ae"/>
            <w:noProof/>
          </w:rPr>
          <w:t>Investigational Drugs</w:t>
        </w:r>
        <w:r>
          <w:rPr>
            <w:noProof/>
            <w:webHidden/>
          </w:rPr>
          <w:tab/>
        </w:r>
        <w:r>
          <w:rPr>
            <w:noProof/>
            <w:webHidden/>
          </w:rPr>
          <w:fldChar w:fldCharType="begin"/>
        </w:r>
        <w:r>
          <w:rPr>
            <w:noProof/>
            <w:webHidden/>
          </w:rPr>
          <w:instrText xml:space="preserve"> PAGEREF _Toc71149156 \h </w:instrText>
        </w:r>
        <w:r>
          <w:rPr>
            <w:noProof/>
            <w:webHidden/>
          </w:rPr>
        </w:r>
        <w:r>
          <w:rPr>
            <w:noProof/>
            <w:webHidden/>
          </w:rPr>
          <w:fldChar w:fldCharType="separate"/>
        </w:r>
        <w:r w:rsidR="002F3CA2">
          <w:rPr>
            <w:noProof/>
            <w:webHidden/>
          </w:rPr>
          <w:t>39</w:t>
        </w:r>
        <w:r>
          <w:rPr>
            <w:noProof/>
            <w:webHidden/>
          </w:rPr>
          <w:fldChar w:fldCharType="end"/>
        </w:r>
      </w:hyperlink>
    </w:p>
    <w:p w14:paraId="27623FFC" w14:textId="414FB5C4"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57" w:history="1">
        <w:r w:rsidRPr="00756616">
          <w:rPr>
            <w:rStyle w:val="ae"/>
            <w:noProof/>
          </w:rPr>
          <w:t>5.1</w:t>
        </w:r>
        <w:r>
          <w:rPr>
            <w:rFonts w:asciiTheme="minorHAnsi" w:eastAsiaTheme="minorEastAsia" w:hAnsiTheme="minorHAnsi" w:cstheme="minorBidi"/>
            <w:noProof/>
            <w:sz w:val="21"/>
            <w:szCs w:val="22"/>
          </w:rPr>
          <w:tab/>
        </w:r>
        <w:r w:rsidRPr="00756616">
          <w:rPr>
            <w:rStyle w:val="ae"/>
            <w:noProof/>
          </w:rPr>
          <w:t>Investigational Drugs and Administration</w:t>
        </w:r>
        <w:r>
          <w:rPr>
            <w:noProof/>
            <w:webHidden/>
          </w:rPr>
          <w:tab/>
        </w:r>
        <w:r>
          <w:rPr>
            <w:noProof/>
            <w:webHidden/>
          </w:rPr>
          <w:fldChar w:fldCharType="begin"/>
        </w:r>
        <w:r>
          <w:rPr>
            <w:noProof/>
            <w:webHidden/>
          </w:rPr>
          <w:instrText xml:space="preserve"> PAGEREF _Toc71149157 \h </w:instrText>
        </w:r>
        <w:r>
          <w:rPr>
            <w:noProof/>
            <w:webHidden/>
          </w:rPr>
        </w:r>
        <w:r>
          <w:rPr>
            <w:noProof/>
            <w:webHidden/>
          </w:rPr>
          <w:fldChar w:fldCharType="separate"/>
        </w:r>
        <w:r w:rsidR="002F3CA2">
          <w:rPr>
            <w:noProof/>
            <w:webHidden/>
          </w:rPr>
          <w:t>39</w:t>
        </w:r>
        <w:r>
          <w:rPr>
            <w:noProof/>
            <w:webHidden/>
          </w:rPr>
          <w:fldChar w:fldCharType="end"/>
        </w:r>
      </w:hyperlink>
    </w:p>
    <w:p w14:paraId="7F3D664F" w14:textId="5775CD47"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58" w:history="1">
        <w:r w:rsidRPr="00756616">
          <w:rPr>
            <w:rStyle w:val="ae"/>
            <w:noProof/>
          </w:rPr>
          <w:t>5.1.1</w:t>
        </w:r>
        <w:r>
          <w:rPr>
            <w:rFonts w:asciiTheme="minorHAnsi" w:eastAsiaTheme="minorEastAsia" w:hAnsiTheme="minorHAnsi" w:cstheme="minorBidi"/>
            <w:noProof/>
            <w:sz w:val="21"/>
            <w:szCs w:val="22"/>
          </w:rPr>
          <w:tab/>
        </w:r>
        <w:r w:rsidRPr="00756616">
          <w:rPr>
            <w:rStyle w:val="ae"/>
            <w:noProof/>
          </w:rPr>
          <w:t>Basic Information for the Investigational Drugs</w:t>
        </w:r>
        <w:r>
          <w:rPr>
            <w:noProof/>
            <w:webHidden/>
          </w:rPr>
          <w:tab/>
        </w:r>
        <w:r>
          <w:rPr>
            <w:noProof/>
            <w:webHidden/>
          </w:rPr>
          <w:fldChar w:fldCharType="begin"/>
        </w:r>
        <w:r>
          <w:rPr>
            <w:noProof/>
            <w:webHidden/>
          </w:rPr>
          <w:instrText xml:space="preserve"> PAGEREF _Toc71149158 \h </w:instrText>
        </w:r>
        <w:r>
          <w:rPr>
            <w:noProof/>
            <w:webHidden/>
          </w:rPr>
        </w:r>
        <w:r>
          <w:rPr>
            <w:noProof/>
            <w:webHidden/>
          </w:rPr>
          <w:fldChar w:fldCharType="separate"/>
        </w:r>
        <w:r w:rsidR="002F3CA2">
          <w:rPr>
            <w:noProof/>
            <w:webHidden/>
          </w:rPr>
          <w:t>39</w:t>
        </w:r>
        <w:r>
          <w:rPr>
            <w:noProof/>
            <w:webHidden/>
          </w:rPr>
          <w:fldChar w:fldCharType="end"/>
        </w:r>
      </w:hyperlink>
    </w:p>
    <w:p w14:paraId="718AD4A4" w14:textId="2AF1599D"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59" w:history="1">
        <w:r w:rsidRPr="00756616">
          <w:rPr>
            <w:rStyle w:val="ae"/>
            <w:noProof/>
          </w:rPr>
          <w:t>5.1.2</w:t>
        </w:r>
        <w:r>
          <w:rPr>
            <w:rFonts w:asciiTheme="minorHAnsi" w:eastAsiaTheme="minorEastAsia" w:hAnsiTheme="minorHAnsi" w:cstheme="minorBidi"/>
            <w:noProof/>
            <w:sz w:val="21"/>
            <w:szCs w:val="22"/>
          </w:rPr>
          <w:tab/>
        </w:r>
        <w:r w:rsidRPr="00756616">
          <w:rPr>
            <w:rStyle w:val="ae"/>
            <w:noProof/>
          </w:rPr>
          <w:t>Dosage and Administration</w:t>
        </w:r>
        <w:r>
          <w:rPr>
            <w:noProof/>
            <w:webHidden/>
          </w:rPr>
          <w:tab/>
        </w:r>
        <w:r>
          <w:rPr>
            <w:noProof/>
            <w:webHidden/>
          </w:rPr>
          <w:fldChar w:fldCharType="begin"/>
        </w:r>
        <w:r>
          <w:rPr>
            <w:noProof/>
            <w:webHidden/>
          </w:rPr>
          <w:instrText xml:space="preserve"> PAGEREF _Toc71149159 \h </w:instrText>
        </w:r>
        <w:r>
          <w:rPr>
            <w:noProof/>
            <w:webHidden/>
          </w:rPr>
        </w:r>
        <w:r>
          <w:rPr>
            <w:noProof/>
            <w:webHidden/>
          </w:rPr>
          <w:fldChar w:fldCharType="separate"/>
        </w:r>
        <w:r w:rsidR="002F3CA2">
          <w:rPr>
            <w:noProof/>
            <w:webHidden/>
          </w:rPr>
          <w:t>39</w:t>
        </w:r>
        <w:r>
          <w:rPr>
            <w:noProof/>
            <w:webHidden/>
          </w:rPr>
          <w:fldChar w:fldCharType="end"/>
        </w:r>
      </w:hyperlink>
    </w:p>
    <w:p w14:paraId="760C7FCD" w14:textId="60E5688D"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60" w:history="1">
        <w:r w:rsidRPr="00756616">
          <w:rPr>
            <w:rStyle w:val="ae"/>
            <w:noProof/>
          </w:rPr>
          <w:t>5.1.3</w:t>
        </w:r>
        <w:r>
          <w:rPr>
            <w:rFonts w:asciiTheme="minorHAnsi" w:eastAsiaTheme="minorEastAsia" w:hAnsiTheme="minorHAnsi" w:cstheme="minorBidi"/>
            <w:noProof/>
            <w:sz w:val="21"/>
            <w:szCs w:val="22"/>
          </w:rPr>
          <w:tab/>
        </w:r>
        <w:r w:rsidRPr="00756616">
          <w:rPr>
            <w:rStyle w:val="ae"/>
            <w:noProof/>
          </w:rPr>
          <w:t>Dose Modification</w:t>
        </w:r>
        <w:r>
          <w:rPr>
            <w:noProof/>
            <w:webHidden/>
          </w:rPr>
          <w:tab/>
        </w:r>
        <w:r>
          <w:rPr>
            <w:noProof/>
            <w:webHidden/>
          </w:rPr>
          <w:fldChar w:fldCharType="begin"/>
        </w:r>
        <w:r>
          <w:rPr>
            <w:noProof/>
            <w:webHidden/>
          </w:rPr>
          <w:instrText xml:space="preserve"> PAGEREF _Toc71149160 \h </w:instrText>
        </w:r>
        <w:r>
          <w:rPr>
            <w:noProof/>
            <w:webHidden/>
          </w:rPr>
        </w:r>
        <w:r>
          <w:rPr>
            <w:noProof/>
            <w:webHidden/>
          </w:rPr>
          <w:fldChar w:fldCharType="separate"/>
        </w:r>
        <w:r w:rsidR="002F3CA2">
          <w:rPr>
            <w:noProof/>
            <w:webHidden/>
          </w:rPr>
          <w:t>39</w:t>
        </w:r>
        <w:r>
          <w:rPr>
            <w:noProof/>
            <w:webHidden/>
          </w:rPr>
          <w:fldChar w:fldCharType="end"/>
        </w:r>
      </w:hyperlink>
    </w:p>
    <w:p w14:paraId="588FCEC9" w14:textId="322D7E72"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61" w:history="1">
        <w:r w:rsidRPr="00756616">
          <w:rPr>
            <w:rStyle w:val="ae"/>
            <w:noProof/>
          </w:rPr>
          <w:t>5.2</w:t>
        </w:r>
        <w:r>
          <w:rPr>
            <w:rFonts w:asciiTheme="minorHAnsi" w:eastAsiaTheme="minorEastAsia" w:hAnsiTheme="minorHAnsi" w:cstheme="minorBidi"/>
            <w:noProof/>
            <w:sz w:val="21"/>
            <w:szCs w:val="22"/>
          </w:rPr>
          <w:tab/>
        </w:r>
        <w:r w:rsidRPr="00756616">
          <w:rPr>
            <w:rStyle w:val="ae"/>
            <w:noProof/>
          </w:rPr>
          <w:t>Preparation/Processing/Storage/Responsibility</w:t>
        </w:r>
        <w:r>
          <w:rPr>
            <w:noProof/>
            <w:webHidden/>
          </w:rPr>
          <w:tab/>
        </w:r>
        <w:r>
          <w:rPr>
            <w:noProof/>
            <w:webHidden/>
          </w:rPr>
          <w:fldChar w:fldCharType="begin"/>
        </w:r>
        <w:r>
          <w:rPr>
            <w:noProof/>
            <w:webHidden/>
          </w:rPr>
          <w:instrText xml:space="preserve"> PAGEREF _Toc71149161 \h </w:instrText>
        </w:r>
        <w:r>
          <w:rPr>
            <w:noProof/>
            <w:webHidden/>
          </w:rPr>
        </w:r>
        <w:r>
          <w:rPr>
            <w:noProof/>
            <w:webHidden/>
          </w:rPr>
          <w:fldChar w:fldCharType="separate"/>
        </w:r>
        <w:r w:rsidR="002F3CA2">
          <w:rPr>
            <w:noProof/>
            <w:webHidden/>
          </w:rPr>
          <w:t>40</w:t>
        </w:r>
        <w:r>
          <w:rPr>
            <w:noProof/>
            <w:webHidden/>
          </w:rPr>
          <w:fldChar w:fldCharType="end"/>
        </w:r>
      </w:hyperlink>
    </w:p>
    <w:p w14:paraId="1FFCE3D7" w14:textId="2D413172"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62" w:history="1">
        <w:r w:rsidRPr="00756616">
          <w:rPr>
            <w:rStyle w:val="ae"/>
            <w:noProof/>
          </w:rPr>
          <w:t>5.2.1</w:t>
        </w:r>
        <w:r>
          <w:rPr>
            <w:rFonts w:asciiTheme="minorHAnsi" w:eastAsiaTheme="minorEastAsia" w:hAnsiTheme="minorHAnsi" w:cstheme="minorBidi"/>
            <w:noProof/>
            <w:sz w:val="21"/>
            <w:szCs w:val="22"/>
          </w:rPr>
          <w:tab/>
        </w:r>
        <w:r w:rsidRPr="00756616">
          <w:rPr>
            <w:rStyle w:val="ae"/>
            <w:noProof/>
          </w:rPr>
          <w:t>Receipt and Inventory of the Investigational Drug</w:t>
        </w:r>
        <w:r>
          <w:rPr>
            <w:noProof/>
            <w:webHidden/>
          </w:rPr>
          <w:tab/>
        </w:r>
        <w:r>
          <w:rPr>
            <w:noProof/>
            <w:webHidden/>
          </w:rPr>
          <w:fldChar w:fldCharType="begin"/>
        </w:r>
        <w:r>
          <w:rPr>
            <w:noProof/>
            <w:webHidden/>
          </w:rPr>
          <w:instrText xml:space="preserve"> PAGEREF _Toc71149162 \h </w:instrText>
        </w:r>
        <w:r>
          <w:rPr>
            <w:noProof/>
            <w:webHidden/>
          </w:rPr>
        </w:r>
        <w:r>
          <w:rPr>
            <w:noProof/>
            <w:webHidden/>
          </w:rPr>
          <w:fldChar w:fldCharType="separate"/>
        </w:r>
        <w:r w:rsidR="002F3CA2">
          <w:rPr>
            <w:noProof/>
            <w:webHidden/>
          </w:rPr>
          <w:t>40</w:t>
        </w:r>
        <w:r>
          <w:rPr>
            <w:noProof/>
            <w:webHidden/>
          </w:rPr>
          <w:fldChar w:fldCharType="end"/>
        </w:r>
      </w:hyperlink>
    </w:p>
    <w:p w14:paraId="43BD7B62" w14:textId="76D7CC15"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63" w:history="1">
        <w:r w:rsidRPr="00756616">
          <w:rPr>
            <w:rStyle w:val="ae"/>
            <w:noProof/>
          </w:rPr>
          <w:t>5.2.2</w:t>
        </w:r>
        <w:r>
          <w:rPr>
            <w:rFonts w:asciiTheme="minorHAnsi" w:eastAsiaTheme="minorEastAsia" w:hAnsiTheme="minorHAnsi" w:cstheme="minorBidi"/>
            <w:noProof/>
            <w:sz w:val="21"/>
            <w:szCs w:val="22"/>
          </w:rPr>
          <w:tab/>
        </w:r>
        <w:r w:rsidRPr="00756616">
          <w:rPr>
            <w:rStyle w:val="ae"/>
            <w:noProof/>
          </w:rPr>
          <w:t>Packaging and Labeling of Drugs</w:t>
        </w:r>
        <w:r>
          <w:rPr>
            <w:noProof/>
            <w:webHidden/>
          </w:rPr>
          <w:tab/>
        </w:r>
        <w:r>
          <w:rPr>
            <w:noProof/>
            <w:webHidden/>
          </w:rPr>
          <w:fldChar w:fldCharType="begin"/>
        </w:r>
        <w:r>
          <w:rPr>
            <w:noProof/>
            <w:webHidden/>
          </w:rPr>
          <w:instrText xml:space="preserve"> PAGEREF _Toc71149163 \h </w:instrText>
        </w:r>
        <w:r>
          <w:rPr>
            <w:noProof/>
            <w:webHidden/>
          </w:rPr>
        </w:r>
        <w:r>
          <w:rPr>
            <w:noProof/>
            <w:webHidden/>
          </w:rPr>
          <w:fldChar w:fldCharType="separate"/>
        </w:r>
        <w:r w:rsidR="002F3CA2">
          <w:rPr>
            <w:noProof/>
            <w:webHidden/>
          </w:rPr>
          <w:t>40</w:t>
        </w:r>
        <w:r>
          <w:rPr>
            <w:noProof/>
            <w:webHidden/>
          </w:rPr>
          <w:fldChar w:fldCharType="end"/>
        </w:r>
      </w:hyperlink>
    </w:p>
    <w:p w14:paraId="573334FE" w14:textId="31960F9E"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64" w:history="1">
        <w:r w:rsidRPr="00756616">
          <w:rPr>
            <w:rStyle w:val="ae"/>
            <w:noProof/>
          </w:rPr>
          <w:t>5.2.3</w:t>
        </w:r>
        <w:r>
          <w:rPr>
            <w:rFonts w:asciiTheme="minorHAnsi" w:eastAsiaTheme="minorEastAsia" w:hAnsiTheme="minorHAnsi" w:cstheme="minorBidi"/>
            <w:noProof/>
            <w:sz w:val="21"/>
            <w:szCs w:val="22"/>
          </w:rPr>
          <w:tab/>
        </w:r>
        <w:r w:rsidRPr="00756616">
          <w:rPr>
            <w:rStyle w:val="ae"/>
            <w:noProof/>
          </w:rPr>
          <w:t>Storage and Stability</w:t>
        </w:r>
        <w:r>
          <w:rPr>
            <w:noProof/>
            <w:webHidden/>
          </w:rPr>
          <w:tab/>
        </w:r>
        <w:r>
          <w:rPr>
            <w:noProof/>
            <w:webHidden/>
          </w:rPr>
          <w:fldChar w:fldCharType="begin"/>
        </w:r>
        <w:r>
          <w:rPr>
            <w:noProof/>
            <w:webHidden/>
          </w:rPr>
          <w:instrText xml:space="preserve"> PAGEREF _Toc71149164 \h </w:instrText>
        </w:r>
        <w:r>
          <w:rPr>
            <w:noProof/>
            <w:webHidden/>
          </w:rPr>
        </w:r>
        <w:r>
          <w:rPr>
            <w:noProof/>
            <w:webHidden/>
          </w:rPr>
          <w:fldChar w:fldCharType="separate"/>
        </w:r>
        <w:r w:rsidR="002F3CA2">
          <w:rPr>
            <w:noProof/>
            <w:webHidden/>
          </w:rPr>
          <w:t>40</w:t>
        </w:r>
        <w:r>
          <w:rPr>
            <w:noProof/>
            <w:webHidden/>
          </w:rPr>
          <w:fldChar w:fldCharType="end"/>
        </w:r>
      </w:hyperlink>
    </w:p>
    <w:p w14:paraId="6284DEAB" w14:textId="37330EE1"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65" w:history="1">
        <w:r w:rsidRPr="00756616">
          <w:rPr>
            <w:rStyle w:val="ae"/>
            <w:noProof/>
          </w:rPr>
          <w:t>5.3</w:t>
        </w:r>
        <w:r>
          <w:rPr>
            <w:rFonts w:asciiTheme="minorHAnsi" w:eastAsiaTheme="minorEastAsia" w:hAnsiTheme="minorHAnsi" w:cstheme="minorBidi"/>
            <w:noProof/>
            <w:sz w:val="21"/>
            <w:szCs w:val="22"/>
          </w:rPr>
          <w:tab/>
        </w:r>
        <w:r w:rsidRPr="00756616">
          <w:rPr>
            <w:rStyle w:val="ae"/>
            <w:noProof/>
          </w:rPr>
          <w:t>Methods to Minimize Bias: Randomization and Blinding</w:t>
        </w:r>
        <w:r>
          <w:rPr>
            <w:noProof/>
            <w:webHidden/>
          </w:rPr>
          <w:tab/>
        </w:r>
        <w:r>
          <w:rPr>
            <w:noProof/>
            <w:webHidden/>
          </w:rPr>
          <w:fldChar w:fldCharType="begin"/>
        </w:r>
        <w:r>
          <w:rPr>
            <w:noProof/>
            <w:webHidden/>
          </w:rPr>
          <w:instrText xml:space="preserve"> PAGEREF _Toc71149165 \h </w:instrText>
        </w:r>
        <w:r>
          <w:rPr>
            <w:noProof/>
            <w:webHidden/>
          </w:rPr>
        </w:r>
        <w:r>
          <w:rPr>
            <w:noProof/>
            <w:webHidden/>
          </w:rPr>
          <w:fldChar w:fldCharType="separate"/>
        </w:r>
        <w:r w:rsidR="002F3CA2">
          <w:rPr>
            <w:noProof/>
            <w:webHidden/>
          </w:rPr>
          <w:t>41</w:t>
        </w:r>
        <w:r>
          <w:rPr>
            <w:noProof/>
            <w:webHidden/>
          </w:rPr>
          <w:fldChar w:fldCharType="end"/>
        </w:r>
      </w:hyperlink>
    </w:p>
    <w:p w14:paraId="1E5F43A1" w14:textId="0F56F9CF"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66" w:history="1">
        <w:r w:rsidRPr="00756616">
          <w:rPr>
            <w:rStyle w:val="ae"/>
            <w:noProof/>
          </w:rPr>
          <w:t>5.3.1</w:t>
        </w:r>
        <w:r>
          <w:rPr>
            <w:rFonts w:asciiTheme="minorHAnsi" w:eastAsiaTheme="minorEastAsia" w:hAnsiTheme="minorHAnsi" w:cstheme="minorBidi"/>
            <w:noProof/>
            <w:sz w:val="21"/>
            <w:szCs w:val="22"/>
          </w:rPr>
          <w:tab/>
        </w:r>
        <w:r w:rsidRPr="00756616">
          <w:rPr>
            <w:rStyle w:val="ae"/>
            <w:noProof/>
          </w:rPr>
          <w:t>Randomization</w:t>
        </w:r>
        <w:r>
          <w:rPr>
            <w:noProof/>
            <w:webHidden/>
          </w:rPr>
          <w:tab/>
        </w:r>
        <w:r>
          <w:rPr>
            <w:noProof/>
            <w:webHidden/>
          </w:rPr>
          <w:fldChar w:fldCharType="begin"/>
        </w:r>
        <w:r>
          <w:rPr>
            <w:noProof/>
            <w:webHidden/>
          </w:rPr>
          <w:instrText xml:space="preserve"> PAGEREF _Toc71149166 \h </w:instrText>
        </w:r>
        <w:r>
          <w:rPr>
            <w:noProof/>
            <w:webHidden/>
          </w:rPr>
        </w:r>
        <w:r>
          <w:rPr>
            <w:noProof/>
            <w:webHidden/>
          </w:rPr>
          <w:fldChar w:fldCharType="separate"/>
        </w:r>
        <w:r w:rsidR="002F3CA2">
          <w:rPr>
            <w:noProof/>
            <w:webHidden/>
          </w:rPr>
          <w:t>41</w:t>
        </w:r>
        <w:r>
          <w:rPr>
            <w:noProof/>
            <w:webHidden/>
          </w:rPr>
          <w:fldChar w:fldCharType="end"/>
        </w:r>
      </w:hyperlink>
    </w:p>
    <w:p w14:paraId="47B2347B" w14:textId="201D4A8C"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67" w:history="1">
        <w:r w:rsidRPr="00756616">
          <w:rPr>
            <w:rStyle w:val="ae"/>
            <w:noProof/>
          </w:rPr>
          <w:t>5.3.2</w:t>
        </w:r>
        <w:r>
          <w:rPr>
            <w:rFonts w:asciiTheme="minorHAnsi" w:eastAsiaTheme="minorEastAsia" w:hAnsiTheme="minorHAnsi" w:cstheme="minorBidi"/>
            <w:noProof/>
            <w:sz w:val="21"/>
            <w:szCs w:val="22"/>
          </w:rPr>
          <w:tab/>
        </w:r>
        <w:r w:rsidRPr="00756616">
          <w:rPr>
            <w:rStyle w:val="ae"/>
            <w:noProof/>
          </w:rPr>
          <w:t>Blinding</w:t>
        </w:r>
        <w:r>
          <w:rPr>
            <w:noProof/>
            <w:webHidden/>
          </w:rPr>
          <w:tab/>
        </w:r>
        <w:r>
          <w:rPr>
            <w:noProof/>
            <w:webHidden/>
          </w:rPr>
          <w:fldChar w:fldCharType="begin"/>
        </w:r>
        <w:r>
          <w:rPr>
            <w:noProof/>
            <w:webHidden/>
          </w:rPr>
          <w:instrText xml:space="preserve"> PAGEREF _Toc71149167 \h </w:instrText>
        </w:r>
        <w:r>
          <w:rPr>
            <w:noProof/>
            <w:webHidden/>
          </w:rPr>
        </w:r>
        <w:r>
          <w:rPr>
            <w:noProof/>
            <w:webHidden/>
          </w:rPr>
          <w:fldChar w:fldCharType="separate"/>
        </w:r>
        <w:r w:rsidR="002F3CA2">
          <w:rPr>
            <w:noProof/>
            <w:webHidden/>
          </w:rPr>
          <w:t>41</w:t>
        </w:r>
        <w:r>
          <w:rPr>
            <w:noProof/>
            <w:webHidden/>
          </w:rPr>
          <w:fldChar w:fldCharType="end"/>
        </w:r>
      </w:hyperlink>
    </w:p>
    <w:p w14:paraId="1A9426FB" w14:textId="1EF5BC7D"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68" w:history="1">
        <w:r w:rsidRPr="00756616">
          <w:rPr>
            <w:rStyle w:val="ae"/>
            <w:noProof/>
          </w:rPr>
          <w:t>5.4</w:t>
        </w:r>
        <w:r>
          <w:rPr>
            <w:rFonts w:asciiTheme="minorHAnsi" w:eastAsiaTheme="minorEastAsia" w:hAnsiTheme="minorHAnsi" w:cstheme="minorBidi"/>
            <w:noProof/>
            <w:sz w:val="21"/>
            <w:szCs w:val="22"/>
          </w:rPr>
          <w:tab/>
        </w:r>
        <w:r w:rsidRPr="00756616">
          <w:rPr>
            <w:rStyle w:val="ae"/>
            <w:noProof/>
          </w:rPr>
          <w:t>Subject Compliance</w:t>
        </w:r>
        <w:r>
          <w:rPr>
            <w:noProof/>
            <w:webHidden/>
          </w:rPr>
          <w:tab/>
        </w:r>
        <w:r>
          <w:rPr>
            <w:noProof/>
            <w:webHidden/>
          </w:rPr>
          <w:fldChar w:fldCharType="begin"/>
        </w:r>
        <w:r>
          <w:rPr>
            <w:noProof/>
            <w:webHidden/>
          </w:rPr>
          <w:instrText xml:space="preserve"> PAGEREF _Toc71149168 \h </w:instrText>
        </w:r>
        <w:r>
          <w:rPr>
            <w:noProof/>
            <w:webHidden/>
          </w:rPr>
        </w:r>
        <w:r>
          <w:rPr>
            <w:noProof/>
            <w:webHidden/>
          </w:rPr>
          <w:fldChar w:fldCharType="separate"/>
        </w:r>
        <w:r w:rsidR="002F3CA2">
          <w:rPr>
            <w:noProof/>
            <w:webHidden/>
          </w:rPr>
          <w:t>41</w:t>
        </w:r>
        <w:r>
          <w:rPr>
            <w:noProof/>
            <w:webHidden/>
          </w:rPr>
          <w:fldChar w:fldCharType="end"/>
        </w:r>
      </w:hyperlink>
    </w:p>
    <w:p w14:paraId="40A82BEC" w14:textId="09F337B2"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69" w:history="1">
        <w:r w:rsidRPr="00756616">
          <w:rPr>
            <w:rStyle w:val="ae"/>
            <w:noProof/>
          </w:rPr>
          <w:t>5.5</w:t>
        </w:r>
        <w:r>
          <w:rPr>
            <w:rFonts w:asciiTheme="minorHAnsi" w:eastAsiaTheme="minorEastAsia" w:hAnsiTheme="minorHAnsi" w:cstheme="minorBidi"/>
            <w:noProof/>
            <w:sz w:val="21"/>
            <w:szCs w:val="22"/>
          </w:rPr>
          <w:tab/>
        </w:r>
        <w:r w:rsidRPr="00756616">
          <w:rPr>
            <w:rStyle w:val="ae"/>
            <w:noProof/>
          </w:rPr>
          <w:t>Concomitant Medication</w:t>
        </w:r>
        <w:r>
          <w:rPr>
            <w:noProof/>
            <w:webHidden/>
          </w:rPr>
          <w:tab/>
        </w:r>
        <w:r>
          <w:rPr>
            <w:noProof/>
            <w:webHidden/>
          </w:rPr>
          <w:fldChar w:fldCharType="begin"/>
        </w:r>
        <w:r>
          <w:rPr>
            <w:noProof/>
            <w:webHidden/>
          </w:rPr>
          <w:instrText xml:space="preserve"> PAGEREF _Toc71149169 \h </w:instrText>
        </w:r>
        <w:r>
          <w:rPr>
            <w:noProof/>
            <w:webHidden/>
          </w:rPr>
        </w:r>
        <w:r>
          <w:rPr>
            <w:noProof/>
            <w:webHidden/>
          </w:rPr>
          <w:fldChar w:fldCharType="separate"/>
        </w:r>
        <w:r w:rsidR="002F3CA2">
          <w:rPr>
            <w:noProof/>
            <w:webHidden/>
          </w:rPr>
          <w:t>42</w:t>
        </w:r>
        <w:r>
          <w:rPr>
            <w:noProof/>
            <w:webHidden/>
          </w:rPr>
          <w:fldChar w:fldCharType="end"/>
        </w:r>
      </w:hyperlink>
    </w:p>
    <w:p w14:paraId="0EA9D42E" w14:textId="0ADB4494"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70" w:history="1">
        <w:r w:rsidRPr="00756616">
          <w:rPr>
            <w:rStyle w:val="ae"/>
            <w:noProof/>
          </w:rPr>
          <w:t>5.5.1</w:t>
        </w:r>
        <w:r>
          <w:rPr>
            <w:rFonts w:asciiTheme="minorHAnsi" w:eastAsiaTheme="minorEastAsia" w:hAnsiTheme="minorHAnsi" w:cstheme="minorBidi"/>
            <w:noProof/>
            <w:sz w:val="21"/>
            <w:szCs w:val="22"/>
          </w:rPr>
          <w:tab/>
        </w:r>
        <w:r w:rsidRPr="00756616">
          <w:rPr>
            <w:rStyle w:val="ae"/>
            <w:noProof/>
          </w:rPr>
          <w:t>Prohibited Drugs</w:t>
        </w:r>
        <w:r>
          <w:rPr>
            <w:noProof/>
            <w:webHidden/>
          </w:rPr>
          <w:tab/>
        </w:r>
        <w:r>
          <w:rPr>
            <w:noProof/>
            <w:webHidden/>
          </w:rPr>
          <w:fldChar w:fldCharType="begin"/>
        </w:r>
        <w:r>
          <w:rPr>
            <w:noProof/>
            <w:webHidden/>
          </w:rPr>
          <w:instrText xml:space="preserve"> PAGEREF _Toc71149170 \h </w:instrText>
        </w:r>
        <w:r>
          <w:rPr>
            <w:noProof/>
            <w:webHidden/>
          </w:rPr>
        </w:r>
        <w:r>
          <w:rPr>
            <w:noProof/>
            <w:webHidden/>
          </w:rPr>
          <w:fldChar w:fldCharType="separate"/>
        </w:r>
        <w:r w:rsidR="002F3CA2">
          <w:rPr>
            <w:noProof/>
            <w:webHidden/>
          </w:rPr>
          <w:t>42</w:t>
        </w:r>
        <w:r>
          <w:rPr>
            <w:noProof/>
            <w:webHidden/>
          </w:rPr>
          <w:fldChar w:fldCharType="end"/>
        </w:r>
      </w:hyperlink>
    </w:p>
    <w:p w14:paraId="243D9B37" w14:textId="6814E7AC"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71" w:history="1">
        <w:r w:rsidRPr="00756616">
          <w:rPr>
            <w:rStyle w:val="ae"/>
            <w:noProof/>
          </w:rPr>
          <w:t>5.5.2</w:t>
        </w:r>
        <w:r>
          <w:rPr>
            <w:rFonts w:asciiTheme="minorHAnsi" w:eastAsiaTheme="minorEastAsia" w:hAnsiTheme="minorHAnsi" w:cstheme="minorBidi"/>
            <w:noProof/>
            <w:sz w:val="21"/>
            <w:szCs w:val="22"/>
          </w:rPr>
          <w:tab/>
        </w:r>
        <w:r w:rsidRPr="00756616">
          <w:rPr>
            <w:rStyle w:val="ae"/>
            <w:noProof/>
          </w:rPr>
          <w:t>Permitted Drugs</w:t>
        </w:r>
        <w:r>
          <w:rPr>
            <w:noProof/>
            <w:webHidden/>
          </w:rPr>
          <w:tab/>
        </w:r>
        <w:r>
          <w:rPr>
            <w:noProof/>
            <w:webHidden/>
          </w:rPr>
          <w:fldChar w:fldCharType="begin"/>
        </w:r>
        <w:r>
          <w:rPr>
            <w:noProof/>
            <w:webHidden/>
          </w:rPr>
          <w:instrText xml:space="preserve"> PAGEREF _Toc71149171 \h </w:instrText>
        </w:r>
        <w:r>
          <w:rPr>
            <w:noProof/>
            <w:webHidden/>
          </w:rPr>
        </w:r>
        <w:r>
          <w:rPr>
            <w:noProof/>
            <w:webHidden/>
          </w:rPr>
          <w:fldChar w:fldCharType="separate"/>
        </w:r>
        <w:r w:rsidR="002F3CA2">
          <w:rPr>
            <w:noProof/>
            <w:webHidden/>
          </w:rPr>
          <w:t>42</w:t>
        </w:r>
        <w:r>
          <w:rPr>
            <w:noProof/>
            <w:webHidden/>
          </w:rPr>
          <w:fldChar w:fldCharType="end"/>
        </w:r>
      </w:hyperlink>
    </w:p>
    <w:p w14:paraId="6A7850CA" w14:textId="54CE5BA6" w:rsidR="00F91956" w:rsidRDefault="00F91956">
      <w:pPr>
        <w:pStyle w:val="TOC1"/>
        <w:tabs>
          <w:tab w:val="left" w:pos="420"/>
          <w:tab w:val="right" w:leader="dot" w:pos="9628"/>
        </w:tabs>
        <w:spacing w:before="156"/>
        <w:rPr>
          <w:rFonts w:asciiTheme="minorHAnsi" w:eastAsiaTheme="minorEastAsia" w:hAnsiTheme="minorHAnsi" w:cstheme="minorBidi" w:hint="eastAsia"/>
          <w:b w:val="0"/>
          <w:noProof/>
          <w:sz w:val="21"/>
          <w:szCs w:val="22"/>
        </w:rPr>
      </w:pPr>
      <w:hyperlink w:anchor="_Toc71149172" w:history="1">
        <w:r w:rsidRPr="00756616">
          <w:rPr>
            <w:rStyle w:val="ae"/>
            <w:noProof/>
          </w:rPr>
          <w:t>6</w:t>
        </w:r>
        <w:r>
          <w:rPr>
            <w:rFonts w:asciiTheme="minorHAnsi" w:eastAsiaTheme="minorEastAsia" w:hAnsiTheme="minorHAnsi" w:cstheme="minorBidi"/>
            <w:b w:val="0"/>
            <w:noProof/>
            <w:sz w:val="21"/>
            <w:szCs w:val="22"/>
          </w:rPr>
          <w:tab/>
        </w:r>
        <w:r w:rsidRPr="00756616">
          <w:rPr>
            <w:rStyle w:val="ae"/>
            <w:noProof/>
          </w:rPr>
          <w:t>Study Procedures</w:t>
        </w:r>
        <w:r>
          <w:rPr>
            <w:noProof/>
            <w:webHidden/>
          </w:rPr>
          <w:tab/>
        </w:r>
        <w:r>
          <w:rPr>
            <w:noProof/>
            <w:webHidden/>
          </w:rPr>
          <w:fldChar w:fldCharType="begin"/>
        </w:r>
        <w:r>
          <w:rPr>
            <w:noProof/>
            <w:webHidden/>
          </w:rPr>
          <w:instrText xml:space="preserve"> PAGEREF _Toc71149172 \h </w:instrText>
        </w:r>
        <w:r>
          <w:rPr>
            <w:noProof/>
            <w:webHidden/>
          </w:rPr>
        </w:r>
        <w:r>
          <w:rPr>
            <w:noProof/>
            <w:webHidden/>
          </w:rPr>
          <w:fldChar w:fldCharType="separate"/>
        </w:r>
        <w:r w:rsidR="002F3CA2">
          <w:rPr>
            <w:noProof/>
            <w:webHidden/>
          </w:rPr>
          <w:t>44</w:t>
        </w:r>
        <w:r>
          <w:rPr>
            <w:noProof/>
            <w:webHidden/>
          </w:rPr>
          <w:fldChar w:fldCharType="end"/>
        </w:r>
      </w:hyperlink>
    </w:p>
    <w:p w14:paraId="24C03DFC" w14:textId="50EC3B7F"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73" w:history="1">
        <w:r w:rsidRPr="00756616">
          <w:rPr>
            <w:rStyle w:val="ae"/>
            <w:noProof/>
          </w:rPr>
          <w:t>6.1</w:t>
        </w:r>
        <w:r>
          <w:rPr>
            <w:rFonts w:asciiTheme="minorHAnsi" w:eastAsiaTheme="minorEastAsia" w:hAnsiTheme="minorHAnsi" w:cstheme="minorBidi"/>
            <w:noProof/>
            <w:sz w:val="21"/>
            <w:szCs w:val="22"/>
          </w:rPr>
          <w:tab/>
        </w:r>
        <w:r w:rsidRPr="00756616">
          <w:rPr>
            <w:rStyle w:val="ae"/>
            <w:noProof/>
          </w:rPr>
          <w:t>Screening Visit (Days -28 to -1)</w:t>
        </w:r>
        <w:r>
          <w:rPr>
            <w:noProof/>
            <w:webHidden/>
          </w:rPr>
          <w:tab/>
        </w:r>
        <w:r>
          <w:rPr>
            <w:noProof/>
            <w:webHidden/>
          </w:rPr>
          <w:fldChar w:fldCharType="begin"/>
        </w:r>
        <w:r>
          <w:rPr>
            <w:noProof/>
            <w:webHidden/>
          </w:rPr>
          <w:instrText xml:space="preserve"> PAGEREF _Toc71149173 \h </w:instrText>
        </w:r>
        <w:r>
          <w:rPr>
            <w:noProof/>
            <w:webHidden/>
          </w:rPr>
        </w:r>
        <w:r>
          <w:rPr>
            <w:noProof/>
            <w:webHidden/>
          </w:rPr>
          <w:fldChar w:fldCharType="separate"/>
        </w:r>
        <w:r w:rsidR="002F3CA2">
          <w:rPr>
            <w:noProof/>
            <w:webHidden/>
          </w:rPr>
          <w:t>44</w:t>
        </w:r>
        <w:r>
          <w:rPr>
            <w:noProof/>
            <w:webHidden/>
          </w:rPr>
          <w:fldChar w:fldCharType="end"/>
        </w:r>
      </w:hyperlink>
    </w:p>
    <w:p w14:paraId="7E16B5E6" w14:textId="4A459872"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74" w:history="1">
        <w:r w:rsidRPr="00756616">
          <w:rPr>
            <w:rStyle w:val="ae"/>
            <w:noProof/>
          </w:rPr>
          <w:t>6.2</w:t>
        </w:r>
        <w:r>
          <w:rPr>
            <w:rFonts w:asciiTheme="minorHAnsi" w:eastAsiaTheme="minorEastAsia" w:hAnsiTheme="minorHAnsi" w:cstheme="minorBidi"/>
            <w:noProof/>
            <w:sz w:val="21"/>
            <w:szCs w:val="22"/>
          </w:rPr>
          <w:tab/>
        </w:r>
        <w:r w:rsidRPr="00756616">
          <w:rPr>
            <w:rStyle w:val="ae"/>
            <w:noProof/>
          </w:rPr>
          <w:t>Visits During the Study</w:t>
        </w:r>
        <w:r>
          <w:rPr>
            <w:noProof/>
            <w:webHidden/>
          </w:rPr>
          <w:tab/>
        </w:r>
        <w:r>
          <w:rPr>
            <w:noProof/>
            <w:webHidden/>
          </w:rPr>
          <w:fldChar w:fldCharType="begin"/>
        </w:r>
        <w:r>
          <w:rPr>
            <w:noProof/>
            <w:webHidden/>
          </w:rPr>
          <w:instrText xml:space="preserve"> PAGEREF _Toc71149174 \h </w:instrText>
        </w:r>
        <w:r>
          <w:rPr>
            <w:noProof/>
            <w:webHidden/>
          </w:rPr>
        </w:r>
        <w:r>
          <w:rPr>
            <w:noProof/>
            <w:webHidden/>
          </w:rPr>
          <w:fldChar w:fldCharType="separate"/>
        </w:r>
        <w:r w:rsidR="002F3CA2">
          <w:rPr>
            <w:noProof/>
            <w:webHidden/>
          </w:rPr>
          <w:t>45</w:t>
        </w:r>
        <w:r>
          <w:rPr>
            <w:noProof/>
            <w:webHidden/>
          </w:rPr>
          <w:fldChar w:fldCharType="end"/>
        </w:r>
      </w:hyperlink>
    </w:p>
    <w:p w14:paraId="484D3217" w14:textId="178F2670"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75" w:history="1">
        <w:r w:rsidRPr="00756616">
          <w:rPr>
            <w:rStyle w:val="ae"/>
            <w:noProof/>
          </w:rPr>
          <w:t>6.2.1</w:t>
        </w:r>
        <w:r>
          <w:rPr>
            <w:rFonts w:asciiTheme="minorHAnsi" w:eastAsiaTheme="minorEastAsia" w:hAnsiTheme="minorHAnsi" w:cstheme="minorBidi"/>
            <w:noProof/>
            <w:sz w:val="21"/>
            <w:szCs w:val="22"/>
          </w:rPr>
          <w:tab/>
        </w:r>
        <w:r w:rsidRPr="00756616">
          <w:rPr>
            <w:rStyle w:val="ae"/>
            <w:noProof/>
          </w:rPr>
          <w:t>Visits During the Treatment Period (Day 1-84)</w:t>
        </w:r>
        <w:r>
          <w:rPr>
            <w:noProof/>
            <w:webHidden/>
          </w:rPr>
          <w:tab/>
        </w:r>
        <w:r>
          <w:rPr>
            <w:noProof/>
            <w:webHidden/>
          </w:rPr>
          <w:fldChar w:fldCharType="begin"/>
        </w:r>
        <w:r>
          <w:rPr>
            <w:noProof/>
            <w:webHidden/>
          </w:rPr>
          <w:instrText xml:space="preserve"> PAGEREF _Toc71149175 \h </w:instrText>
        </w:r>
        <w:r>
          <w:rPr>
            <w:noProof/>
            <w:webHidden/>
          </w:rPr>
        </w:r>
        <w:r>
          <w:rPr>
            <w:noProof/>
            <w:webHidden/>
          </w:rPr>
          <w:fldChar w:fldCharType="separate"/>
        </w:r>
        <w:r w:rsidR="002F3CA2">
          <w:rPr>
            <w:noProof/>
            <w:webHidden/>
          </w:rPr>
          <w:t>45</w:t>
        </w:r>
        <w:r>
          <w:rPr>
            <w:noProof/>
            <w:webHidden/>
          </w:rPr>
          <w:fldChar w:fldCharType="end"/>
        </w:r>
      </w:hyperlink>
    </w:p>
    <w:p w14:paraId="548767CF" w14:textId="365DD51D"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76" w:history="1">
        <w:r w:rsidRPr="00756616">
          <w:rPr>
            <w:rStyle w:val="ae"/>
            <w:noProof/>
          </w:rPr>
          <w:t>6.2.2</w:t>
        </w:r>
        <w:r>
          <w:rPr>
            <w:rFonts w:asciiTheme="minorHAnsi" w:eastAsiaTheme="minorEastAsia" w:hAnsiTheme="minorHAnsi" w:cstheme="minorBidi"/>
            <w:noProof/>
            <w:sz w:val="21"/>
            <w:szCs w:val="22"/>
          </w:rPr>
          <w:tab/>
        </w:r>
        <w:r w:rsidRPr="00756616">
          <w:rPr>
            <w:rStyle w:val="ae"/>
            <w:noProof/>
          </w:rPr>
          <w:t>End-of-Treatment Visit (within 3 days after last dose)</w:t>
        </w:r>
        <w:r>
          <w:rPr>
            <w:noProof/>
            <w:webHidden/>
          </w:rPr>
          <w:tab/>
        </w:r>
        <w:r>
          <w:rPr>
            <w:noProof/>
            <w:webHidden/>
          </w:rPr>
          <w:fldChar w:fldCharType="begin"/>
        </w:r>
        <w:r>
          <w:rPr>
            <w:noProof/>
            <w:webHidden/>
          </w:rPr>
          <w:instrText xml:space="preserve"> PAGEREF _Toc71149176 \h </w:instrText>
        </w:r>
        <w:r>
          <w:rPr>
            <w:noProof/>
            <w:webHidden/>
          </w:rPr>
        </w:r>
        <w:r>
          <w:rPr>
            <w:noProof/>
            <w:webHidden/>
          </w:rPr>
          <w:fldChar w:fldCharType="separate"/>
        </w:r>
        <w:r w:rsidR="002F3CA2">
          <w:rPr>
            <w:noProof/>
            <w:webHidden/>
          </w:rPr>
          <w:t>47</w:t>
        </w:r>
        <w:r>
          <w:rPr>
            <w:noProof/>
            <w:webHidden/>
          </w:rPr>
          <w:fldChar w:fldCharType="end"/>
        </w:r>
      </w:hyperlink>
    </w:p>
    <w:p w14:paraId="69A646AA" w14:textId="77C8834F"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77" w:history="1">
        <w:r w:rsidRPr="00756616">
          <w:rPr>
            <w:rStyle w:val="ae"/>
            <w:noProof/>
          </w:rPr>
          <w:t>6.2.3</w:t>
        </w:r>
        <w:r>
          <w:rPr>
            <w:rFonts w:asciiTheme="minorHAnsi" w:eastAsiaTheme="minorEastAsia" w:hAnsiTheme="minorHAnsi" w:cstheme="minorBidi"/>
            <w:noProof/>
            <w:sz w:val="21"/>
            <w:szCs w:val="22"/>
          </w:rPr>
          <w:tab/>
        </w:r>
        <w:r w:rsidRPr="00756616">
          <w:rPr>
            <w:rStyle w:val="ae"/>
            <w:noProof/>
          </w:rPr>
          <w:t>Follow-up (28 days after last dose)</w:t>
        </w:r>
        <w:r>
          <w:rPr>
            <w:noProof/>
            <w:webHidden/>
          </w:rPr>
          <w:tab/>
        </w:r>
        <w:r>
          <w:rPr>
            <w:noProof/>
            <w:webHidden/>
          </w:rPr>
          <w:fldChar w:fldCharType="begin"/>
        </w:r>
        <w:r>
          <w:rPr>
            <w:noProof/>
            <w:webHidden/>
          </w:rPr>
          <w:instrText xml:space="preserve"> PAGEREF _Toc71149177 \h </w:instrText>
        </w:r>
        <w:r>
          <w:rPr>
            <w:noProof/>
            <w:webHidden/>
          </w:rPr>
        </w:r>
        <w:r>
          <w:rPr>
            <w:noProof/>
            <w:webHidden/>
          </w:rPr>
          <w:fldChar w:fldCharType="separate"/>
        </w:r>
        <w:r w:rsidR="002F3CA2">
          <w:rPr>
            <w:noProof/>
            <w:webHidden/>
          </w:rPr>
          <w:t>48</w:t>
        </w:r>
        <w:r>
          <w:rPr>
            <w:noProof/>
            <w:webHidden/>
          </w:rPr>
          <w:fldChar w:fldCharType="end"/>
        </w:r>
      </w:hyperlink>
    </w:p>
    <w:p w14:paraId="2AF1D920" w14:textId="5531C50A"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78" w:history="1">
        <w:r w:rsidRPr="00756616">
          <w:rPr>
            <w:rStyle w:val="ae"/>
            <w:noProof/>
          </w:rPr>
          <w:t>6.3</w:t>
        </w:r>
        <w:r>
          <w:rPr>
            <w:rFonts w:asciiTheme="minorHAnsi" w:eastAsiaTheme="minorEastAsia" w:hAnsiTheme="minorHAnsi" w:cstheme="minorBidi"/>
            <w:noProof/>
            <w:sz w:val="21"/>
            <w:szCs w:val="22"/>
          </w:rPr>
          <w:tab/>
        </w:r>
        <w:r w:rsidRPr="00756616">
          <w:rPr>
            <w:rStyle w:val="ae"/>
            <w:noProof/>
          </w:rPr>
          <w:t>Unscheduled visits</w:t>
        </w:r>
        <w:r>
          <w:rPr>
            <w:noProof/>
            <w:webHidden/>
          </w:rPr>
          <w:tab/>
        </w:r>
        <w:r>
          <w:rPr>
            <w:noProof/>
            <w:webHidden/>
          </w:rPr>
          <w:fldChar w:fldCharType="begin"/>
        </w:r>
        <w:r>
          <w:rPr>
            <w:noProof/>
            <w:webHidden/>
          </w:rPr>
          <w:instrText xml:space="preserve"> PAGEREF _Toc71149178 \h </w:instrText>
        </w:r>
        <w:r>
          <w:rPr>
            <w:noProof/>
            <w:webHidden/>
          </w:rPr>
        </w:r>
        <w:r>
          <w:rPr>
            <w:noProof/>
            <w:webHidden/>
          </w:rPr>
          <w:fldChar w:fldCharType="separate"/>
        </w:r>
        <w:r w:rsidR="002F3CA2">
          <w:rPr>
            <w:noProof/>
            <w:webHidden/>
          </w:rPr>
          <w:t>48</w:t>
        </w:r>
        <w:r>
          <w:rPr>
            <w:noProof/>
            <w:webHidden/>
          </w:rPr>
          <w:fldChar w:fldCharType="end"/>
        </w:r>
      </w:hyperlink>
    </w:p>
    <w:p w14:paraId="1B2373A6" w14:textId="7715936D" w:rsidR="00F91956" w:rsidRDefault="00F91956">
      <w:pPr>
        <w:pStyle w:val="TOC1"/>
        <w:tabs>
          <w:tab w:val="left" w:pos="420"/>
          <w:tab w:val="right" w:leader="dot" w:pos="9628"/>
        </w:tabs>
        <w:spacing w:before="156"/>
        <w:rPr>
          <w:rFonts w:asciiTheme="minorHAnsi" w:eastAsiaTheme="minorEastAsia" w:hAnsiTheme="minorHAnsi" w:cstheme="minorBidi" w:hint="eastAsia"/>
          <w:b w:val="0"/>
          <w:noProof/>
          <w:sz w:val="21"/>
          <w:szCs w:val="22"/>
        </w:rPr>
      </w:pPr>
      <w:hyperlink w:anchor="_Toc71149179" w:history="1">
        <w:r w:rsidRPr="00756616">
          <w:rPr>
            <w:rStyle w:val="ae"/>
            <w:noProof/>
          </w:rPr>
          <w:t>7</w:t>
        </w:r>
        <w:r>
          <w:rPr>
            <w:rFonts w:asciiTheme="minorHAnsi" w:eastAsiaTheme="minorEastAsia" w:hAnsiTheme="minorHAnsi" w:cstheme="minorBidi"/>
            <w:b w:val="0"/>
            <w:noProof/>
            <w:sz w:val="21"/>
            <w:szCs w:val="22"/>
          </w:rPr>
          <w:tab/>
        </w:r>
        <w:r w:rsidRPr="00756616">
          <w:rPr>
            <w:rStyle w:val="ae"/>
            <w:noProof/>
          </w:rPr>
          <w:t>Early Termination and Withdrawal</w:t>
        </w:r>
        <w:r>
          <w:rPr>
            <w:noProof/>
            <w:webHidden/>
          </w:rPr>
          <w:tab/>
        </w:r>
        <w:r>
          <w:rPr>
            <w:noProof/>
            <w:webHidden/>
          </w:rPr>
          <w:fldChar w:fldCharType="begin"/>
        </w:r>
        <w:r>
          <w:rPr>
            <w:noProof/>
            <w:webHidden/>
          </w:rPr>
          <w:instrText xml:space="preserve"> PAGEREF _Toc71149179 \h </w:instrText>
        </w:r>
        <w:r>
          <w:rPr>
            <w:noProof/>
            <w:webHidden/>
          </w:rPr>
        </w:r>
        <w:r>
          <w:rPr>
            <w:noProof/>
            <w:webHidden/>
          </w:rPr>
          <w:fldChar w:fldCharType="separate"/>
        </w:r>
        <w:r w:rsidR="002F3CA2">
          <w:rPr>
            <w:noProof/>
            <w:webHidden/>
          </w:rPr>
          <w:t>49</w:t>
        </w:r>
        <w:r>
          <w:rPr>
            <w:noProof/>
            <w:webHidden/>
          </w:rPr>
          <w:fldChar w:fldCharType="end"/>
        </w:r>
      </w:hyperlink>
    </w:p>
    <w:p w14:paraId="3A1864AC" w14:textId="6D95A798"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80" w:history="1">
        <w:r w:rsidRPr="00756616">
          <w:rPr>
            <w:rStyle w:val="ae"/>
            <w:noProof/>
          </w:rPr>
          <w:t>7.1</w:t>
        </w:r>
        <w:r>
          <w:rPr>
            <w:rFonts w:asciiTheme="minorHAnsi" w:eastAsiaTheme="minorEastAsia" w:hAnsiTheme="minorHAnsi" w:cstheme="minorBidi"/>
            <w:noProof/>
            <w:sz w:val="21"/>
            <w:szCs w:val="22"/>
          </w:rPr>
          <w:tab/>
        </w:r>
        <w:r w:rsidRPr="00756616">
          <w:rPr>
            <w:rStyle w:val="ae"/>
            <w:noProof/>
          </w:rPr>
          <w:t>Early Termination</w:t>
        </w:r>
        <w:r>
          <w:rPr>
            <w:noProof/>
            <w:webHidden/>
          </w:rPr>
          <w:tab/>
        </w:r>
        <w:r>
          <w:rPr>
            <w:noProof/>
            <w:webHidden/>
          </w:rPr>
          <w:fldChar w:fldCharType="begin"/>
        </w:r>
        <w:r>
          <w:rPr>
            <w:noProof/>
            <w:webHidden/>
          </w:rPr>
          <w:instrText xml:space="preserve"> PAGEREF _Toc71149180 \h </w:instrText>
        </w:r>
        <w:r>
          <w:rPr>
            <w:noProof/>
            <w:webHidden/>
          </w:rPr>
        </w:r>
        <w:r>
          <w:rPr>
            <w:noProof/>
            <w:webHidden/>
          </w:rPr>
          <w:fldChar w:fldCharType="separate"/>
        </w:r>
        <w:r w:rsidR="002F3CA2">
          <w:rPr>
            <w:noProof/>
            <w:webHidden/>
          </w:rPr>
          <w:t>49</w:t>
        </w:r>
        <w:r>
          <w:rPr>
            <w:noProof/>
            <w:webHidden/>
          </w:rPr>
          <w:fldChar w:fldCharType="end"/>
        </w:r>
      </w:hyperlink>
    </w:p>
    <w:p w14:paraId="54DAEB42" w14:textId="6063B9AE"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81" w:history="1">
        <w:r w:rsidRPr="00756616">
          <w:rPr>
            <w:rStyle w:val="ae"/>
            <w:noProof/>
          </w:rPr>
          <w:t>7.2</w:t>
        </w:r>
        <w:r>
          <w:rPr>
            <w:rFonts w:asciiTheme="minorHAnsi" w:eastAsiaTheme="minorEastAsia" w:hAnsiTheme="minorHAnsi" w:cstheme="minorBidi"/>
            <w:noProof/>
            <w:sz w:val="21"/>
            <w:szCs w:val="22"/>
          </w:rPr>
          <w:tab/>
        </w:r>
        <w:r w:rsidRPr="00756616">
          <w:rPr>
            <w:rStyle w:val="ae"/>
            <w:noProof/>
          </w:rPr>
          <w:t>Withdrawal Criteria</w:t>
        </w:r>
        <w:r>
          <w:rPr>
            <w:noProof/>
            <w:webHidden/>
          </w:rPr>
          <w:tab/>
        </w:r>
        <w:r>
          <w:rPr>
            <w:noProof/>
            <w:webHidden/>
          </w:rPr>
          <w:fldChar w:fldCharType="begin"/>
        </w:r>
        <w:r>
          <w:rPr>
            <w:noProof/>
            <w:webHidden/>
          </w:rPr>
          <w:instrText xml:space="preserve"> PAGEREF _Toc71149181 \h </w:instrText>
        </w:r>
        <w:r>
          <w:rPr>
            <w:noProof/>
            <w:webHidden/>
          </w:rPr>
        </w:r>
        <w:r>
          <w:rPr>
            <w:noProof/>
            <w:webHidden/>
          </w:rPr>
          <w:fldChar w:fldCharType="separate"/>
        </w:r>
        <w:r w:rsidR="002F3CA2">
          <w:rPr>
            <w:noProof/>
            <w:webHidden/>
          </w:rPr>
          <w:t>49</w:t>
        </w:r>
        <w:r>
          <w:rPr>
            <w:noProof/>
            <w:webHidden/>
          </w:rPr>
          <w:fldChar w:fldCharType="end"/>
        </w:r>
      </w:hyperlink>
    </w:p>
    <w:p w14:paraId="6D801578" w14:textId="508C6E97"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82" w:history="1">
        <w:r w:rsidRPr="00756616">
          <w:rPr>
            <w:rStyle w:val="ae"/>
            <w:noProof/>
          </w:rPr>
          <w:t>7.3</w:t>
        </w:r>
        <w:r>
          <w:rPr>
            <w:rFonts w:asciiTheme="minorHAnsi" w:eastAsiaTheme="minorEastAsia" w:hAnsiTheme="minorHAnsi" w:cstheme="minorBidi"/>
            <w:noProof/>
            <w:sz w:val="21"/>
            <w:szCs w:val="22"/>
          </w:rPr>
          <w:tab/>
        </w:r>
        <w:r w:rsidRPr="00756616">
          <w:rPr>
            <w:rStyle w:val="ae"/>
            <w:noProof/>
          </w:rPr>
          <w:t>Lost to Follow-up</w:t>
        </w:r>
        <w:r>
          <w:rPr>
            <w:noProof/>
            <w:webHidden/>
          </w:rPr>
          <w:tab/>
        </w:r>
        <w:r>
          <w:rPr>
            <w:noProof/>
            <w:webHidden/>
          </w:rPr>
          <w:fldChar w:fldCharType="begin"/>
        </w:r>
        <w:r>
          <w:rPr>
            <w:noProof/>
            <w:webHidden/>
          </w:rPr>
          <w:instrText xml:space="preserve"> PAGEREF _Toc71149182 \h </w:instrText>
        </w:r>
        <w:r>
          <w:rPr>
            <w:noProof/>
            <w:webHidden/>
          </w:rPr>
        </w:r>
        <w:r>
          <w:rPr>
            <w:noProof/>
            <w:webHidden/>
          </w:rPr>
          <w:fldChar w:fldCharType="separate"/>
        </w:r>
        <w:r w:rsidR="002F3CA2">
          <w:rPr>
            <w:noProof/>
            <w:webHidden/>
          </w:rPr>
          <w:t>50</w:t>
        </w:r>
        <w:r>
          <w:rPr>
            <w:noProof/>
            <w:webHidden/>
          </w:rPr>
          <w:fldChar w:fldCharType="end"/>
        </w:r>
      </w:hyperlink>
    </w:p>
    <w:p w14:paraId="65C49C45" w14:textId="38C008D9" w:rsidR="00F91956" w:rsidRDefault="00F91956">
      <w:pPr>
        <w:pStyle w:val="TOC1"/>
        <w:tabs>
          <w:tab w:val="left" w:pos="420"/>
          <w:tab w:val="right" w:leader="dot" w:pos="9628"/>
        </w:tabs>
        <w:spacing w:before="156"/>
        <w:rPr>
          <w:rFonts w:asciiTheme="minorHAnsi" w:eastAsiaTheme="minorEastAsia" w:hAnsiTheme="minorHAnsi" w:cstheme="minorBidi" w:hint="eastAsia"/>
          <w:b w:val="0"/>
          <w:noProof/>
          <w:sz w:val="21"/>
          <w:szCs w:val="22"/>
        </w:rPr>
      </w:pPr>
      <w:hyperlink w:anchor="_Toc71149183" w:history="1">
        <w:r w:rsidRPr="00756616">
          <w:rPr>
            <w:rStyle w:val="ae"/>
            <w:noProof/>
          </w:rPr>
          <w:t>8</w:t>
        </w:r>
        <w:r>
          <w:rPr>
            <w:rFonts w:asciiTheme="minorHAnsi" w:eastAsiaTheme="minorEastAsia" w:hAnsiTheme="minorHAnsi" w:cstheme="minorBidi"/>
            <w:b w:val="0"/>
            <w:noProof/>
            <w:sz w:val="21"/>
            <w:szCs w:val="22"/>
          </w:rPr>
          <w:tab/>
        </w:r>
        <w:r w:rsidRPr="00756616">
          <w:rPr>
            <w:rStyle w:val="ae"/>
            <w:noProof/>
          </w:rPr>
          <w:t>Study Evaluation</w:t>
        </w:r>
        <w:r>
          <w:rPr>
            <w:noProof/>
            <w:webHidden/>
          </w:rPr>
          <w:tab/>
        </w:r>
        <w:r>
          <w:rPr>
            <w:noProof/>
            <w:webHidden/>
          </w:rPr>
          <w:fldChar w:fldCharType="begin"/>
        </w:r>
        <w:r>
          <w:rPr>
            <w:noProof/>
            <w:webHidden/>
          </w:rPr>
          <w:instrText xml:space="preserve"> PAGEREF _Toc71149183 \h </w:instrText>
        </w:r>
        <w:r>
          <w:rPr>
            <w:noProof/>
            <w:webHidden/>
          </w:rPr>
        </w:r>
        <w:r>
          <w:rPr>
            <w:noProof/>
            <w:webHidden/>
          </w:rPr>
          <w:fldChar w:fldCharType="separate"/>
        </w:r>
        <w:r w:rsidR="002F3CA2">
          <w:rPr>
            <w:noProof/>
            <w:webHidden/>
          </w:rPr>
          <w:t>51</w:t>
        </w:r>
        <w:r>
          <w:rPr>
            <w:noProof/>
            <w:webHidden/>
          </w:rPr>
          <w:fldChar w:fldCharType="end"/>
        </w:r>
      </w:hyperlink>
    </w:p>
    <w:p w14:paraId="42ABF0B0" w14:textId="2B74802C"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84" w:history="1">
        <w:r w:rsidRPr="00756616">
          <w:rPr>
            <w:rStyle w:val="ae"/>
            <w:noProof/>
          </w:rPr>
          <w:t>8.1</w:t>
        </w:r>
        <w:r>
          <w:rPr>
            <w:rFonts w:asciiTheme="minorHAnsi" w:eastAsiaTheme="minorEastAsia" w:hAnsiTheme="minorHAnsi" w:cstheme="minorBidi"/>
            <w:noProof/>
            <w:sz w:val="21"/>
            <w:szCs w:val="22"/>
          </w:rPr>
          <w:tab/>
        </w:r>
        <w:r w:rsidRPr="00756616">
          <w:rPr>
            <w:rStyle w:val="ae"/>
            <w:noProof/>
          </w:rPr>
          <w:t>Safety Evaluation</w:t>
        </w:r>
        <w:r>
          <w:rPr>
            <w:noProof/>
            <w:webHidden/>
          </w:rPr>
          <w:tab/>
        </w:r>
        <w:r>
          <w:rPr>
            <w:noProof/>
            <w:webHidden/>
          </w:rPr>
          <w:fldChar w:fldCharType="begin"/>
        </w:r>
        <w:r>
          <w:rPr>
            <w:noProof/>
            <w:webHidden/>
          </w:rPr>
          <w:instrText xml:space="preserve"> PAGEREF _Toc71149184 \h </w:instrText>
        </w:r>
        <w:r>
          <w:rPr>
            <w:noProof/>
            <w:webHidden/>
          </w:rPr>
        </w:r>
        <w:r>
          <w:rPr>
            <w:noProof/>
            <w:webHidden/>
          </w:rPr>
          <w:fldChar w:fldCharType="separate"/>
        </w:r>
        <w:r w:rsidR="002F3CA2">
          <w:rPr>
            <w:noProof/>
            <w:webHidden/>
          </w:rPr>
          <w:t>51</w:t>
        </w:r>
        <w:r>
          <w:rPr>
            <w:noProof/>
            <w:webHidden/>
          </w:rPr>
          <w:fldChar w:fldCharType="end"/>
        </w:r>
      </w:hyperlink>
    </w:p>
    <w:p w14:paraId="593D5FCF" w14:textId="483750D5"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85" w:history="1">
        <w:r w:rsidRPr="00756616">
          <w:rPr>
            <w:rStyle w:val="ae"/>
            <w:noProof/>
          </w:rPr>
          <w:t>8.2</w:t>
        </w:r>
        <w:r>
          <w:rPr>
            <w:rFonts w:asciiTheme="minorHAnsi" w:eastAsiaTheme="minorEastAsia" w:hAnsiTheme="minorHAnsi" w:cstheme="minorBidi"/>
            <w:noProof/>
            <w:sz w:val="21"/>
            <w:szCs w:val="22"/>
          </w:rPr>
          <w:tab/>
        </w:r>
        <w:r w:rsidRPr="00756616">
          <w:rPr>
            <w:rStyle w:val="ae"/>
            <w:noProof/>
          </w:rPr>
          <w:t>Adverse Events and Serious Adverse Events</w:t>
        </w:r>
        <w:r>
          <w:rPr>
            <w:noProof/>
            <w:webHidden/>
          </w:rPr>
          <w:tab/>
        </w:r>
        <w:r>
          <w:rPr>
            <w:noProof/>
            <w:webHidden/>
          </w:rPr>
          <w:fldChar w:fldCharType="begin"/>
        </w:r>
        <w:r>
          <w:rPr>
            <w:noProof/>
            <w:webHidden/>
          </w:rPr>
          <w:instrText xml:space="preserve"> PAGEREF _Toc71149185 \h </w:instrText>
        </w:r>
        <w:r>
          <w:rPr>
            <w:noProof/>
            <w:webHidden/>
          </w:rPr>
        </w:r>
        <w:r>
          <w:rPr>
            <w:noProof/>
            <w:webHidden/>
          </w:rPr>
          <w:fldChar w:fldCharType="separate"/>
        </w:r>
        <w:r w:rsidR="002F3CA2">
          <w:rPr>
            <w:noProof/>
            <w:webHidden/>
          </w:rPr>
          <w:t>51</w:t>
        </w:r>
        <w:r>
          <w:rPr>
            <w:noProof/>
            <w:webHidden/>
          </w:rPr>
          <w:fldChar w:fldCharType="end"/>
        </w:r>
      </w:hyperlink>
    </w:p>
    <w:p w14:paraId="22917A2B" w14:textId="00B8814B"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86" w:history="1">
        <w:r w:rsidRPr="00756616">
          <w:rPr>
            <w:rStyle w:val="ae"/>
            <w:noProof/>
          </w:rPr>
          <w:t>8.2.1</w:t>
        </w:r>
        <w:r>
          <w:rPr>
            <w:rFonts w:asciiTheme="minorHAnsi" w:eastAsiaTheme="minorEastAsia" w:hAnsiTheme="minorHAnsi" w:cstheme="minorBidi"/>
            <w:noProof/>
            <w:sz w:val="21"/>
            <w:szCs w:val="22"/>
          </w:rPr>
          <w:tab/>
        </w:r>
        <w:r w:rsidRPr="00756616">
          <w:rPr>
            <w:rStyle w:val="ae"/>
            <w:noProof/>
          </w:rPr>
          <w:t>Definition of Adverse Event</w:t>
        </w:r>
        <w:r>
          <w:rPr>
            <w:noProof/>
            <w:webHidden/>
          </w:rPr>
          <w:tab/>
        </w:r>
        <w:r>
          <w:rPr>
            <w:noProof/>
            <w:webHidden/>
          </w:rPr>
          <w:fldChar w:fldCharType="begin"/>
        </w:r>
        <w:r>
          <w:rPr>
            <w:noProof/>
            <w:webHidden/>
          </w:rPr>
          <w:instrText xml:space="preserve"> PAGEREF _Toc71149186 \h </w:instrText>
        </w:r>
        <w:r>
          <w:rPr>
            <w:noProof/>
            <w:webHidden/>
          </w:rPr>
        </w:r>
        <w:r>
          <w:rPr>
            <w:noProof/>
            <w:webHidden/>
          </w:rPr>
          <w:fldChar w:fldCharType="separate"/>
        </w:r>
        <w:r w:rsidR="002F3CA2">
          <w:rPr>
            <w:noProof/>
            <w:webHidden/>
          </w:rPr>
          <w:t>51</w:t>
        </w:r>
        <w:r>
          <w:rPr>
            <w:noProof/>
            <w:webHidden/>
          </w:rPr>
          <w:fldChar w:fldCharType="end"/>
        </w:r>
      </w:hyperlink>
    </w:p>
    <w:p w14:paraId="420881A9" w14:textId="6BA3F9AD"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87" w:history="1">
        <w:r w:rsidRPr="00756616">
          <w:rPr>
            <w:rStyle w:val="ae"/>
            <w:noProof/>
          </w:rPr>
          <w:t>8.2.2</w:t>
        </w:r>
        <w:r>
          <w:rPr>
            <w:rFonts w:asciiTheme="minorHAnsi" w:eastAsiaTheme="minorEastAsia" w:hAnsiTheme="minorHAnsi" w:cstheme="minorBidi"/>
            <w:noProof/>
            <w:sz w:val="21"/>
            <w:szCs w:val="22"/>
          </w:rPr>
          <w:tab/>
        </w:r>
        <w:r w:rsidRPr="00756616">
          <w:rPr>
            <w:rStyle w:val="ae"/>
            <w:noProof/>
          </w:rPr>
          <w:t>Definition of Serious Adverse Event</w:t>
        </w:r>
        <w:r>
          <w:rPr>
            <w:noProof/>
            <w:webHidden/>
          </w:rPr>
          <w:tab/>
        </w:r>
        <w:r>
          <w:rPr>
            <w:noProof/>
            <w:webHidden/>
          </w:rPr>
          <w:fldChar w:fldCharType="begin"/>
        </w:r>
        <w:r>
          <w:rPr>
            <w:noProof/>
            <w:webHidden/>
          </w:rPr>
          <w:instrText xml:space="preserve"> PAGEREF _Toc71149187 \h </w:instrText>
        </w:r>
        <w:r>
          <w:rPr>
            <w:noProof/>
            <w:webHidden/>
          </w:rPr>
        </w:r>
        <w:r>
          <w:rPr>
            <w:noProof/>
            <w:webHidden/>
          </w:rPr>
          <w:fldChar w:fldCharType="separate"/>
        </w:r>
        <w:r w:rsidR="002F3CA2">
          <w:rPr>
            <w:noProof/>
            <w:webHidden/>
          </w:rPr>
          <w:t>52</w:t>
        </w:r>
        <w:r>
          <w:rPr>
            <w:noProof/>
            <w:webHidden/>
          </w:rPr>
          <w:fldChar w:fldCharType="end"/>
        </w:r>
      </w:hyperlink>
    </w:p>
    <w:p w14:paraId="5B631984" w14:textId="16B6BE3C"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88" w:history="1">
        <w:r w:rsidRPr="00756616">
          <w:rPr>
            <w:rStyle w:val="ae"/>
            <w:noProof/>
          </w:rPr>
          <w:t>8.2.3</w:t>
        </w:r>
        <w:r>
          <w:rPr>
            <w:rFonts w:asciiTheme="minorHAnsi" w:eastAsiaTheme="minorEastAsia" w:hAnsiTheme="minorHAnsi" w:cstheme="minorBidi"/>
            <w:noProof/>
            <w:sz w:val="21"/>
            <w:szCs w:val="22"/>
          </w:rPr>
          <w:tab/>
        </w:r>
        <w:r w:rsidRPr="00756616">
          <w:rPr>
            <w:rStyle w:val="ae"/>
            <w:noProof/>
          </w:rPr>
          <w:t>Definition of Suspected Unexpected Serious Adverse Reaction</w:t>
        </w:r>
        <w:r>
          <w:rPr>
            <w:noProof/>
            <w:webHidden/>
          </w:rPr>
          <w:tab/>
        </w:r>
        <w:r>
          <w:rPr>
            <w:noProof/>
            <w:webHidden/>
          </w:rPr>
          <w:fldChar w:fldCharType="begin"/>
        </w:r>
        <w:r>
          <w:rPr>
            <w:noProof/>
            <w:webHidden/>
          </w:rPr>
          <w:instrText xml:space="preserve"> PAGEREF _Toc71149188 \h </w:instrText>
        </w:r>
        <w:r>
          <w:rPr>
            <w:noProof/>
            <w:webHidden/>
          </w:rPr>
        </w:r>
        <w:r>
          <w:rPr>
            <w:noProof/>
            <w:webHidden/>
          </w:rPr>
          <w:fldChar w:fldCharType="separate"/>
        </w:r>
        <w:r w:rsidR="002F3CA2">
          <w:rPr>
            <w:noProof/>
            <w:webHidden/>
          </w:rPr>
          <w:t>53</w:t>
        </w:r>
        <w:r>
          <w:rPr>
            <w:noProof/>
            <w:webHidden/>
          </w:rPr>
          <w:fldChar w:fldCharType="end"/>
        </w:r>
      </w:hyperlink>
    </w:p>
    <w:p w14:paraId="03D6D717" w14:textId="2D0D790A"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89" w:history="1">
        <w:r w:rsidRPr="00756616">
          <w:rPr>
            <w:rStyle w:val="ae"/>
            <w:noProof/>
          </w:rPr>
          <w:t>8.2.4</w:t>
        </w:r>
        <w:r>
          <w:rPr>
            <w:rFonts w:asciiTheme="minorHAnsi" w:eastAsiaTheme="minorEastAsia" w:hAnsiTheme="minorHAnsi" w:cstheme="minorBidi"/>
            <w:noProof/>
            <w:sz w:val="21"/>
            <w:szCs w:val="22"/>
          </w:rPr>
          <w:tab/>
        </w:r>
        <w:r w:rsidRPr="00756616">
          <w:rPr>
            <w:rStyle w:val="ae"/>
            <w:noProof/>
          </w:rPr>
          <w:t>Classification of Adverse Events</w:t>
        </w:r>
        <w:r>
          <w:rPr>
            <w:noProof/>
            <w:webHidden/>
          </w:rPr>
          <w:tab/>
        </w:r>
        <w:r>
          <w:rPr>
            <w:noProof/>
            <w:webHidden/>
          </w:rPr>
          <w:fldChar w:fldCharType="begin"/>
        </w:r>
        <w:r>
          <w:rPr>
            <w:noProof/>
            <w:webHidden/>
          </w:rPr>
          <w:instrText xml:space="preserve"> PAGEREF _Toc71149189 \h </w:instrText>
        </w:r>
        <w:r>
          <w:rPr>
            <w:noProof/>
            <w:webHidden/>
          </w:rPr>
        </w:r>
        <w:r>
          <w:rPr>
            <w:noProof/>
            <w:webHidden/>
          </w:rPr>
          <w:fldChar w:fldCharType="separate"/>
        </w:r>
        <w:r w:rsidR="002F3CA2">
          <w:rPr>
            <w:noProof/>
            <w:webHidden/>
          </w:rPr>
          <w:t>53</w:t>
        </w:r>
        <w:r>
          <w:rPr>
            <w:noProof/>
            <w:webHidden/>
          </w:rPr>
          <w:fldChar w:fldCharType="end"/>
        </w:r>
      </w:hyperlink>
    </w:p>
    <w:p w14:paraId="640643AD" w14:textId="462AEC4B"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90" w:history="1">
        <w:r w:rsidRPr="00756616">
          <w:rPr>
            <w:rStyle w:val="ae"/>
            <w:noProof/>
          </w:rPr>
          <w:t>8.2.5</w:t>
        </w:r>
        <w:r>
          <w:rPr>
            <w:rFonts w:asciiTheme="minorHAnsi" w:eastAsiaTheme="minorEastAsia" w:hAnsiTheme="minorHAnsi" w:cstheme="minorBidi"/>
            <w:noProof/>
            <w:sz w:val="21"/>
            <w:szCs w:val="22"/>
          </w:rPr>
          <w:tab/>
        </w:r>
        <w:r w:rsidRPr="00756616">
          <w:rPr>
            <w:rStyle w:val="ae"/>
            <w:noProof/>
          </w:rPr>
          <w:t>Collection &amp; Follow-up of Adverse Events</w:t>
        </w:r>
        <w:r>
          <w:rPr>
            <w:noProof/>
            <w:webHidden/>
          </w:rPr>
          <w:tab/>
        </w:r>
        <w:r>
          <w:rPr>
            <w:noProof/>
            <w:webHidden/>
          </w:rPr>
          <w:fldChar w:fldCharType="begin"/>
        </w:r>
        <w:r>
          <w:rPr>
            <w:noProof/>
            <w:webHidden/>
          </w:rPr>
          <w:instrText xml:space="preserve"> PAGEREF _Toc71149190 \h </w:instrText>
        </w:r>
        <w:r>
          <w:rPr>
            <w:noProof/>
            <w:webHidden/>
          </w:rPr>
        </w:r>
        <w:r>
          <w:rPr>
            <w:noProof/>
            <w:webHidden/>
          </w:rPr>
          <w:fldChar w:fldCharType="separate"/>
        </w:r>
        <w:r w:rsidR="002F3CA2">
          <w:rPr>
            <w:noProof/>
            <w:webHidden/>
          </w:rPr>
          <w:t>55</w:t>
        </w:r>
        <w:r>
          <w:rPr>
            <w:noProof/>
            <w:webHidden/>
          </w:rPr>
          <w:fldChar w:fldCharType="end"/>
        </w:r>
      </w:hyperlink>
    </w:p>
    <w:p w14:paraId="5F5F3823" w14:textId="5090DA7A"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91" w:history="1">
        <w:r w:rsidRPr="00756616">
          <w:rPr>
            <w:rStyle w:val="ae"/>
            <w:noProof/>
          </w:rPr>
          <w:t>8.2.6</w:t>
        </w:r>
        <w:r>
          <w:rPr>
            <w:rFonts w:asciiTheme="minorHAnsi" w:eastAsiaTheme="minorEastAsia" w:hAnsiTheme="minorHAnsi" w:cstheme="minorBidi"/>
            <w:noProof/>
            <w:sz w:val="21"/>
            <w:szCs w:val="22"/>
          </w:rPr>
          <w:tab/>
        </w:r>
        <w:r w:rsidRPr="00756616">
          <w:rPr>
            <w:rStyle w:val="ae"/>
            <w:noProof/>
          </w:rPr>
          <w:t>Assessment of Adverse Events</w:t>
        </w:r>
        <w:r>
          <w:rPr>
            <w:noProof/>
            <w:webHidden/>
          </w:rPr>
          <w:tab/>
        </w:r>
        <w:r>
          <w:rPr>
            <w:noProof/>
            <w:webHidden/>
          </w:rPr>
          <w:fldChar w:fldCharType="begin"/>
        </w:r>
        <w:r>
          <w:rPr>
            <w:noProof/>
            <w:webHidden/>
          </w:rPr>
          <w:instrText xml:space="preserve"> PAGEREF _Toc71149191 \h </w:instrText>
        </w:r>
        <w:r>
          <w:rPr>
            <w:noProof/>
            <w:webHidden/>
          </w:rPr>
        </w:r>
        <w:r>
          <w:rPr>
            <w:noProof/>
            <w:webHidden/>
          </w:rPr>
          <w:fldChar w:fldCharType="separate"/>
        </w:r>
        <w:r w:rsidR="002F3CA2">
          <w:rPr>
            <w:noProof/>
            <w:webHidden/>
          </w:rPr>
          <w:t>55</w:t>
        </w:r>
        <w:r>
          <w:rPr>
            <w:noProof/>
            <w:webHidden/>
          </w:rPr>
          <w:fldChar w:fldCharType="end"/>
        </w:r>
      </w:hyperlink>
    </w:p>
    <w:p w14:paraId="62F96CF5" w14:textId="137C584B"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92" w:history="1">
        <w:r w:rsidRPr="00756616">
          <w:rPr>
            <w:rStyle w:val="ae"/>
            <w:noProof/>
          </w:rPr>
          <w:t>8.2.7</w:t>
        </w:r>
        <w:r>
          <w:rPr>
            <w:rFonts w:asciiTheme="minorHAnsi" w:eastAsiaTheme="minorEastAsia" w:hAnsiTheme="minorHAnsi" w:cstheme="minorBidi"/>
            <w:noProof/>
            <w:sz w:val="21"/>
            <w:szCs w:val="22"/>
          </w:rPr>
          <w:tab/>
        </w:r>
        <w:r w:rsidRPr="00756616">
          <w:rPr>
            <w:rStyle w:val="ae"/>
            <w:noProof/>
          </w:rPr>
          <w:t>Reporting and Follow-up of Abnormal Laboratory Tests</w:t>
        </w:r>
        <w:r>
          <w:rPr>
            <w:noProof/>
            <w:webHidden/>
          </w:rPr>
          <w:tab/>
        </w:r>
        <w:r>
          <w:rPr>
            <w:noProof/>
            <w:webHidden/>
          </w:rPr>
          <w:fldChar w:fldCharType="begin"/>
        </w:r>
        <w:r>
          <w:rPr>
            <w:noProof/>
            <w:webHidden/>
          </w:rPr>
          <w:instrText xml:space="preserve"> PAGEREF _Toc71149192 \h </w:instrText>
        </w:r>
        <w:r>
          <w:rPr>
            <w:noProof/>
            <w:webHidden/>
          </w:rPr>
        </w:r>
        <w:r>
          <w:rPr>
            <w:noProof/>
            <w:webHidden/>
          </w:rPr>
          <w:fldChar w:fldCharType="separate"/>
        </w:r>
        <w:r w:rsidR="002F3CA2">
          <w:rPr>
            <w:noProof/>
            <w:webHidden/>
          </w:rPr>
          <w:t>56</w:t>
        </w:r>
        <w:r>
          <w:rPr>
            <w:noProof/>
            <w:webHidden/>
          </w:rPr>
          <w:fldChar w:fldCharType="end"/>
        </w:r>
      </w:hyperlink>
    </w:p>
    <w:p w14:paraId="15D5CF78" w14:textId="6A459357"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93" w:history="1">
        <w:r w:rsidRPr="00756616">
          <w:rPr>
            <w:rStyle w:val="ae"/>
            <w:noProof/>
          </w:rPr>
          <w:t>8.2.8</w:t>
        </w:r>
        <w:r>
          <w:rPr>
            <w:rFonts w:asciiTheme="minorHAnsi" w:eastAsiaTheme="minorEastAsia" w:hAnsiTheme="minorHAnsi" w:cstheme="minorBidi"/>
            <w:noProof/>
            <w:sz w:val="21"/>
            <w:szCs w:val="22"/>
          </w:rPr>
          <w:tab/>
        </w:r>
        <w:r w:rsidRPr="00756616">
          <w:rPr>
            <w:rStyle w:val="ae"/>
            <w:noProof/>
          </w:rPr>
          <w:t>Reporting of Serious Adverse Events</w:t>
        </w:r>
        <w:r>
          <w:rPr>
            <w:noProof/>
            <w:webHidden/>
          </w:rPr>
          <w:tab/>
        </w:r>
        <w:r>
          <w:rPr>
            <w:noProof/>
            <w:webHidden/>
          </w:rPr>
          <w:fldChar w:fldCharType="begin"/>
        </w:r>
        <w:r>
          <w:rPr>
            <w:noProof/>
            <w:webHidden/>
          </w:rPr>
          <w:instrText xml:space="preserve"> PAGEREF _Toc71149193 \h </w:instrText>
        </w:r>
        <w:r>
          <w:rPr>
            <w:noProof/>
            <w:webHidden/>
          </w:rPr>
        </w:r>
        <w:r>
          <w:rPr>
            <w:noProof/>
            <w:webHidden/>
          </w:rPr>
          <w:fldChar w:fldCharType="separate"/>
        </w:r>
        <w:r w:rsidR="002F3CA2">
          <w:rPr>
            <w:noProof/>
            <w:webHidden/>
          </w:rPr>
          <w:t>56</w:t>
        </w:r>
        <w:r>
          <w:rPr>
            <w:noProof/>
            <w:webHidden/>
          </w:rPr>
          <w:fldChar w:fldCharType="end"/>
        </w:r>
      </w:hyperlink>
    </w:p>
    <w:p w14:paraId="4684E79D" w14:textId="3BB651BF"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94" w:history="1">
        <w:r w:rsidRPr="00756616">
          <w:rPr>
            <w:rStyle w:val="ae"/>
            <w:noProof/>
          </w:rPr>
          <w:t>8.2.9</w:t>
        </w:r>
        <w:r>
          <w:rPr>
            <w:rFonts w:asciiTheme="minorHAnsi" w:eastAsiaTheme="minorEastAsia" w:hAnsiTheme="minorHAnsi" w:cstheme="minorBidi"/>
            <w:noProof/>
            <w:sz w:val="21"/>
            <w:szCs w:val="22"/>
          </w:rPr>
          <w:tab/>
        </w:r>
        <w:r w:rsidRPr="00756616">
          <w:rPr>
            <w:rStyle w:val="ae"/>
            <w:noProof/>
          </w:rPr>
          <w:t>Pregnancy Reporting</w:t>
        </w:r>
        <w:r>
          <w:rPr>
            <w:noProof/>
            <w:webHidden/>
          </w:rPr>
          <w:tab/>
        </w:r>
        <w:r>
          <w:rPr>
            <w:noProof/>
            <w:webHidden/>
          </w:rPr>
          <w:fldChar w:fldCharType="begin"/>
        </w:r>
        <w:r>
          <w:rPr>
            <w:noProof/>
            <w:webHidden/>
          </w:rPr>
          <w:instrText xml:space="preserve"> PAGEREF _Toc71149194 \h </w:instrText>
        </w:r>
        <w:r>
          <w:rPr>
            <w:noProof/>
            <w:webHidden/>
          </w:rPr>
        </w:r>
        <w:r>
          <w:rPr>
            <w:noProof/>
            <w:webHidden/>
          </w:rPr>
          <w:fldChar w:fldCharType="separate"/>
        </w:r>
        <w:r w:rsidR="002F3CA2">
          <w:rPr>
            <w:noProof/>
            <w:webHidden/>
          </w:rPr>
          <w:t>56</w:t>
        </w:r>
        <w:r>
          <w:rPr>
            <w:noProof/>
            <w:webHidden/>
          </w:rPr>
          <w:fldChar w:fldCharType="end"/>
        </w:r>
      </w:hyperlink>
    </w:p>
    <w:p w14:paraId="73B654A3" w14:textId="24C65BB1"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95" w:history="1">
        <w:r w:rsidRPr="00756616">
          <w:rPr>
            <w:rStyle w:val="ae"/>
            <w:noProof/>
          </w:rPr>
          <w:t>8.3</w:t>
        </w:r>
        <w:r>
          <w:rPr>
            <w:rFonts w:asciiTheme="minorHAnsi" w:eastAsiaTheme="minorEastAsia" w:hAnsiTheme="minorHAnsi" w:cstheme="minorBidi"/>
            <w:noProof/>
            <w:sz w:val="21"/>
            <w:szCs w:val="22"/>
          </w:rPr>
          <w:tab/>
        </w:r>
        <w:r w:rsidRPr="00756616">
          <w:rPr>
            <w:rStyle w:val="ae"/>
            <w:noProof/>
          </w:rPr>
          <w:t>Pharmacokinetic Evaluation</w:t>
        </w:r>
        <w:r>
          <w:rPr>
            <w:noProof/>
            <w:webHidden/>
          </w:rPr>
          <w:tab/>
        </w:r>
        <w:r>
          <w:rPr>
            <w:noProof/>
            <w:webHidden/>
          </w:rPr>
          <w:fldChar w:fldCharType="begin"/>
        </w:r>
        <w:r>
          <w:rPr>
            <w:noProof/>
            <w:webHidden/>
          </w:rPr>
          <w:instrText xml:space="preserve"> PAGEREF _Toc71149195 \h </w:instrText>
        </w:r>
        <w:r>
          <w:rPr>
            <w:noProof/>
            <w:webHidden/>
          </w:rPr>
        </w:r>
        <w:r>
          <w:rPr>
            <w:noProof/>
            <w:webHidden/>
          </w:rPr>
          <w:fldChar w:fldCharType="separate"/>
        </w:r>
        <w:r w:rsidR="002F3CA2">
          <w:rPr>
            <w:noProof/>
            <w:webHidden/>
          </w:rPr>
          <w:t>57</w:t>
        </w:r>
        <w:r>
          <w:rPr>
            <w:noProof/>
            <w:webHidden/>
          </w:rPr>
          <w:fldChar w:fldCharType="end"/>
        </w:r>
      </w:hyperlink>
    </w:p>
    <w:p w14:paraId="34D9F2EB" w14:textId="4C8C4001"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96" w:history="1">
        <w:r w:rsidRPr="00756616">
          <w:rPr>
            <w:rStyle w:val="ae"/>
            <w:noProof/>
          </w:rPr>
          <w:t>8.4</w:t>
        </w:r>
        <w:r>
          <w:rPr>
            <w:rFonts w:asciiTheme="minorHAnsi" w:eastAsiaTheme="minorEastAsia" w:hAnsiTheme="minorHAnsi" w:cstheme="minorBidi"/>
            <w:noProof/>
            <w:sz w:val="21"/>
            <w:szCs w:val="22"/>
          </w:rPr>
          <w:tab/>
        </w:r>
        <w:r w:rsidRPr="00756616">
          <w:rPr>
            <w:rStyle w:val="ae"/>
            <w:noProof/>
          </w:rPr>
          <w:t>Pharmacodynamic Evaluation</w:t>
        </w:r>
        <w:r>
          <w:rPr>
            <w:noProof/>
            <w:webHidden/>
          </w:rPr>
          <w:tab/>
        </w:r>
        <w:r>
          <w:rPr>
            <w:noProof/>
            <w:webHidden/>
          </w:rPr>
          <w:fldChar w:fldCharType="begin"/>
        </w:r>
        <w:r>
          <w:rPr>
            <w:noProof/>
            <w:webHidden/>
          </w:rPr>
          <w:instrText xml:space="preserve"> PAGEREF _Toc71149196 \h </w:instrText>
        </w:r>
        <w:r>
          <w:rPr>
            <w:noProof/>
            <w:webHidden/>
          </w:rPr>
        </w:r>
        <w:r>
          <w:rPr>
            <w:noProof/>
            <w:webHidden/>
          </w:rPr>
          <w:fldChar w:fldCharType="separate"/>
        </w:r>
        <w:r w:rsidR="002F3CA2">
          <w:rPr>
            <w:noProof/>
            <w:webHidden/>
          </w:rPr>
          <w:t>58</w:t>
        </w:r>
        <w:r>
          <w:rPr>
            <w:noProof/>
            <w:webHidden/>
          </w:rPr>
          <w:fldChar w:fldCharType="end"/>
        </w:r>
      </w:hyperlink>
    </w:p>
    <w:p w14:paraId="2848E508" w14:textId="23291621"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97" w:history="1">
        <w:r w:rsidRPr="00756616">
          <w:rPr>
            <w:rStyle w:val="ae"/>
            <w:noProof/>
          </w:rPr>
          <w:t>8.5</w:t>
        </w:r>
        <w:r>
          <w:rPr>
            <w:rFonts w:asciiTheme="minorHAnsi" w:eastAsiaTheme="minorEastAsia" w:hAnsiTheme="minorHAnsi" w:cstheme="minorBidi"/>
            <w:noProof/>
            <w:sz w:val="21"/>
            <w:szCs w:val="22"/>
          </w:rPr>
          <w:tab/>
        </w:r>
        <w:r w:rsidRPr="00756616">
          <w:rPr>
            <w:rStyle w:val="ae"/>
            <w:noProof/>
          </w:rPr>
          <w:t>Target Occupancy Evaluation</w:t>
        </w:r>
        <w:r>
          <w:rPr>
            <w:noProof/>
            <w:webHidden/>
          </w:rPr>
          <w:tab/>
        </w:r>
        <w:r>
          <w:rPr>
            <w:noProof/>
            <w:webHidden/>
          </w:rPr>
          <w:fldChar w:fldCharType="begin"/>
        </w:r>
        <w:r>
          <w:rPr>
            <w:noProof/>
            <w:webHidden/>
          </w:rPr>
          <w:instrText xml:space="preserve"> PAGEREF _Toc71149197 \h </w:instrText>
        </w:r>
        <w:r>
          <w:rPr>
            <w:noProof/>
            <w:webHidden/>
          </w:rPr>
        </w:r>
        <w:r>
          <w:rPr>
            <w:noProof/>
            <w:webHidden/>
          </w:rPr>
          <w:fldChar w:fldCharType="separate"/>
        </w:r>
        <w:r w:rsidR="002F3CA2">
          <w:rPr>
            <w:noProof/>
            <w:webHidden/>
          </w:rPr>
          <w:t>58</w:t>
        </w:r>
        <w:r>
          <w:rPr>
            <w:noProof/>
            <w:webHidden/>
          </w:rPr>
          <w:fldChar w:fldCharType="end"/>
        </w:r>
      </w:hyperlink>
    </w:p>
    <w:p w14:paraId="0F873E93" w14:textId="5B559FF2"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198" w:history="1">
        <w:r w:rsidRPr="00756616">
          <w:rPr>
            <w:rStyle w:val="ae"/>
            <w:noProof/>
          </w:rPr>
          <w:t>8.6</w:t>
        </w:r>
        <w:r>
          <w:rPr>
            <w:rFonts w:asciiTheme="minorHAnsi" w:eastAsiaTheme="minorEastAsia" w:hAnsiTheme="minorHAnsi" w:cstheme="minorBidi"/>
            <w:noProof/>
            <w:sz w:val="21"/>
            <w:szCs w:val="22"/>
          </w:rPr>
          <w:tab/>
        </w:r>
        <w:r w:rsidRPr="00756616">
          <w:rPr>
            <w:rStyle w:val="ae"/>
            <w:noProof/>
          </w:rPr>
          <w:t>Efficacy Evaluation</w:t>
        </w:r>
        <w:r>
          <w:rPr>
            <w:noProof/>
            <w:webHidden/>
          </w:rPr>
          <w:tab/>
        </w:r>
        <w:r>
          <w:rPr>
            <w:noProof/>
            <w:webHidden/>
          </w:rPr>
          <w:fldChar w:fldCharType="begin"/>
        </w:r>
        <w:r>
          <w:rPr>
            <w:noProof/>
            <w:webHidden/>
          </w:rPr>
          <w:instrText xml:space="preserve"> PAGEREF _Toc71149198 \h </w:instrText>
        </w:r>
        <w:r>
          <w:rPr>
            <w:noProof/>
            <w:webHidden/>
          </w:rPr>
        </w:r>
        <w:r>
          <w:rPr>
            <w:noProof/>
            <w:webHidden/>
          </w:rPr>
          <w:fldChar w:fldCharType="separate"/>
        </w:r>
        <w:r w:rsidR="002F3CA2">
          <w:rPr>
            <w:noProof/>
            <w:webHidden/>
          </w:rPr>
          <w:t>59</w:t>
        </w:r>
        <w:r>
          <w:rPr>
            <w:noProof/>
            <w:webHidden/>
          </w:rPr>
          <w:fldChar w:fldCharType="end"/>
        </w:r>
      </w:hyperlink>
    </w:p>
    <w:p w14:paraId="527838A3" w14:textId="71AAC9C3"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199" w:history="1">
        <w:r w:rsidRPr="00756616">
          <w:rPr>
            <w:rStyle w:val="ae"/>
            <w:noProof/>
          </w:rPr>
          <w:t>8.6.1</w:t>
        </w:r>
        <w:r>
          <w:rPr>
            <w:rFonts w:asciiTheme="minorHAnsi" w:eastAsiaTheme="minorEastAsia" w:hAnsiTheme="minorHAnsi" w:cstheme="minorBidi"/>
            <w:noProof/>
            <w:sz w:val="21"/>
            <w:szCs w:val="22"/>
          </w:rPr>
          <w:tab/>
        </w:r>
        <w:r w:rsidRPr="00756616">
          <w:rPr>
            <w:rStyle w:val="ae"/>
            <w:noProof/>
          </w:rPr>
          <w:t>SRI Evaluation</w:t>
        </w:r>
        <w:r>
          <w:rPr>
            <w:noProof/>
            <w:webHidden/>
          </w:rPr>
          <w:tab/>
        </w:r>
        <w:r>
          <w:rPr>
            <w:noProof/>
            <w:webHidden/>
          </w:rPr>
          <w:fldChar w:fldCharType="begin"/>
        </w:r>
        <w:r>
          <w:rPr>
            <w:noProof/>
            <w:webHidden/>
          </w:rPr>
          <w:instrText xml:space="preserve"> PAGEREF _Toc71149199 \h </w:instrText>
        </w:r>
        <w:r>
          <w:rPr>
            <w:noProof/>
            <w:webHidden/>
          </w:rPr>
        </w:r>
        <w:r>
          <w:rPr>
            <w:noProof/>
            <w:webHidden/>
          </w:rPr>
          <w:fldChar w:fldCharType="separate"/>
        </w:r>
        <w:r w:rsidR="002F3CA2">
          <w:rPr>
            <w:noProof/>
            <w:webHidden/>
          </w:rPr>
          <w:t>59</w:t>
        </w:r>
        <w:r>
          <w:rPr>
            <w:noProof/>
            <w:webHidden/>
          </w:rPr>
          <w:fldChar w:fldCharType="end"/>
        </w:r>
      </w:hyperlink>
    </w:p>
    <w:p w14:paraId="692197A2" w14:textId="093FC4BE"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00" w:history="1">
        <w:r w:rsidRPr="00756616">
          <w:rPr>
            <w:rStyle w:val="ae"/>
            <w:noProof/>
          </w:rPr>
          <w:t>8.6.2</w:t>
        </w:r>
        <w:r>
          <w:rPr>
            <w:rFonts w:asciiTheme="minorHAnsi" w:eastAsiaTheme="minorEastAsia" w:hAnsiTheme="minorHAnsi" w:cstheme="minorBidi"/>
            <w:noProof/>
            <w:sz w:val="21"/>
            <w:szCs w:val="22"/>
          </w:rPr>
          <w:tab/>
        </w:r>
        <w:r w:rsidRPr="00756616">
          <w:rPr>
            <w:rStyle w:val="ae"/>
            <w:noProof/>
          </w:rPr>
          <w:t>SLEDAI-2K Evaluation</w:t>
        </w:r>
        <w:r>
          <w:rPr>
            <w:noProof/>
            <w:webHidden/>
          </w:rPr>
          <w:tab/>
        </w:r>
        <w:r>
          <w:rPr>
            <w:noProof/>
            <w:webHidden/>
          </w:rPr>
          <w:fldChar w:fldCharType="begin"/>
        </w:r>
        <w:r>
          <w:rPr>
            <w:noProof/>
            <w:webHidden/>
          </w:rPr>
          <w:instrText xml:space="preserve"> PAGEREF _Toc71149200 \h </w:instrText>
        </w:r>
        <w:r>
          <w:rPr>
            <w:noProof/>
            <w:webHidden/>
          </w:rPr>
        </w:r>
        <w:r>
          <w:rPr>
            <w:noProof/>
            <w:webHidden/>
          </w:rPr>
          <w:fldChar w:fldCharType="separate"/>
        </w:r>
        <w:r w:rsidR="002F3CA2">
          <w:rPr>
            <w:noProof/>
            <w:webHidden/>
          </w:rPr>
          <w:t>59</w:t>
        </w:r>
        <w:r>
          <w:rPr>
            <w:noProof/>
            <w:webHidden/>
          </w:rPr>
          <w:fldChar w:fldCharType="end"/>
        </w:r>
      </w:hyperlink>
    </w:p>
    <w:p w14:paraId="48C31A90" w14:textId="77BE06DF"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01" w:history="1">
        <w:r w:rsidRPr="00756616">
          <w:rPr>
            <w:rStyle w:val="ae"/>
            <w:noProof/>
          </w:rPr>
          <w:t>8.6.3</w:t>
        </w:r>
        <w:r>
          <w:rPr>
            <w:rFonts w:asciiTheme="minorHAnsi" w:eastAsiaTheme="minorEastAsia" w:hAnsiTheme="minorHAnsi" w:cstheme="minorBidi"/>
            <w:noProof/>
            <w:sz w:val="21"/>
            <w:szCs w:val="22"/>
          </w:rPr>
          <w:tab/>
        </w:r>
        <w:r w:rsidRPr="00756616">
          <w:rPr>
            <w:rStyle w:val="ae"/>
            <w:noProof/>
          </w:rPr>
          <w:t>BILAG2004 Evaluation</w:t>
        </w:r>
        <w:r>
          <w:rPr>
            <w:noProof/>
            <w:webHidden/>
          </w:rPr>
          <w:tab/>
        </w:r>
        <w:r>
          <w:rPr>
            <w:noProof/>
            <w:webHidden/>
          </w:rPr>
          <w:fldChar w:fldCharType="begin"/>
        </w:r>
        <w:r>
          <w:rPr>
            <w:noProof/>
            <w:webHidden/>
          </w:rPr>
          <w:instrText xml:space="preserve"> PAGEREF _Toc71149201 \h </w:instrText>
        </w:r>
        <w:r>
          <w:rPr>
            <w:noProof/>
            <w:webHidden/>
          </w:rPr>
        </w:r>
        <w:r>
          <w:rPr>
            <w:noProof/>
            <w:webHidden/>
          </w:rPr>
          <w:fldChar w:fldCharType="separate"/>
        </w:r>
        <w:r w:rsidR="002F3CA2">
          <w:rPr>
            <w:noProof/>
            <w:webHidden/>
          </w:rPr>
          <w:t>59</w:t>
        </w:r>
        <w:r>
          <w:rPr>
            <w:noProof/>
            <w:webHidden/>
          </w:rPr>
          <w:fldChar w:fldCharType="end"/>
        </w:r>
      </w:hyperlink>
    </w:p>
    <w:p w14:paraId="7FDED1B0" w14:textId="3F0EA065"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02" w:history="1">
        <w:r w:rsidRPr="00756616">
          <w:rPr>
            <w:rStyle w:val="ae"/>
            <w:noProof/>
          </w:rPr>
          <w:t>8.6.4</w:t>
        </w:r>
        <w:r>
          <w:rPr>
            <w:rFonts w:asciiTheme="minorHAnsi" w:eastAsiaTheme="minorEastAsia" w:hAnsiTheme="minorHAnsi" w:cstheme="minorBidi"/>
            <w:noProof/>
            <w:sz w:val="21"/>
            <w:szCs w:val="22"/>
          </w:rPr>
          <w:tab/>
        </w:r>
        <w:r w:rsidRPr="00756616">
          <w:rPr>
            <w:rStyle w:val="ae"/>
            <w:noProof/>
          </w:rPr>
          <w:t>PGA Evaluation</w:t>
        </w:r>
        <w:r>
          <w:rPr>
            <w:noProof/>
            <w:webHidden/>
          </w:rPr>
          <w:tab/>
        </w:r>
        <w:r>
          <w:rPr>
            <w:noProof/>
            <w:webHidden/>
          </w:rPr>
          <w:fldChar w:fldCharType="begin"/>
        </w:r>
        <w:r>
          <w:rPr>
            <w:noProof/>
            <w:webHidden/>
          </w:rPr>
          <w:instrText xml:space="preserve"> PAGEREF _Toc71149202 \h </w:instrText>
        </w:r>
        <w:r>
          <w:rPr>
            <w:noProof/>
            <w:webHidden/>
          </w:rPr>
        </w:r>
        <w:r>
          <w:rPr>
            <w:noProof/>
            <w:webHidden/>
          </w:rPr>
          <w:fldChar w:fldCharType="separate"/>
        </w:r>
        <w:r w:rsidR="002F3CA2">
          <w:rPr>
            <w:noProof/>
            <w:webHidden/>
          </w:rPr>
          <w:t>59</w:t>
        </w:r>
        <w:r>
          <w:rPr>
            <w:noProof/>
            <w:webHidden/>
          </w:rPr>
          <w:fldChar w:fldCharType="end"/>
        </w:r>
      </w:hyperlink>
    </w:p>
    <w:p w14:paraId="221F42CD" w14:textId="3CC6F460" w:rsidR="00F91956" w:rsidRDefault="00F91956">
      <w:pPr>
        <w:pStyle w:val="TOC1"/>
        <w:tabs>
          <w:tab w:val="left" w:pos="420"/>
          <w:tab w:val="right" w:leader="dot" w:pos="9628"/>
        </w:tabs>
        <w:spacing w:before="156"/>
        <w:rPr>
          <w:rFonts w:asciiTheme="minorHAnsi" w:eastAsiaTheme="minorEastAsia" w:hAnsiTheme="minorHAnsi" w:cstheme="minorBidi" w:hint="eastAsia"/>
          <w:b w:val="0"/>
          <w:noProof/>
          <w:sz w:val="21"/>
          <w:szCs w:val="22"/>
        </w:rPr>
      </w:pPr>
      <w:hyperlink w:anchor="_Toc71149203" w:history="1">
        <w:r w:rsidRPr="00756616">
          <w:rPr>
            <w:rStyle w:val="ae"/>
            <w:noProof/>
          </w:rPr>
          <w:t>9</w:t>
        </w:r>
        <w:r>
          <w:rPr>
            <w:rFonts w:asciiTheme="minorHAnsi" w:eastAsiaTheme="minorEastAsia" w:hAnsiTheme="minorHAnsi" w:cstheme="minorBidi"/>
            <w:b w:val="0"/>
            <w:noProof/>
            <w:sz w:val="21"/>
            <w:szCs w:val="22"/>
          </w:rPr>
          <w:tab/>
        </w:r>
        <w:r w:rsidRPr="00756616">
          <w:rPr>
            <w:rStyle w:val="ae"/>
            <w:noProof/>
          </w:rPr>
          <w:t>Statistical Considerations</w:t>
        </w:r>
        <w:r>
          <w:rPr>
            <w:noProof/>
            <w:webHidden/>
          </w:rPr>
          <w:tab/>
        </w:r>
        <w:r>
          <w:rPr>
            <w:noProof/>
            <w:webHidden/>
          </w:rPr>
          <w:fldChar w:fldCharType="begin"/>
        </w:r>
        <w:r>
          <w:rPr>
            <w:noProof/>
            <w:webHidden/>
          </w:rPr>
          <w:instrText xml:space="preserve"> PAGEREF _Toc71149203 \h </w:instrText>
        </w:r>
        <w:r>
          <w:rPr>
            <w:noProof/>
            <w:webHidden/>
          </w:rPr>
        </w:r>
        <w:r>
          <w:rPr>
            <w:noProof/>
            <w:webHidden/>
          </w:rPr>
          <w:fldChar w:fldCharType="separate"/>
        </w:r>
        <w:r w:rsidR="002F3CA2">
          <w:rPr>
            <w:noProof/>
            <w:webHidden/>
          </w:rPr>
          <w:t>60</w:t>
        </w:r>
        <w:r>
          <w:rPr>
            <w:noProof/>
            <w:webHidden/>
          </w:rPr>
          <w:fldChar w:fldCharType="end"/>
        </w:r>
      </w:hyperlink>
    </w:p>
    <w:p w14:paraId="245281AD" w14:textId="6095E5CA"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204" w:history="1">
        <w:r w:rsidRPr="00756616">
          <w:rPr>
            <w:rStyle w:val="ae"/>
            <w:noProof/>
          </w:rPr>
          <w:t>9.1</w:t>
        </w:r>
        <w:r>
          <w:rPr>
            <w:rFonts w:asciiTheme="minorHAnsi" w:eastAsiaTheme="minorEastAsia" w:hAnsiTheme="minorHAnsi" w:cstheme="minorBidi"/>
            <w:noProof/>
            <w:sz w:val="21"/>
            <w:szCs w:val="22"/>
          </w:rPr>
          <w:tab/>
        </w:r>
        <w:r w:rsidRPr="00756616">
          <w:rPr>
            <w:rStyle w:val="ae"/>
            <w:noProof/>
          </w:rPr>
          <w:t>Statistical Assumption</w:t>
        </w:r>
        <w:r>
          <w:rPr>
            <w:noProof/>
            <w:webHidden/>
          </w:rPr>
          <w:tab/>
        </w:r>
        <w:r>
          <w:rPr>
            <w:noProof/>
            <w:webHidden/>
          </w:rPr>
          <w:fldChar w:fldCharType="begin"/>
        </w:r>
        <w:r>
          <w:rPr>
            <w:noProof/>
            <w:webHidden/>
          </w:rPr>
          <w:instrText xml:space="preserve"> PAGEREF _Toc71149204 \h </w:instrText>
        </w:r>
        <w:r>
          <w:rPr>
            <w:noProof/>
            <w:webHidden/>
          </w:rPr>
        </w:r>
        <w:r>
          <w:rPr>
            <w:noProof/>
            <w:webHidden/>
          </w:rPr>
          <w:fldChar w:fldCharType="separate"/>
        </w:r>
        <w:r w:rsidR="002F3CA2">
          <w:rPr>
            <w:noProof/>
            <w:webHidden/>
          </w:rPr>
          <w:t>60</w:t>
        </w:r>
        <w:r>
          <w:rPr>
            <w:noProof/>
            <w:webHidden/>
          </w:rPr>
          <w:fldChar w:fldCharType="end"/>
        </w:r>
      </w:hyperlink>
    </w:p>
    <w:p w14:paraId="0C457D1A" w14:textId="56A9F4AD"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205" w:history="1">
        <w:r w:rsidRPr="00756616">
          <w:rPr>
            <w:rStyle w:val="ae"/>
            <w:noProof/>
          </w:rPr>
          <w:t>9.2</w:t>
        </w:r>
        <w:r>
          <w:rPr>
            <w:rFonts w:asciiTheme="minorHAnsi" w:eastAsiaTheme="minorEastAsia" w:hAnsiTheme="minorHAnsi" w:cstheme="minorBidi"/>
            <w:noProof/>
            <w:sz w:val="21"/>
            <w:szCs w:val="22"/>
          </w:rPr>
          <w:tab/>
        </w:r>
        <w:r w:rsidRPr="00756616">
          <w:rPr>
            <w:rStyle w:val="ae"/>
            <w:noProof/>
          </w:rPr>
          <w:t>Sample Size Estimation</w:t>
        </w:r>
        <w:r>
          <w:rPr>
            <w:noProof/>
            <w:webHidden/>
          </w:rPr>
          <w:tab/>
        </w:r>
        <w:r>
          <w:rPr>
            <w:noProof/>
            <w:webHidden/>
          </w:rPr>
          <w:fldChar w:fldCharType="begin"/>
        </w:r>
        <w:r>
          <w:rPr>
            <w:noProof/>
            <w:webHidden/>
          </w:rPr>
          <w:instrText xml:space="preserve"> PAGEREF _Toc71149205 \h </w:instrText>
        </w:r>
        <w:r>
          <w:rPr>
            <w:noProof/>
            <w:webHidden/>
          </w:rPr>
        </w:r>
        <w:r>
          <w:rPr>
            <w:noProof/>
            <w:webHidden/>
          </w:rPr>
          <w:fldChar w:fldCharType="separate"/>
        </w:r>
        <w:r w:rsidR="002F3CA2">
          <w:rPr>
            <w:noProof/>
            <w:webHidden/>
          </w:rPr>
          <w:t>60</w:t>
        </w:r>
        <w:r>
          <w:rPr>
            <w:noProof/>
            <w:webHidden/>
          </w:rPr>
          <w:fldChar w:fldCharType="end"/>
        </w:r>
      </w:hyperlink>
    </w:p>
    <w:p w14:paraId="60DD0B36" w14:textId="0EAF6C9E"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206" w:history="1">
        <w:r w:rsidRPr="00756616">
          <w:rPr>
            <w:rStyle w:val="ae"/>
            <w:noProof/>
          </w:rPr>
          <w:t>9.3</w:t>
        </w:r>
        <w:r>
          <w:rPr>
            <w:rFonts w:asciiTheme="minorHAnsi" w:eastAsiaTheme="minorEastAsia" w:hAnsiTheme="minorHAnsi" w:cstheme="minorBidi"/>
            <w:noProof/>
            <w:sz w:val="21"/>
            <w:szCs w:val="22"/>
          </w:rPr>
          <w:tab/>
        </w:r>
        <w:r w:rsidRPr="00756616">
          <w:rPr>
            <w:rStyle w:val="ae"/>
            <w:noProof/>
          </w:rPr>
          <w:t>Analysis Populations</w:t>
        </w:r>
        <w:r>
          <w:rPr>
            <w:noProof/>
            <w:webHidden/>
          </w:rPr>
          <w:tab/>
        </w:r>
        <w:r>
          <w:rPr>
            <w:noProof/>
            <w:webHidden/>
          </w:rPr>
          <w:fldChar w:fldCharType="begin"/>
        </w:r>
        <w:r>
          <w:rPr>
            <w:noProof/>
            <w:webHidden/>
          </w:rPr>
          <w:instrText xml:space="preserve"> PAGEREF _Toc71149206 \h </w:instrText>
        </w:r>
        <w:r>
          <w:rPr>
            <w:noProof/>
            <w:webHidden/>
          </w:rPr>
        </w:r>
        <w:r>
          <w:rPr>
            <w:noProof/>
            <w:webHidden/>
          </w:rPr>
          <w:fldChar w:fldCharType="separate"/>
        </w:r>
        <w:r w:rsidR="002F3CA2">
          <w:rPr>
            <w:noProof/>
            <w:webHidden/>
          </w:rPr>
          <w:t>60</w:t>
        </w:r>
        <w:r>
          <w:rPr>
            <w:noProof/>
            <w:webHidden/>
          </w:rPr>
          <w:fldChar w:fldCharType="end"/>
        </w:r>
      </w:hyperlink>
    </w:p>
    <w:p w14:paraId="1B03FC5F" w14:textId="2E8ADB34"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207" w:history="1">
        <w:r w:rsidRPr="00756616">
          <w:rPr>
            <w:rStyle w:val="ae"/>
            <w:noProof/>
          </w:rPr>
          <w:t>9.4</w:t>
        </w:r>
        <w:r>
          <w:rPr>
            <w:rFonts w:asciiTheme="minorHAnsi" w:eastAsiaTheme="minorEastAsia" w:hAnsiTheme="minorHAnsi" w:cstheme="minorBidi"/>
            <w:noProof/>
            <w:sz w:val="21"/>
            <w:szCs w:val="22"/>
          </w:rPr>
          <w:tab/>
        </w:r>
        <w:r w:rsidRPr="00756616">
          <w:rPr>
            <w:rStyle w:val="ae"/>
            <w:noProof/>
          </w:rPr>
          <w:t>Statistical Analysis</w:t>
        </w:r>
        <w:r>
          <w:rPr>
            <w:noProof/>
            <w:webHidden/>
          </w:rPr>
          <w:tab/>
        </w:r>
        <w:r>
          <w:rPr>
            <w:noProof/>
            <w:webHidden/>
          </w:rPr>
          <w:fldChar w:fldCharType="begin"/>
        </w:r>
        <w:r>
          <w:rPr>
            <w:noProof/>
            <w:webHidden/>
          </w:rPr>
          <w:instrText xml:space="preserve"> PAGEREF _Toc71149207 \h </w:instrText>
        </w:r>
        <w:r>
          <w:rPr>
            <w:noProof/>
            <w:webHidden/>
          </w:rPr>
        </w:r>
        <w:r>
          <w:rPr>
            <w:noProof/>
            <w:webHidden/>
          </w:rPr>
          <w:fldChar w:fldCharType="separate"/>
        </w:r>
        <w:r w:rsidR="002F3CA2">
          <w:rPr>
            <w:noProof/>
            <w:webHidden/>
          </w:rPr>
          <w:t>60</w:t>
        </w:r>
        <w:r>
          <w:rPr>
            <w:noProof/>
            <w:webHidden/>
          </w:rPr>
          <w:fldChar w:fldCharType="end"/>
        </w:r>
      </w:hyperlink>
    </w:p>
    <w:p w14:paraId="02F5959E" w14:textId="4958DF1E"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08" w:history="1">
        <w:r w:rsidRPr="00756616">
          <w:rPr>
            <w:rStyle w:val="ae"/>
            <w:noProof/>
          </w:rPr>
          <w:t>9.4.1</w:t>
        </w:r>
        <w:r>
          <w:rPr>
            <w:rFonts w:asciiTheme="minorHAnsi" w:eastAsiaTheme="minorEastAsia" w:hAnsiTheme="minorHAnsi" w:cstheme="minorBidi"/>
            <w:noProof/>
            <w:sz w:val="21"/>
            <w:szCs w:val="22"/>
          </w:rPr>
          <w:tab/>
        </w:r>
        <w:r w:rsidRPr="00756616">
          <w:rPr>
            <w:rStyle w:val="ae"/>
            <w:noProof/>
          </w:rPr>
          <w:t>Safety Analysis</w:t>
        </w:r>
        <w:r>
          <w:rPr>
            <w:noProof/>
            <w:webHidden/>
          </w:rPr>
          <w:tab/>
        </w:r>
        <w:r>
          <w:rPr>
            <w:noProof/>
            <w:webHidden/>
          </w:rPr>
          <w:fldChar w:fldCharType="begin"/>
        </w:r>
        <w:r>
          <w:rPr>
            <w:noProof/>
            <w:webHidden/>
          </w:rPr>
          <w:instrText xml:space="preserve"> PAGEREF _Toc71149208 \h </w:instrText>
        </w:r>
        <w:r>
          <w:rPr>
            <w:noProof/>
            <w:webHidden/>
          </w:rPr>
        </w:r>
        <w:r>
          <w:rPr>
            <w:noProof/>
            <w:webHidden/>
          </w:rPr>
          <w:fldChar w:fldCharType="separate"/>
        </w:r>
        <w:r w:rsidR="002F3CA2">
          <w:rPr>
            <w:noProof/>
            <w:webHidden/>
          </w:rPr>
          <w:t>60</w:t>
        </w:r>
        <w:r>
          <w:rPr>
            <w:noProof/>
            <w:webHidden/>
          </w:rPr>
          <w:fldChar w:fldCharType="end"/>
        </w:r>
      </w:hyperlink>
    </w:p>
    <w:p w14:paraId="22797E5B" w14:textId="3C44A275"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09" w:history="1">
        <w:r w:rsidRPr="00756616">
          <w:rPr>
            <w:rStyle w:val="ae"/>
            <w:noProof/>
          </w:rPr>
          <w:t>9.4.2</w:t>
        </w:r>
        <w:r>
          <w:rPr>
            <w:rFonts w:asciiTheme="minorHAnsi" w:eastAsiaTheme="minorEastAsia" w:hAnsiTheme="minorHAnsi" w:cstheme="minorBidi"/>
            <w:noProof/>
            <w:sz w:val="21"/>
            <w:szCs w:val="22"/>
          </w:rPr>
          <w:tab/>
        </w:r>
        <w:r w:rsidRPr="00756616">
          <w:rPr>
            <w:rStyle w:val="ae"/>
            <w:noProof/>
          </w:rPr>
          <w:t>Pharmacokinetic Analyses</w:t>
        </w:r>
        <w:r>
          <w:rPr>
            <w:noProof/>
            <w:webHidden/>
          </w:rPr>
          <w:tab/>
        </w:r>
        <w:r>
          <w:rPr>
            <w:noProof/>
            <w:webHidden/>
          </w:rPr>
          <w:fldChar w:fldCharType="begin"/>
        </w:r>
        <w:r>
          <w:rPr>
            <w:noProof/>
            <w:webHidden/>
          </w:rPr>
          <w:instrText xml:space="preserve"> PAGEREF _Toc71149209 \h </w:instrText>
        </w:r>
        <w:r>
          <w:rPr>
            <w:noProof/>
            <w:webHidden/>
          </w:rPr>
        </w:r>
        <w:r>
          <w:rPr>
            <w:noProof/>
            <w:webHidden/>
          </w:rPr>
          <w:fldChar w:fldCharType="separate"/>
        </w:r>
        <w:r w:rsidR="002F3CA2">
          <w:rPr>
            <w:noProof/>
            <w:webHidden/>
          </w:rPr>
          <w:t>61</w:t>
        </w:r>
        <w:r>
          <w:rPr>
            <w:noProof/>
            <w:webHidden/>
          </w:rPr>
          <w:fldChar w:fldCharType="end"/>
        </w:r>
      </w:hyperlink>
    </w:p>
    <w:p w14:paraId="29F12621" w14:textId="78A7330C"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10" w:history="1">
        <w:r w:rsidRPr="00756616">
          <w:rPr>
            <w:rStyle w:val="ae"/>
            <w:noProof/>
          </w:rPr>
          <w:t>9.4.3</w:t>
        </w:r>
        <w:r>
          <w:rPr>
            <w:rFonts w:asciiTheme="minorHAnsi" w:eastAsiaTheme="minorEastAsia" w:hAnsiTheme="minorHAnsi" w:cstheme="minorBidi"/>
            <w:noProof/>
            <w:sz w:val="21"/>
            <w:szCs w:val="22"/>
          </w:rPr>
          <w:tab/>
        </w:r>
        <w:r w:rsidRPr="00756616">
          <w:rPr>
            <w:rStyle w:val="ae"/>
            <w:noProof/>
          </w:rPr>
          <w:t>Pharmacodynamics Analysis</w:t>
        </w:r>
        <w:r>
          <w:rPr>
            <w:noProof/>
            <w:webHidden/>
          </w:rPr>
          <w:tab/>
        </w:r>
        <w:r>
          <w:rPr>
            <w:noProof/>
            <w:webHidden/>
          </w:rPr>
          <w:fldChar w:fldCharType="begin"/>
        </w:r>
        <w:r>
          <w:rPr>
            <w:noProof/>
            <w:webHidden/>
          </w:rPr>
          <w:instrText xml:space="preserve"> PAGEREF _Toc71149210 \h </w:instrText>
        </w:r>
        <w:r>
          <w:rPr>
            <w:noProof/>
            <w:webHidden/>
          </w:rPr>
        </w:r>
        <w:r>
          <w:rPr>
            <w:noProof/>
            <w:webHidden/>
          </w:rPr>
          <w:fldChar w:fldCharType="separate"/>
        </w:r>
        <w:r w:rsidR="002F3CA2">
          <w:rPr>
            <w:noProof/>
            <w:webHidden/>
          </w:rPr>
          <w:t>61</w:t>
        </w:r>
        <w:r>
          <w:rPr>
            <w:noProof/>
            <w:webHidden/>
          </w:rPr>
          <w:fldChar w:fldCharType="end"/>
        </w:r>
      </w:hyperlink>
    </w:p>
    <w:p w14:paraId="23508BE5" w14:textId="5AD81ED3"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11" w:history="1">
        <w:r w:rsidRPr="00756616">
          <w:rPr>
            <w:rStyle w:val="ae"/>
            <w:noProof/>
          </w:rPr>
          <w:t>9.4.4</w:t>
        </w:r>
        <w:r>
          <w:rPr>
            <w:rFonts w:asciiTheme="minorHAnsi" w:eastAsiaTheme="minorEastAsia" w:hAnsiTheme="minorHAnsi" w:cstheme="minorBidi"/>
            <w:noProof/>
            <w:sz w:val="21"/>
            <w:szCs w:val="22"/>
          </w:rPr>
          <w:tab/>
        </w:r>
        <w:r w:rsidRPr="00756616">
          <w:rPr>
            <w:rStyle w:val="ae"/>
            <w:noProof/>
          </w:rPr>
          <w:t>Efficacy Analyses</w:t>
        </w:r>
        <w:r>
          <w:rPr>
            <w:noProof/>
            <w:webHidden/>
          </w:rPr>
          <w:tab/>
        </w:r>
        <w:r>
          <w:rPr>
            <w:noProof/>
            <w:webHidden/>
          </w:rPr>
          <w:fldChar w:fldCharType="begin"/>
        </w:r>
        <w:r>
          <w:rPr>
            <w:noProof/>
            <w:webHidden/>
          </w:rPr>
          <w:instrText xml:space="preserve"> PAGEREF _Toc71149211 \h </w:instrText>
        </w:r>
        <w:r>
          <w:rPr>
            <w:noProof/>
            <w:webHidden/>
          </w:rPr>
        </w:r>
        <w:r>
          <w:rPr>
            <w:noProof/>
            <w:webHidden/>
          </w:rPr>
          <w:fldChar w:fldCharType="separate"/>
        </w:r>
        <w:r w:rsidR="002F3CA2">
          <w:rPr>
            <w:noProof/>
            <w:webHidden/>
          </w:rPr>
          <w:t>61</w:t>
        </w:r>
        <w:r>
          <w:rPr>
            <w:noProof/>
            <w:webHidden/>
          </w:rPr>
          <w:fldChar w:fldCharType="end"/>
        </w:r>
      </w:hyperlink>
    </w:p>
    <w:p w14:paraId="641383BD" w14:textId="2BF1E3A8" w:rsidR="00F91956" w:rsidRDefault="00F91956">
      <w:pPr>
        <w:pStyle w:val="TOC1"/>
        <w:tabs>
          <w:tab w:val="left" w:pos="420"/>
          <w:tab w:val="right" w:leader="dot" w:pos="9628"/>
        </w:tabs>
        <w:spacing w:before="156"/>
        <w:rPr>
          <w:rFonts w:asciiTheme="minorHAnsi" w:eastAsiaTheme="minorEastAsia" w:hAnsiTheme="minorHAnsi" w:cstheme="minorBidi" w:hint="eastAsia"/>
          <w:b w:val="0"/>
          <w:noProof/>
          <w:sz w:val="21"/>
          <w:szCs w:val="22"/>
        </w:rPr>
      </w:pPr>
      <w:hyperlink w:anchor="_Toc71149212" w:history="1">
        <w:r w:rsidRPr="00756616">
          <w:rPr>
            <w:rStyle w:val="ae"/>
            <w:noProof/>
          </w:rPr>
          <w:t>10</w:t>
        </w:r>
        <w:r>
          <w:rPr>
            <w:rFonts w:asciiTheme="minorHAnsi" w:eastAsiaTheme="minorEastAsia" w:hAnsiTheme="minorHAnsi" w:cstheme="minorBidi"/>
            <w:b w:val="0"/>
            <w:noProof/>
            <w:sz w:val="21"/>
            <w:szCs w:val="22"/>
          </w:rPr>
          <w:tab/>
        </w:r>
        <w:r w:rsidRPr="00756616">
          <w:rPr>
            <w:rStyle w:val="ae"/>
            <w:noProof/>
          </w:rPr>
          <w:t>Supporting Documents and Operational Considerations</w:t>
        </w:r>
        <w:r>
          <w:rPr>
            <w:noProof/>
            <w:webHidden/>
          </w:rPr>
          <w:tab/>
        </w:r>
        <w:r>
          <w:rPr>
            <w:noProof/>
            <w:webHidden/>
          </w:rPr>
          <w:fldChar w:fldCharType="begin"/>
        </w:r>
        <w:r>
          <w:rPr>
            <w:noProof/>
            <w:webHidden/>
          </w:rPr>
          <w:instrText xml:space="preserve"> PAGEREF _Toc71149212 \h </w:instrText>
        </w:r>
        <w:r>
          <w:rPr>
            <w:noProof/>
            <w:webHidden/>
          </w:rPr>
        </w:r>
        <w:r>
          <w:rPr>
            <w:noProof/>
            <w:webHidden/>
          </w:rPr>
          <w:fldChar w:fldCharType="separate"/>
        </w:r>
        <w:r w:rsidR="002F3CA2">
          <w:rPr>
            <w:noProof/>
            <w:webHidden/>
          </w:rPr>
          <w:t>62</w:t>
        </w:r>
        <w:r>
          <w:rPr>
            <w:noProof/>
            <w:webHidden/>
          </w:rPr>
          <w:fldChar w:fldCharType="end"/>
        </w:r>
      </w:hyperlink>
    </w:p>
    <w:p w14:paraId="5BB1E8AA" w14:textId="0DE075E6"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213" w:history="1">
        <w:r w:rsidRPr="00756616">
          <w:rPr>
            <w:rStyle w:val="ae"/>
            <w:noProof/>
          </w:rPr>
          <w:t>10.1</w:t>
        </w:r>
        <w:r>
          <w:rPr>
            <w:rFonts w:asciiTheme="minorHAnsi" w:eastAsiaTheme="minorEastAsia" w:hAnsiTheme="minorHAnsi" w:cstheme="minorBidi"/>
            <w:noProof/>
            <w:sz w:val="21"/>
            <w:szCs w:val="22"/>
          </w:rPr>
          <w:tab/>
        </w:r>
        <w:r w:rsidRPr="00756616">
          <w:rPr>
            <w:rStyle w:val="ae"/>
            <w:noProof/>
          </w:rPr>
          <w:t>Regulations, Ethics, and Study Supervision</w:t>
        </w:r>
        <w:r>
          <w:rPr>
            <w:noProof/>
            <w:webHidden/>
          </w:rPr>
          <w:tab/>
        </w:r>
        <w:r>
          <w:rPr>
            <w:noProof/>
            <w:webHidden/>
          </w:rPr>
          <w:fldChar w:fldCharType="begin"/>
        </w:r>
        <w:r>
          <w:rPr>
            <w:noProof/>
            <w:webHidden/>
          </w:rPr>
          <w:instrText xml:space="preserve"> PAGEREF _Toc71149213 \h </w:instrText>
        </w:r>
        <w:r>
          <w:rPr>
            <w:noProof/>
            <w:webHidden/>
          </w:rPr>
        </w:r>
        <w:r>
          <w:rPr>
            <w:noProof/>
            <w:webHidden/>
          </w:rPr>
          <w:fldChar w:fldCharType="separate"/>
        </w:r>
        <w:r w:rsidR="002F3CA2">
          <w:rPr>
            <w:noProof/>
            <w:webHidden/>
          </w:rPr>
          <w:t>62</w:t>
        </w:r>
        <w:r>
          <w:rPr>
            <w:noProof/>
            <w:webHidden/>
          </w:rPr>
          <w:fldChar w:fldCharType="end"/>
        </w:r>
      </w:hyperlink>
    </w:p>
    <w:p w14:paraId="53379706" w14:textId="0C93D2EE"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14" w:history="1">
        <w:r w:rsidRPr="00756616">
          <w:rPr>
            <w:rStyle w:val="ae"/>
            <w:noProof/>
          </w:rPr>
          <w:t>10.1.1</w:t>
        </w:r>
        <w:r>
          <w:rPr>
            <w:rFonts w:asciiTheme="minorHAnsi" w:eastAsiaTheme="minorEastAsia" w:hAnsiTheme="minorHAnsi" w:cstheme="minorBidi"/>
            <w:noProof/>
            <w:sz w:val="21"/>
            <w:szCs w:val="22"/>
          </w:rPr>
          <w:tab/>
        </w:r>
        <w:r w:rsidRPr="00756616">
          <w:rPr>
            <w:rStyle w:val="ae"/>
            <w:noProof/>
          </w:rPr>
          <w:t>Informed Consenting Process</w:t>
        </w:r>
        <w:r>
          <w:rPr>
            <w:noProof/>
            <w:webHidden/>
          </w:rPr>
          <w:tab/>
        </w:r>
        <w:r>
          <w:rPr>
            <w:noProof/>
            <w:webHidden/>
          </w:rPr>
          <w:fldChar w:fldCharType="begin"/>
        </w:r>
        <w:r>
          <w:rPr>
            <w:noProof/>
            <w:webHidden/>
          </w:rPr>
          <w:instrText xml:space="preserve"> PAGEREF _Toc71149214 \h </w:instrText>
        </w:r>
        <w:r>
          <w:rPr>
            <w:noProof/>
            <w:webHidden/>
          </w:rPr>
        </w:r>
        <w:r>
          <w:rPr>
            <w:noProof/>
            <w:webHidden/>
          </w:rPr>
          <w:fldChar w:fldCharType="separate"/>
        </w:r>
        <w:r w:rsidR="002F3CA2">
          <w:rPr>
            <w:noProof/>
            <w:webHidden/>
          </w:rPr>
          <w:t>62</w:t>
        </w:r>
        <w:r>
          <w:rPr>
            <w:noProof/>
            <w:webHidden/>
          </w:rPr>
          <w:fldChar w:fldCharType="end"/>
        </w:r>
      </w:hyperlink>
    </w:p>
    <w:p w14:paraId="16A9B625" w14:textId="032C45C3"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15" w:history="1">
        <w:r w:rsidRPr="00756616">
          <w:rPr>
            <w:rStyle w:val="ae"/>
            <w:noProof/>
          </w:rPr>
          <w:t>10.1.2</w:t>
        </w:r>
        <w:r>
          <w:rPr>
            <w:rFonts w:asciiTheme="minorHAnsi" w:eastAsiaTheme="minorEastAsia" w:hAnsiTheme="minorHAnsi" w:cstheme="minorBidi"/>
            <w:noProof/>
            <w:sz w:val="21"/>
            <w:szCs w:val="22"/>
          </w:rPr>
          <w:tab/>
        </w:r>
        <w:r w:rsidRPr="00756616">
          <w:rPr>
            <w:rStyle w:val="ae"/>
            <w:noProof/>
          </w:rPr>
          <w:t>Confidentiality and Privacy</w:t>
        </w:r>
        <w:r>
          <w:rPr>
            <w:noProof/>
            <w:webHidden/>
          </w:rPr>
          <w:tab/>
        </w:r>
        <w:r>
          <w:rPr>
            <w:noProof/>
            <w:webHidden/>
          </w:rPr>
          <w:fldChar w:fldCharType="begin"/>
        </w:r>
        <w:r>
          <w:rPr>
            <w:noProof/>
            <w:webHidden/>
          </w:rPr>
          <w:instrText xml:space="preserve"> PAGEREF _Toc71149215 \h </w:instrText>
        </w:r>
        <w:r>
          <w:rPr>
            <w:noProof/>
            <w:webHidden/>
          </w:rPr>
        </w:r>
        <w:r>
          <w:rPr>
            <w:noProof/>
            <w:webHidden/>
          </w:rPr>
          <w:fldChar w:fldCharType="separate"/>
        </w:r>
        <w:r w:rsidR="002F3CA2">
          <w:rPr>
            <w:noProof/>
            <w:webHidden/>
          </w:rPr>
          <w:t>62</w:t>
        </w:r>
        <w:r>
          <w:rPr>
            <w:noProof/>
            <w:webHidden/>
          </w:rPr>
          <w:fldChar w:fldCharType="end"/>
        </w:r>
      </w:hyperlink>
    </w:p>
    <w:p w14:paraId="07BD71AD" w14:textId="69E75151"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16" w:history="1">
        <w:r w:rsidRPr="00756616">
          <w:rPr>
            <w:rStyle w:val="ae"/>
            <w:noProof/>
          </w:rPr>
          <w:t>10.1.3</w:t>
        </w:r>
        <w:r>
          <w:rPr>
            <w:rFonts w:asciiTheme="minorHAnsi" w:eastAsiaTheme="minorEastAsia" w:hAnsiTheme="minorHAnsi" w:cstheme="minorBidi"/>
            <w:noProof/>
            <w:sz w:val="21"/>
            <w:szCs w:val="22"/>
          </w:rPr>
          <w:tab/>
        </w:r>
        <w:r w:rsidRPr="00756616">
          <w:rPr>
            <w:rStyle w:val="ae"/>
            <w:noProof/>
          </w:rPr>
          <w:t>Key Role and Study Management</w:t>
        </w:r>
        <w:r>
          <w:rPr>
            <w:noProof/>
            <w:webHidden/>
          </w:rPr>
          <w:tab/>
        </w:r>
        <w:r>
          <w:rPr>
            <w:noProof/>
            <w:webHidden/>
          </w:rPr>
          <w:fldChar w:fldCharType="begin"/>
        </w:r>
        <w:r>
          <w:rPr>
            <w:noProof/>
            <w:webHidden/>
          </w:rPr>
          <w:instrText xml:space="preserve"> PAGEREF _Toc71149216 \h </w:instrText>
        </w:r>
        <w:r>
          <w:rPr>
            <w:noProof/>
            <w:webHidden/>
          </w:rPr>
        </w:r>
        <w:r>
          <w:rPr>
            <w:noProof/>
            <w:webHidden/>
          </w:rPr>
          <w:fldChar w:fldCharType="separate"/>
        </w:r>
        <w:r w:rsidR="002F3CA2">
          <w:rPr>
            <w:noProof/>
            <w:webHidden/>
          </w:rPr>
          <w:t>63</w:t>
        </w:r>
        <w:r>
          <w:rPr>
            <w:noProof/>
            <w:webHidden/>
          </w:rPr>
          <w:fldChar w:fldCharType="end"/>
        </w:r>
      </w:hyperlink>
    </w:p>
    <w:p w14:paraId="09BEB139" w14:textId="695AA540"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17" w:history="1">
        <w:r w:rsidRPr="00756616">
          <w:rPr>
            <w:rStyle w:val="ae"/>
            <w:noProof/>
          </w:rPr>
          <w:t>10.1.4</w:t>
        </w:r>
        <w:r>
          <w:rPr>
            <w:rFonts w:asciiTheme="minorHAnsi" w:eastAsiaTheme="minorEastAsia" w:hAnsiTheme="minorHAnsi" w:cstheme="minorBidi"/>
            <w:noProof/>
            <w:sz w:val="21"/>
            <w:szCs w:val="22"/>
          </w:rPr>
          <w:tab/>
        </w:r>
        <w:r w:rsidRPr="00756616">
          <w:rPr>
            <w:rStyle w:val="ae"/>
            <w:noProof/>
          </w:rPr>
          <w:t>Safety Supervision</w:t>
        </w:r>
        <w:r>
          <w:rPr>
            <w:noProof/>
            <w:webHidden/>
          </w:rPr>
          <w:tab/>
        </w:r>
        <w:r>
          <w:rPr>
            <w:noProof/>
            <w:webHidden/>
          </w:rPr>
          <w:fldChar w:fldCharType="begin"/>
        </w:r>
        <w:r>
          <w:rPr>
            <w:noProof/>
            <w:webHidden/>
          </w:rPr>
          <w:instrText xml:space="preserve"> PAGEREF _Toc71149217 \h </w:instrText>
        </w:r>
        <w:r>
          <w:rPr>
            <w:noProof/>
            <w:webHidden/>
          </w:rPr>
        </w:r>
        <w:r>
          <w:rPr>
            <w:noProof/>
            <w:webHidden/>
          </w:rPr>
          <w:fldChar w:fldCharType="separate"/>
        </w:r>
        <w:r w:rsidR="002F3CA2">
          <w:rPr>
            <w:noProof/>
            <w:webHidden/>
          </w:rPr>
          <w:t>63</w:t>
        </w:r>
        <w:r>
          <w:rPr>
            <w:noProof/>
            <w:webHidden/>
          </w:rPr>
          <w:fldChar w:fldCharType="end"/>
        </w:r>
      </w:hyperlink>
    </w:p>
    <w:p w14:paraId="73A19419" w14:textId="29898B74"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18" w:history="1">
        <w:r w:rsidRPr="00756616">
          <w:rPr>
            <w:rStyle w:val="ae"/>
            <w:noProof/>
          </w:rPr>
          <w:t>10.1.5</w:t>
        </w:r>
        <w:r>
          <w:rPr>
            <w:rFonts w:asciiTheme="minorHAnsi" w:eastAsiaTheme="minorEastAsia" w:hAnsiTheme="minorHAnsi" w:cstheme="minorBidi"/>
            <w:noProof/>
            <w:sz w:val="21"/>
            <w:szCs w:val="22"/>
          </w:rPr>
          <w:tab/>
        </w:r>
        <w:r w:rsidRPr="00756616">
          <w:rPr>
            <w:rStyle w:val="ae"/>
            <w:noProof/>
          </w:rPr>
          <w:t>Clinical Trial Monitoring</w:t>
        </w:r>
        <w:r>
          <w:rPr>
            <w:noProof/>
            <w:webHidden/>
          </w:rPr>
          <w:tab/>
        </w:r>
        <w:r>
          <w:rPr>
            <w:noProof/>
            <w:webHidden/>
          </w:rPr>
          <w:fldChar w:fldCharType="begin"/>
        </w:r>
        <w:r>
          <w:rPr>
            <w:noProof/>
            <w:webHidden/>
          </w:rPr>
          <w:instrText xml:space="preserve"> PAGEREF _Toc71149218 \h </w:instrText>
        </w:r>
        <w:r>
          <w:rPr>
            <w:noProof/>
            <w:webHidden/>
          </w:rPr>
        </w:r>
        <w:r>
          <w:rPr>
            <w:noProof/>
            <w:webHidden/>
          </w:rPr>
          <w:fldChar w:fldCharType="separate"/>
        </w:r>
        <w:r w:rsidR="002F3CA2">
          <w:rPr>
            <w:noProof/>
            <w:webHidden/>
          </w:rPr>
          <w:t>63</w:t>
        </w:r>
        <w:r>
          <w:rPr>
            <w:noProof/>
            <w:webHidden/>
          </w:rPr>
          <w:fldChar w:fldCharType="end"/>
        </w:r>
      </w:hyperlink>
    </w:p>
    <w:p w14:paraId="18BB6C5C" w14:textId="58484424"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19" w:history="1">
        <w:r w:rsidRPr="00756616">
          <w:rPr>
            <w:rStyle w:val="ae"/>
            <w:noProof/>
          </w:rPr>
          <w:t>10.1.6</w:t>
        </w:r>
        <w:r>
          <w:rPr>
            <w:rFonts w:asciiTheme="minorHAnsi" w:eastAsiaTheme="minorEastAsia" w:hAnsiTheme="minorHAnsi" w:cstheme="minorBidi"/>
            <w:noProof/>
            <w:sz w:val="21"/>
            <w:szCs w:val="22"/>
          </w:rPr>
          <w:tab/>
        </w:r>
        <w:r w:rsidRPr="00756616">
          <w:rPr>
            <w:rStyle w:val="ae"/>
            <w:noProof/>
          </w:rPr>
          <w:t>Quality Assurance and Quality Control</w:t>
        </w:r>
        <w:r>
          <w:rPr>
            <w:noProof/>
            <w:webHidden/>
          </w:rPr>
          <w:tab/>
        </w:r>
        <w:r>
          <w:rPr>
            <w:noProof/>
            <w:webHidden/>
          </w:rPr>
          <w:fldChar w:fldCharType="begin"/>
        </w:r>
        <w:r>
          <w:rPr>
            <w:noProof/>
            <w:webHidden/>
          </w:rPr>
          <w:instrText xml:space="preserve"> PAGEREF _Toc71149219 \h </w:instrText>
        </w:r>
        <w:r>
          <w:rPr>
            <w:noProof/>
            <w:webHidden/>
          </w:rPr>
        </w:r>
        <w:r>
          <w:rPr>
            <w:noProof/>
            <w:webHidden/>
          </w:rPr>
          <w:fldChar w:fldCharType="separate"/>
        </w:r>
        <w:r w:rsidR="002F3CA2">
          <w:rPr>
            <w:noProof/>
            <w:webHidden/>
          </w:rPr>
          <w:t>64</w:t>
        </w:r>
        <w:r>
          <w:rPr>
            <w:noProof/>
            <w:webHidden/>
          </w:rPr>
          <w:fldChar w:fldCharType="end"/>
        </w:r>
      </w:hyperlink>
    </w:p>
    <w:p w14:paraId="6938C0D6" w14:textId="5D42E4E1"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20" w:history="1">
        <w:r w:rsidRPr="00756616">
          <w:rPr>
            <w:rStyle w:val="ae"/>
            <w:noProof/>
          </w:rPr>
          <w:t>10.1.7</w:t>
        </w:r>
        <w:r>
          <w:rPr>
            <w:rFonts w:asciiTheme="minorHAnsi" w:eastAsiaTheme="minorEastAsia" w:hAnsiTheme="minorHAnsi" w:cstheme="minorBidi"/>
            <w:noProof/>
            <w:sz w:val="21"/>
            <w:szCs w:val="22"/>
          </w:rPr>
          <w:tab/>
        </w:r>
        <w:r w:rsidRPr="00756616">
          <w:rPr>
            <w:rStyle w:val="ae"/>
            <w:noProof/>
          </w:rPr>
          <w:t>Data Handling and Record Retention</w:t>
        </w:r>
        <w:r>
          <w:rPr>
            <w:noProof/>
            <w:webHidden/>
          </w:rPr>
          <w:tab/>
        </w:r>
        <w:r>
          <w:rPr>
            <w:noProof/>
            <w:webHidden/>
          </w:rPr>
          <w:fldChar w:fldCharType="begin"/>
        </w:r>
        <w:r>
          <w:rPr>
            <w:noProof/>
            <w:webHidden/>
          </w:rPr>
          <w:instrText xml:space="preserve"> PAGEREF _Toc71149220 \h </w:instrText>
        </w:r>
        <w:r>
          <w:rPr>
            <w:noProof/>
            <w:webHidden/>
          </w:rPr>
        </w:r>
        <w:r>
          <w:rPr>
            <w:noProof/>
            <w:webHidden/>
          </w:rPr>
          <w:fldChar w:fldCharType="separate"/>
        </w:r>
        <w:r w:rsidR="002F3CA2">
          <w:rPr>
            <w:noProof/>
            <w:webHidden/>
          </w:rPr>
          <w:t>64</w:t>
        </w:r>
        <w:r>
          <w:rPr>
            <w:noProof/>
            <w:webHidden/>
          </w:rPr>
          <w:fldChar w:fldCharType="end"/>
        </w:r>
      </w:hyperlink>
    </w:p>
    <w:p w14:paraId="414AD385" w14:textId="7AEC7AE4"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21" w:history="1">
        <w:r w:rsidRPr="00756616">
          <w:rPr>
            <w:rStyle w:val="ae"/>
            <w:noProof/>
          </w:rPr>
          <w:t>10.1.8</w:t>
        </w:r>
        <w:r>
          <w:rPr>
            <w:rFonts w:asciiTheme="minorHAnsi" w:eastAsiaTheme="minorEastAsia" w:hAnsiTheme="minorHAnsi" w:cstheme="minorBidi"/>
            <w:noProof/>
            <w:sz w:val="21"/>
            <w:szCs w:val="22"/>
          </w:rPr>
          <w:tab/>
        </w:r>
        <w:r w:rsidRPr="00756616">
          <w:rPr>
            <w:rStyle w:val="ae"/>
            <w:noProof/>
          </w:rPr>
          <w:t>Protocol Deviations</w:t>
        </w:r>
        <w:r>
          <w:rPr>
            <w:noProof/>
            <w:webHidden/>
          </w:rPr>
          <w:tab/>
        </w:r>
        <w:r>
          <w:rPr>
            <w:noProof/>
            <w:webHidden/>
          </w:rPr>
          <w:fldChar w:fldCharType="begin"/>
        </w:r>
        <w:r>
          <w:rPr>
            <w:noProof/>
            <w:webHidden/>
          </w:rPr>
          <w:instrText xml:space="preserve"> PAGEREF _Toc71149221 \h </w:instrText>
        </w:r>
        <w:r>
          <w:rPr>
            <w:noProof/>
            <w:webHidden/>
          </w:rPr>
        </w:r>
        <w:r>
          <w:rPr>
            <w:noProof/>
            <w:webHidden/>
          </w:rPr>
          <w:fldChar w:fldCharType="separate"/>
        </w:r>
        <w:r w:rsidR="002F3CA2">
          <w:rPr>
            <w:noProof/>
            <w:webHidden/>
          </w:rPr>
          <w:t>65</w:t>
        </w:r>
        <w:r>
          <w:rPr>
            <w:noProof/>
            <w:webHidden/>
          </w:rPr>
          <w:fldChar w:fldCharType="end"/>
        </w:r>
      </w:hyperlink>
    </w:p>
    <w:p w14:paraId="6EA15FDE" w14:textId="0671090E" w:rsidR="00F91956" w:rsidRDefault="00F91956">
      <w:pPr>
        <w:pStyle w:val="TOC3"/>
        <w:tabs>
          <w:tab w:val="left" w:pos="1680"/>
          <w:tab w:val="right" w:leader="dot" w:pos="9628"/>
        </w:tabs>
        <w:ind w:left="840"/>
        <w:rPr>
          <w:rFonts w:asciiTheme="minorHAnsi" w:eastAsiaTheme="minorEastAsia" w:hAnsiTheme="minorHAnsi" w:cstheme="minorBidi" w:hint="eastAsia"/>
          <w:noProof/>
          <w:sz w:val="21"/>
          <w:szCs w:val="22"/>
        </w:rPr>
      </w:pPr>
      <w:hyperlink w:anchor="_Toc71149222" w:history="1">
        <w:r w:rsidRPr="00756616">
          <w:rPr>
            <w:rStyle w:val="ae"/>
            <w:noProof/>
          </w:rPr>
          <w:t>10.1.9</w:t>
        </w:r>
        <w:r>
          <w:rPr>
            <w:rFonts w:asciiTheme="minorHAnsi" w:eastAsiaTheme="minorEastAsia" w:hAnsiTheme="minorHAnsi" w:cstheme="minorBidi"/>
            <w:noProof/>
            <w:sz w:val="21"/>
            <w:szCs w:val="22"/>
          </w:rPr>
          <w:tab/>
        </w:r>
        <w:r w:rsidRPr="00756616">
          <w:rPr>
            <w:rStyle w:val="ae"/>
            <w:noProof/>
          </w:rPr>
          <w:t>Study Publication and Data Sharing Policy</w:t>
        </w:r>
        <w:r>
          <w:rPr>
            <w:noProof/>
            <w:webHidden/>
          </w:rPr>
          <w:tab/>
        </w:r>
        <w:r>
          <w:rPr>
            <w:noProof/>
            <w:webHidden/>
          </w:rPr>
          <w:fldChar w:fldCharType="begin"/>
        </w:r>
        <w:r>
          <w:rPr>
            <w:noProof/>
            <w:webHidden/>
          </w:rPr>
          <w:instrText xml:space="preserve"> PAGEREF _Toc71149222 \h </w:instrText>
        </w:r>
        <w:r>
          <w:rPr>
            <w:noProof/>
            <w:webHidden/>
          </w:rPr>
        </w:r>
        <w:r>
          <w:rPr>
            <w:noProof/>
            <w:webHidden/>
          </w:rPr>
          <w:fldChar w:fldCharType="separate"/>
        </w:r>
        <w:r w:rsidR="002F3CA2">
          <w:rPr>
            <w:noProof/>
            <w:webHidden/>
          </w:rPr>
          <w:t>66</w:t>
        </w:r>
        <w:r>
          <w:rPr>
            <w:noProof/>
            <w:webHidden/>
          </w:rPr>
          <w:fldChar w:fldCharType="end"/>
        </w:r>
      </w:hyperlink>
    </w:p>
    <w:p w14:paraId="3FE7BD96" w14:textId="6A21A7AB"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223" w:history="1">
        <w:r w:rsidRPr="00756616">
          <w:rPr>
            <w:rStyle w:val="ae"/>
            <w:noProof/>
          </w:rPr>
          <w:t>10.2</w:t>
        </w:r>
        <w:r>
          <w:rPr>
            <w:rFonts w:asciiTheme="minorHAnsi" w:eastAsiaTheme="minorEastAsia" w:hAnsiTheme="minorHAnsi" w:cstheme="minorBidi"/>
            <w:noProof/>
            <w:sz w:val="21"/>
            <w:szCs w:val="22"/>
          </w:rPr>
          <w:tab/>
        </w:r>
        <w:r w:rsidRPr="00756616">
          <w:rPr>
            <w:rStyle w:val="ae"/>
            <w:noProof/>
          </w:rPr>
          <w:t>List of Abbreviations</w:t>
        </w:r>
        <w:r>
          <w:rPr>
            <w:noProof/>
            <w:webHidden/>
          </w:rPr>
          <w:tab/>
        </w:r>
        <w:r>
          <w:rPr>
            <w:noProof/>
            <w:webHidden/>
          </w:rPr>
          <w:fldChar w:fldCharType="begin"/>
        </w:r>
        <w:r>
          <w:rPr>
            <w:noProof/>
            <w:webHidden/>
          </w:rPr>
          <w:instrText xml:space="preserve"> PAGEREF _Toc71149223 \h </w:instrText>
        </w:r>
        <w:r>
          <w:rPr>
            <w:noProof/>
            <w:webHidden/>
          </w:rPr>
        </w:r>
        <w:r>
          <w:rPr>
            <w:noProof/>
            <w:webHidden/>
          </w:rPr>
          <w:fldChar w:fldCharType="separate"/>
        </w:r>
        <w:r w:rsidR="002F3CA2">
          <w:rPr>
            <w:noProof/>
            <w:webHidden/>
          </w:rPr>
          <w:t>66</w:t>
        </w:r>
        <w:r>
          <w:rPr>
            <w:noProof/>
            <w:webHidden/>
          </w:rPr>
          <w:fldChar w:fldCharType="end"/>
        </w:r>
      </w:hyperlink>
    </w:p>
    <w:p w14:paraId="3860F9BC" w14:textId="313F3DC1" w:rsidR="00F91956" w:rsidRDefault="00F91956">
      <w:pPr>
        <w:pStyle w:val="TOC2"/>
        <w:tabs>
          <w:tab w:val="left" w:pos="1260"/>
          <w:tab w:val="right" w:leader="dot" w:pos="9628"/>
        </w:tabs>
        <w:rPr>
          <w:rFonts w:asciiTheme="minorHAnsi" w:eastAsiaTheme="minorEastAsia" w:hAnsiTheme="minorHAnsi" w:cstheme="minorBidi" w:hint="eastAsia"/>
          <w:noProof/>
          <w:sz w:val="21"/>
          <w:szCs w:val="22"/>
        </w:rPr>
      </w:pPr>
      <w:hyperlink w:anchor="_Toc71149224" w:history="1">
        <w:r w:rsidRPr="00756616">
          <w:rPr>
            <w:rStyle w:val="ae"/>
            <w:noProof/>
          </w:rPr>
          <w:t>10.3</w:t>
        </w:r>
        <w:r>
          <w:rPr>
            <w:rFonts w:asciiTheme="minorHAnsi" w:eastAsiaTheme="minorEastAsia" w:hAnsiTheme="minorHAnsi" w:cstheme="minorBidi"/>
            <w:noProof/>
            <w:sz w:val="21"/>
            <w:szCs w:val="22"/>
          </w:rPr>
          <w:tab/>
        </w:r>
        <w:r w:rsidRPr="00756616">
          <w:rPr>
            <w:rStyle w:val="ae"/>
            <w:noProof/>
          </w:rPr>
          <w:t>Amendment History</w:t>
        </w:r>
        <w:r>
          <w:rPr>
            <w:noProof/>
            <w:webHidden/>
          </w:rPr>
          <w:tab/>
        </w:r>
        <w:r>
          <w:rPr>
            <w:noProof/>
            <w:webHidden/>
          </w:rPr>
          <w:fldChar w:fldCharType="begin"/>
        </w:r>
        <w:r>
          <w:rPr>
            <w:noProof/>
            <w:webHidden/>
          </w:rPr>
          <w:instrText xml:space="preserve"> PAGEREF _Toc71149224 \h </w:instrText>
        </w:r>
        <w:r>
          <w:rPr>
            <w:noProof/>
            <w:webHidden/>
          </w:rPr>
        </w:r>
        <w:r>
          <w:rPr>
            <w:noProof/>
            <w:webHidden/>
          </w:rPr>
          <w:fldChar w:fldCharType="separate"/>
        </w:r>
        <w:r w:rsidR="002F3CA2">
          <w:rPr>
            <w:noProof/>
            <w:webHidden/>
          </w:rPr>
          <w:t>68</w:t>
        </w:r>
        <w:r>
          <w:rPr>
            <w:noProof/>
            <w:webHidden/>
          </w:rPr>
          <w:fldChar w:fldCharType="end"/>
        </w:r>
      </w:hyperlink>
    </w:p>
    <w:p w14:paraId="7B597DC1" w14:textId="6E29A790" w:rsidR="00F91956" w:rsidRDefault="00F91956">
      <w:pPr>
        <w:pStyle w:val="TOC1"/>
        <w:tabs>
          <w:tab w:val="left" w:pos="420"/>
          <w:tab w:val="right" w:leader="dot" w:pos="9628"/>
        </w:tabs>
        <w:spacing w:before="156"/>
        <w:rPr>
          <w:rFonts w:asciiTheme="minorHAnsi" w:eastAsiaTheme="minorEastAsia" w:hAnsiTheme="minorHAnsi" w:cstheme="minorBidi" w:hint="eastAsia"/>
          <w:b w:val="0"/>
          <w:noProof/>
          <w:sz w:val="21"/>
          <w:szCs w:val="22"/>
        </w:rPr>
      </w:pPr>
      <w:hyperlink w:anchor="_Toc71149225" w:history="1">
        <w:r w:rsidRPr="00756616">
          <w:rPr>
            <w:rStyle w:val="ae"/>
            <w:noProof/>
          </w:rPr>
          <w:t>11</w:t>
        </w:r>
        <w:r>
          <w:rPr>
            <w:rFonts w:asciiTheme="minorHAnsi" w:eastAsiaTheme="minorEastAsia" w:hAnsiTheme="minorHAnsi" w:cstheme="minorBidi"/>
            <w:b w:val="0"/>
            <w:noProof/>
            <w:sz w:val="21"/>
            <w:szCs w:val="22"/>
          </w:rPr>
          <w:tab/>
        </w:r>
        <w:r w:rsidRPr="00756616">
          <w:rPr>
            <w:rStyle w:val="ae"/>
            <w:noProof/>
          </w:rPr>
          <w:t>Literature References</w:t>
        </w:r>
        <w:r>
          <w:rPr>
            <w:noProof/>
            <w:webHidden/>
          </w:rPr>
          <w:tab/>
        </w:r>
        <w:r>
          <w:rPr>
            <w:noProof/>
            <w:webHidden/>
          </w:rPr>
          <w:fldChar w:fldCharType="begin"/>
        </w:r>
        <w:r>
          <w:rPr>
            <w:noProof/>
            <w:webHidden/>
          </w:rPr>
          <w:instrText xml:space="preserve"> PAGEREF _Toc71149225 \h </w:instrText>
        </w:r>
        <w:r>
          <w:rPr>
            <w:noProof/>
            <w:webHidden/>
          </w:rPr>
        </w:r>
        <w:r>
          <w:rPr>
            <w:noProof/>
            <w:webHidden/>
          </w:rPr>
          <w:fldChar w:fldCharType="separate"/>
        </w:r>
        <w:r w:rsidR="002F3CA2">
          <w:rPr>
            <w:noProof/>
            <w:webHidden/>
          </w:rPr>
          <w:t>73</w:t>
        </w:r>
        <w:r>
          <w:rPr>
            <w:noProof/>
            <w:webHidden/>
          </w:rPr>
          <w:fldChar w:fldCharType="end"/>
        </w:r>
      </w:hyperlink>
    </w:p>
    <w:p w14:paraId="1088D7D9" w14:textId="333A5ADD" w:rsidR="007A50C3" w:rsidRPr="00F16A5E" w:rsidRDefault="007A50C3" w:rsidP="007A50C3">
      <w:pPr>
        <w:pStyle w:val="TOC2"/>
      </w:pPr>
      <w:r w:rsidRPr="00F16A5E">
        <w:fldChar w:fldCharType="end"/>
      </w:r>
      <w:r w:rsidRPr="00F16A5E">
        <w:t xml:space="preserve"> </w:t>
      </w:r>
    </w:p>
    <w:p w14:paraId="6C8666B0" w14:textId="1CF29D30" w:rsidR="006E18E9" w:rsidRPr="00F16A5E" w:rsidRDefault="006E18E9" w:rsidP="007A50C3">
      <w:pPr>
        <w:pStyle w:val="1"/>
        <w:pageBreakBefore/>
        <w:spacing w:before="143"/>
        <w:rPr>
          <w:rFonts w:eastAsia="宋体"/>
          <w:sz w:val="24"/>
          <w:szCs w:val="22"/>
        </w:rPr>
      </w:pPr>
      <w:bookmarkStart w:id="15" w:name="_Toc71149132"/>
      <w:r w:rsidRPr="00F16A5E">
        <w:rPr>
          <w:rFonts w:eastAsia="宋体"/>
          <w:sz w:val="24"/>
          <w:szCs w:val="22"/>
          <w:lang w:eastAsia="zh-CN"/>
        </w:rPr>
        <w:lastRenderedPageBreak/>
        <w:t>1</w:t>
      </w:r>
      <w:r w:rsidR="008E29FA" w:rsidRPr="00F16A5E">
        <w:rPr>
          <w:rFonts w:eastAsia="宋体"/>
          <w:sz w:val="24"/>
          <w:szCs w:val="22"/>
          <w:lang w:eastAsia="zh-CN"/>
        </w:rPr>
        <w:tab/>
        <w:t>Introduction</w:t>
      </w:r>
      <w:bookmarkEnd w:id="15"/>
    </w:p>
    <w:p w14:paraId="7B1E69A4" w14:textId="03577908" w:rsidR="006E18E9" w:rsidRPr="00F16A5E" w:rsidRDefault="006E18E9" w:rsidP="006E18E9">
      <w:pPr>
        <w:pStyle w:val="2"/>
        <w:keepLines w:val="0"/>
        <w:spacing w:before="60" w:after="60" w:line="360" w:lineRule="auto"/>
        <w:rPr>
          <w:rFonts w:ascii="Times New Roman" w:eastAsia="宋体" w:hAnsi="Times New Roman"/>
          <w:sz w:val="24"/>
        </w:rPr>
      </w:pPr>
      <w:bookmarkStart w:id="16" w:name="_Toc7170204"/>
      <w:bookmarkStart w:id="17" w:name="_Toc9456153"/>
      <w:bookmarkStart w:id="18" w:name="_Toc20224830"/>
      <w:bookmarkStart w:id="19" w:name="_Toc71149133"/>
      <w:r w:rsidRPr="00F16A5E">
        <w:rPr>
          <w:rFonts w:ascii="Times New Roman" w:eastAsia="宋体" w:hAnsi="Times New Roman"/>
          <w:sz w:val="24"/>
        </w:rPr>
        <w:t>1.1</w:t>
      </w:r>
      <w:bookmarkEnd w:id="16"/>
      <w:bookmarkEnd w:id="17"/>
      <w:bookmarkEnd w:id="18"/>
      <w:r w:rsidR="008E29FA" w:rsidRPr="00F16A5E">
        <w:rPr>
          <w:rFonts w:ascii="Times New Roman" w:eastAsia="宋体" w:hAnsi="Times New Roman"/>
          <w:sz w:val="24"/>
        </w:rPr>
        <w:tab/>
        <w:t>Study Rationale</w:t>
      </w:r>
      <w:bookmarkEnd w:id="19"/>
    </w:p>
    <w:p w14:paraId="58C7B495" w14:textId="56610936" w:rsidR="006E18E9" w:rsidRPr="00F16A5E" w:rsidRDefault="000953BA" w:rsidP="00C04B95">
      <w:pPr>
        <w:spacing w:beforeLines="50" w:before="156" w:line="300" w:lineRule="auto"/>
        <w:rPr>
          <w:sz w:val="24"/>
        </w:rPr>
      </w:pPr>
      <w:r w:rsidRPr="00F16A5E">
        <w:rPr>
          <w:sz w:val="24"/>
        </w:rPr>
        <w:t xml:space="preserve">SLE is a potentially fatal autoimmune disease, which can affect multiple organs and multiple systems. It mostly occurs in adolescent and menopausal women. The incidence ratio of adult male to female is 1:9. Organ damage caused by SLE can accumulate over time, and the mortality rate will increase with the accumulation of affected organs. SLE is known to be associated with the formation of autoantibodies by B cell hyperactivity </w:t>
      </w:r>
      <w:r w:rsidR="006E18E9" w:rsidRPr="00F16A5E">
        <w:rPr>
          <w:noProof/>
          <w:sz w:val="24"/>
        </w:rPr>
        <w:t>(</w:t>
      </w:r>
      <w:hyperlink w:anchor="文献Chan" w:history="1">
        <w:r w:rsidR="006E18E9" w:rsidRPr="00F16A5E">
          <w:rPr>
            <w:rStyle w:val="ae"/>
            <w:sz w:val="24"/>
            <w:szCs w:val="32"/>
          </w:rPr>
          <w:t>Chan and Shlomchik, 1998;</w:t>
        </w:r>
      </w:hyperlink>
      <w:r w:rsidR="006E18E9" w:rsidRPr="00F16A5E">
        <w:rPr>
          <w:noProof/>
          <w:sz w:val="24"/>
        </w:rPr>
        <w:t xml:space="preserve"> </w:t>
      </w:r>
      <w:hyperlink w:anchor="文献Shlomchik" w:history="1">
        <w:r w:rsidR="006E18E9" w:rsidRPr="00F16A5E">
          <w:rPr>
            <w:rStyle w:val="ae"/>
            <w:noProof/>
            <w:sz w:val="24"/>
          </w:rPr>
          <w:t>Shlomchik et al., 1994</w:t>
        </w:r>
      </w:hyperlink>
      <w:r w:rsidR="006E18E9" w:rsidRPr="00F16A5E">
        <w:rPr>
          <w:noProof/>
          <w:sz w:val="24"/>
        </w:rPr>
        <w:t>)</w:t>
      </w:r>
      <w:r w:rsidRPr="00F16A5E">
        <w:rPr>
          <w:sz w:val="24"/>
        </w:rPr>
        <w:t xml:space="preserve">. The destruction of the self-tolerance of T and B lymphocytes leads to the chronic activation of innate and adaptive immune cells, followed by the production of autoantibodies. In addition, immune complexes bind to macrophages to further drive production of inflammatory cytokines, in turn promotes local and systemic inflammation </w:t>
      </w:r>
      <w:r w:rsidR="006E18E9" w:rsidRPr="00F16A5E">
        <w:rPr>
          <w:noProof/>
          <w:sz w:val="24"/>
        </w:rPr>
        <w:t>(</w:t>
      </w:r>
      <w:hyperlink w:anchor="文献Choi" w:history="1">
        <w:r w:rsidR="006E18E9" w:rsidRPr="00F16A5E">
          <w:rPr>
            <w:rStyle w:val="ae"/>
            <w:noProof/>
            <w:sz w:val="24"/>
          </w:rPr>
          <w:t>Choi et al., 2012</w:t>
        </w:r>
      </w:hyperlink>
      <w:r w:rsidR="006E18E9" w:rsidRPr="00F16A5E">
        <w:rPr>
          <w:noProof/>
          <w:sz w:val="24"/>
        </w:rPr>
        <w:t>)</w:t>
      </w:r>
      <w:r w:rsidRPr="00F16A5E">
        <w:rPr>
          <w:sz w:val="24"/>
        </w:rPr>
        <w:t>.</w:t>
      </w:r>
    </w:p>
    <w:p w14:paraId="0067A9A6" w14:textId="6B4C73B9" w:rsidR="006E18E9" w:rsidRPr="00F16A5E" w:rsidRDefault="002B731D" w:rsidP="00C04B95">
      <w:pPr>
        <w:spacing w:beforeLines="50" w:before="156" w:line="300" w:lineRule="auto"/>
        <w:rPr>
          <w:sz w:val="24"/>
        </w:rPr>
      </w:pPr>
      <w:r w:rsidRPr="00F16A5E">
        <w:rPr>
          <w:sz w:val="24"/>
        </w:rPr>
        <w:t xml:space="preserve">Current treatments for SLE include corticosteroids, antimalarials, nonsteroidal anti-inflammatory drugs (NSAIDs), and cytotoxic immunosuppressants. The </w:t>
      </w:r>
      <w:r w:rsidR="00F40AF4" w:rsidRPr="00F16A5E">
        <w:rPr>
          <w:sz w:val="24"/>
        </w:rPr>
        <w:t>efficacy</w:t>
      </w:r>
      <w:r w:rsidRPr="00F16A5E">
        <w:rPr>
          <w:sz w:val="24"/>
        </w:rPr>
        <w:t xml:space="preserve"> of these treatments varies depending on organ system involved and is limited by associated toxicities. Hydroxychloroquine is the most common immunomodulatory therapy used for the treatment of mild SLE. Corticosteroids (prednisone) are used for treatment of both mild SLE disease manifestations (low dose) as well as severe organ involvement (high dose). However, not all patients adequately respond to corticosteroids or can tolerate the dose-dependent toxicity associated with this drug class</w:t>
      </w:r>
      <w:r w:rsidRPr="00F16A5E">
        <w:rPr>
          <w:noProof/>
          <w:sz w:val="24"/>
        </w:rPr>
        <w:t xml:space="preserve"> </w:t>
      </w:r>
      <w:r w:rsidR="006E18E9" w:rsidRPr="00F16A5E">
        <w:rPr>
          <w:noProof/>
          <w:sz w:val="24"/>
        </w:rPr>
        <w:t>(</w:t>
      </w:r>
      <w:hyperlink w:anchor="文献Holroyd" w:history="1">
        <w:r w:rsidR="006E18E9" w:rsidRPr="00F16A5E">
          <w:rPr>
            <w:rStyle w:val="ae"/>
            <w:noProof/>
            <w:sz w:val="24"/>
          </w:rPr>
          <w:t>Holroyd and Edwards, 2009</w:t>
        </w:r>
      </w:hyperlink>
      <w:r w:rsidR="006E18E9" w:rsidRPr="00F16A5E">
        <w:rPr>
          <w:noProof/>
          <w:sz w:val="24"/>
        </w:rPr>
        <w:t>)</w:t>
      </w:r>
      <w:r w:rsidRPr="00F16A5E">
        <w:rPr>
          <w:sz w:val="24"/>
        </w:rPr>
        <w:t>.</w:t>
      </w:r>
    </w:p>
    <w:p w14:paraId="23E3FFE7" w14:textId="743A4EC7" w:rsidR="006E18E9" w:rsidRPr="00F16A5E" w:rsidRDefault="00C04B95" w:rsidP="00C04B95">
      <w:pPr>
        <w:spacing w:beforeLines="50" w:before="156" w:line="300" w:lineRule="auto"/>
        <w:rPr>
          <w:sz w:val="24"/>
        </w:rPr>
      </w:pPr>
      <w:r w:rsidRPr="00F16A5E">
        <w:rPr>
          <w:sz w:val="24"/>
        </w:rPr>
        <w:t>BTK is a member of TEC family and expresses in B lymphocyte, mast cell, macrophage, monocyte and neutrophil. BTK plays key roles in B-cell receptor (BCR) signaling cascades and B cell development and activation</w:t>
      </w:r>
      <w:r w:rsidRPr="00F16A5E">
        <w:rPr>
          <w:noProof/>
          <w:sz w:val="24"/>
        </w:rPr>
        <w:t xml:space="preserve"> </w:t>
      </w:r>
      <w:r w:rsidR="006E18E9" w:rsidRPr="00F16A5E">
        <w:rPr>
          <w:noProof/>
          <w:sz w:val="24"/>
        </w:rPr>
        <w:t>(</w:t>
      </w:r>
      <w:hyperlink w:anchor="文献Maas" w:history="1">
        <w:r w:rsidR="006E18E9" w:rsidRPr="00F16A5E">
          <w:rPr>
            <w:rStyle w:val="ae"/>
            <w:noProof/>
            <w:sz w:val="24"/>
          </w:rPr>
          <w:t>Maas and Hendriks, 2001</w:t>
        </w:r>
      </w:hyperlink>
      <w:r w:rsidR="006E18E9" w:rsidRPr="00F16A5E">
        <w:rPr>
          <w:noProof/>
          <w:sz w:val="24"/>
        </w:rPr>
        <w:t xml:space="preserve">; </w:t>
      </w:r>
      <w:hyperlink w:anchor="文献Satterthwaite" w:history="1">
        <w:r w:rsidR="006E18E9" w:rsidRPr="00F16A5E">
          <w:rPr>
            <w:rStyle w:val="ae"/>
            <w:noProof/>
            <w:sz w:val="24"/>
          </w:rPr>
          <w:t>Satterthwaite and Witte, 2000</w:t>
        </w:r>
      </w:hyperlink>
      <w:r w:rsidR="006E18E9" w:rsidRPr="00F16A5E">
        <w:rPr>
          <w:noProof/>
          <w:sz w:val="24"/>
        </w:rPr>
        <w:t>)</w:t>
      </w:r>
      <w:bookmarkStart w:id="20" w:name="_Hlk11157196"/>
      <w:r w:rsidRPr="00F16A5E">
        <w:rPr>
          <w:sz w:val="24"/>
        </w:rPr>
        <w:t>. BTK is also involved in the migration and adhesion of B lymphocytes. After BCR is stimulated by its ligand, BTK is recruited to the cell membrane and activated by autophosphorylation. Then, activated BTK phosphorylates phospholipase C-γ2 (PLC), triggering downstream signaling pathway, leading to B cell proliferation, survival, differentiation and cytokine expression. Overexpression of BTK leads to abnormal B cell activation and autoimmune disorders</w:t>
      </w:r>
      <w:r w:rsidRPr="00F16A5E">
        <w:rPr>
          <w:rStyle w:val="ae"/>
          <w:sz w:val="24"/>
          <w:szCs w:val="32"/>
        </w:rPr>
        <w:t xml:space="preserve"> </w:t>
      </w:r>
      <w:r w:rsidR="006E18E9" w:rsidRPr="00F16A5E">
        <w:rPr>
          <w:rStyle w:val="ae"/>
          <w:sz w:val="24"/>
          <w:szCs w:val="32"/>
        </w:rPr>
        <w:t>(Kil et al., 2012)</w:t>
      </w:r>
      <w:r w:rsidRPr="00F16A5E">
        <w:rPr>
          <w:sz w:val="24"/>
        </w:rPr>
        <w:t xml:space="preserve">. BTK has become a new target for the treatment of SLE. Although ibrutinib, the first-in-class BTK inhibitor, has shown impressive clinical activity in the treatment of mantle cell lymphoma and chronic lymphocytic leukemia, its therapeutic potential for autoimmune diseases is limited because it also inhibit the epidermal growth factor receptor (EGFR) </w:t>
      </w:r>
      <w:r w:rsidR="006E18E9" w:rsidRPr="00F16A5E">
        <w:rPr>
          <w:sz w:val="24"/>
        </w:rPr>
        <w:t>BTK</w:t>
      </w:r>
      <w:bookmarkEnd w:id="20"/>
      <w:r w:rsidRPr="00F16A5E">
        <w:rPr>
          <w:noProof/>
          <w:sz w:val="24"/>
        </w:rPr>
        <w:t xml:space="preserve"> </w:t>
      </w:r>
      <w:r w:rsidR="006E18E9" w:rsidRPr="00F16A5E">
        <w:rPr>
          <w:noProof/>
          <w:sz w:val="24"/>
        </w:rPr>
        <w:t>(</w:t>
      </w:r>
      <w:hyperlink w:anchor="文献Advani" w:history="1">
        <w:r w:rsidR="006E18E9" w:rsidRPr="00F16A5E">
          <w:rPr>
            <w:rStyle w:val="ae"/>
            <w:noProof/>
            <w:sz w:val="24"/>
          </w:rPr>
          <w:t>Advani et al., 2013;</w:t>
        </w:r>
      </w:hyperlink>
      <w:r w:rsidR="006E18E9" w:rsidRPr="00F16A5E">
        <w:rPr>
          <w:noProof/>
          <w:sz w:val="24"/>
        </w:rPr>
        <w:t xml:space="preserve"> </w:t>
      </w:r>
      <w:hyperlink w:anchor="文献McMullen" w:history="1">
        <w:r w:rsidR="006E18E9" w:rsidRPr="00F16A5E">
          <w:rPr>
            <w:rStyle w:val="ae"/>
            <w:noProof/>
            <w:sz w:val="24"/>
          </w:rPr>
          <w:t>McMullen et al., 2014;</w:t>
        </w:r>
      </w:hyperlink>
      <w:r w:rsidR="006E18E9" w:rsidRPr="00F16A5E">
        <w:rPr>
          <w:noProof/>
          <w:sz w:val="24"/>
        </w:rPr>
        <w:t xml:space="preserve"> </w:t>
      </w:r>
      <w:hyperlink w:anchor="文献Smith" w:history="1">
        <w:r w:rsidR="006E18E9" w:rsidRPr="00F16A5E">
          <w:rPr>
            <w:rStyle w:val="ae"/>
            <w:noProof/>
            <w:sz w:val="24"/>
          </w:rPr>
          <w:t>Smith, 2015;</w:t>
        </w:r>
      </w:hyperlink>
      <w:r w:rsidR="006E18E9" w:rsidRPr="00F16A5E">
        <w:rPr>
          <w:noProof/>
          <w:sz w:val="24"/>
        </w:rPr>
        <w:t xml:space="preserve"> </w:t>
      </w:r>
      <w:hyperlink w:anchor="文献Tucker" w:history="1">
        <w:r w:rsidR="006E18E9" w:rsidRPr="00F16A5E">
          <w:rPr>
            <w:rStyle w:val="ae"/>
            <w:noProof/>
            <w:sz w:val="24"/>
          </w:rPr>
          <w:t>Tucker and Rule, 2015;</w:t>
        </w:r>
      </w:hyperlink>
      <w:r w:rsidR="006E18E9" w:rsidRPr="00F16A5E">
        <w:rPr>
          <w:noProof/>
          <w:sz w:val="24"/>
        </w:rPr>
        <w:t xml:space="preserve"> </w:t>
      </w:r>
      <w:hyperlink w:anchor="文献Wang" w:history="1">
        <w:r w:rsidR="006E18E9" w:rsidRPr="00F16A5E">
          <w:rPr>
            <w:rStyle w:val="ae"/>
            <w:noProof/>
            <w:sz w:val="24"/>
          </w:rPr>
          <w:t>Wang et al., 2013</w:t>
        </w:r>
      </w:hyperlink>
      <w:r w:rsidR="006E18E9" w:rsidRPr="00F16A5E">
        <w:rPr>
          <w:noProof/>
          <w:sz w:val="24"/>
        </w:rPr>
        <w:t>)</w:t>
      </w:r>
      <w:r w:rsidRPr="00F16A5E">
        <w:rPr>
          <w:sz w:val="24"/>
        </w:rPr>
        <w:t>.</w:t>
      </w:r>
    </w:p>
    <w:p w14:paraId="7CDCF60A" w14:textId="1B9BC309" w:rsidR="006E18E9" w:rsidRPr="00F16A5E" w:rsidRDefault="00C04B95" w:rsidP="00C04B95">
      <w:pPr>
        <w:spacing w:beforeLines="50" w:before="156" w:line="300" w:lineRule="auto"/>
        <w:rPr>
          <w:sz w:val="24"/>
        </w:rPr>
      </w:pPr>
      <w:r w:rsidRPr="00F16A5E">
        <w:rPr>
          <w:sz w:val="24"/>
        </w:rPr>
        <w:t>Orelabrutinib is a novel selective BTK inhibitor with a half maximal BTK inhibitory concentration (IC</w:t>
      </w:r>
      <w:r w:rsidRPr="00F16A5E">
        <w:rPr>
          <w:sz w:val="24"/>
          <w:vertAlign w:val="subscript"/>
        </w:rPr>
        <w:t>50</w:t>
      </w:r>
      <w:r w:rsidRPr="00F16A5E">
        <w:rPr>
          <w:sz w:val="24"/>
        </w:rPr>
        <w:t xml:space="preserve">) value of 1.6 </w:t>
      </w:r>
      <w:proofErr w:type="spellStart"/>
      <w:r w:rsidRPr="00F16A5E">
        <w:rPr>
          <w:sz w:val="24"/>
        </w:rPr>
        <w:t>nM</w:t>
      </w:r>
      <w:proofErr w:type="spellEnd"/>
      <w:r w:rsidRPr="00F16A5E">
        <w:rPr>
          <w:sz w:val="24"/>
        </w:rPr>
        <w:t xml:space="preserve"> in an</w:t>
      </w:r>
      <w:r w:rsidRPr="00F16A5E">
        <w:rPr>
          <w:i/>
          <w:iCs/>
          <w:sz w:val="24"/>
        </w:rPr>
        <w:t xml:space="preserve"> in vitro</w:t>
      </w:r>
      <w:r w:rsidRPr="00F16A5E">
        <w:rPr>
          <w:sz w:val="24"/>
        </w:rPr>
        <w:t xml:space="preserve"> enzyme profiling test. The kinase selectivity of orelabrutinib is </w:t>
      </w:r>
      <w:r w:rsidRPr="00F16A5E">
        <w:rPr>
          <w:sz w:val="24"/>
        </w:rPr>
        <w:lastRenderedPageBreak/>
        <w:t>superior to other BTK inhibitors, and its lack of inhibitory effect on EGFR leads to avoidance of common side effects in anti-EGFR therapy, such as diarrhea and rash</w:t>
      </w:r>
      <w:r w:rsidRPr="00F16A5E">
        <w:rPr>
          <w:noProof/>
          <w:sz w:val="24"/>
        </w:rPr>
        <w:t xml:space="preserve"> </w:t>
      </w:r>
      <w:r w:rsidR="006E18E9" w:rsidRPr="00F16A5E">
        <w:rPr>
          <w:noProof/>
          <w:sz w:val="24"/>
        </w:rPr>
        <w:t>(</w:t>
      </w:r>
      <w:hyperlink w:anchor="文献Gao" w:history="1">
        <w:r w:rsidR="006E18E9" w:rsidRPr="00F16A5E">
          <w:rPr>
            <w:rStyle w:val="ae"/>
            <w:noProof/>
            <w:sz w:val="24"/>
          </w:rPr>
          <w:t>Gao et al., 2014;</w:t>
        </w:r>
      </w:hyperlink>
      <w:r w:rsidR="006E18E9" w:rsidRPr="00F16A5E">
        <w:rPr>
          <w:noProof/>
          <w:sz w:val="24"/>
        </w:rPr>
        <w:t xml:space="preserve"> </w:t>
      </w:r>
      <w:hyperlink w:anchor="文献Harandi" w:history="1">
        <w:r w:rsidR="006E18E9" w:rsidRPr="00F16A5E">
          <w:rPr>
            <w:rStyle w:val="ae"/>
            <w:noProof/>
            <w:sz w:val="24"/>
          </w:rPr>
          <w:t>Harandi et al., 2009</w:t>
        </w:r>
      </w:hyperlink>
      <w:r w:rsidR="006E18E9" w:rsidRPr="00F16A5E">
        <w:rPr>
          <w:noProof/>
          <w:sz w:val="24"/>
        </w:rPr>
        <w:t>)</w:t>
      </w:r>
      <w:r w:rsidRPr="00F16A5E">
        <w:rPr>
          <w:sz w:val="24"/>
        </w:rPr>
        <w:t xml:space="preserve">. Orelabrutinib showed excellent selectivity against a panel of 456 kinases, and only had &gt;90% inhibitory activity against BTK at a concentration of 1 </w:t>
      </w:r>
      <w:proofErr w:type="spellStart"/>
      <w:r w:rsidRPr="00F16A5E">
        <w:rPr>
          <w:sz w:val="24"/>
        </w:rPr>
        <w:t>μM</w:t>
      </w:r>
      <w:proofErr w:type="spellEnd"/>
      <w:r w:rsidRPr="00F16A5E">
        <w:rPr>
          <w:sz w:val="24"/>
        </w:rPr>
        <w:t>. Ibrutinib’s inhibition of the other TEC family of non-receptor protein-tyrosine kinases is most likely associated with atrial fibrillation in the clinic</w:t>
      </w:r>
      <w:r w:rsidRPr="00F16A5E">
        <w:rPr>
          <w:noProof/>
          <w:sz w:val="24"/>
        </w:rPr>
        <w:t xml:space="preserve"> </w:t>
      </w:r>
      <w:r w:rsidR="006E18E9" w:rsidRPr="00F16A5E">
        <w:rPr>
          <w:noProof/>
          <w:sz w:val="24"/>
        </w:rPr>
        <w:t>(</w:t>
      </w:r>
      <w:hyperlink w:anchor="文献Advani" w:history="1">
        <w:r w:rsidR="006E18E9" w:rsidRPr="00F16A5E">
          <w:rPr>
            <w:rStyle w:val="ae"/>
            <w:noProof/>
            <w:sz w:val="24"/>
          </w:rPr>
          <w:t>Advani et al., 2013;</w:t>
        </w:r>
      </w:hyperlink>
      <w:r w:rsidR="006E18E9" w:rsidRPr="00F16A5E">
        <w:rPr>
          <w:noProof/>
          <w:sz w:val="24"/>
        </w:rPr>
        <w:t xml:space="preserve"> </w:t>
      </w:r>
      <w:hyperlink w:anchor="文献McMullen" w:history="1">
        <w:r w:rsidR="006E18E9" w:rsidRPr="00F16A5E">
          <w:rPr>
            <w:rStyle w:val="ae"/>
            <w:noProof/>
            <w:sz w:val="24"/>
          </w:rPr>
          <w:t>McMullen et al., 2014;</w:t>
        </w:r>
      </w:hyperlink>
      <w:r w:rsidR="006E18E9" w:rsidRPr="00F16A5E">
        <w:rPr>
          <w:noProof/>
          <w:sz w:val="24"/>
        </w:rPr>
        <w:t xml:space="preserve"> </w:t>
      </w:r>
      <w:hyperlink w:anchor="文献Smith" w:history="1">
        <w:r w:rsidR="006E18E9" w:rsidRPr="00F16A5E">
          <w:rPr>
            <w:rStyle w:val="ae"/>
            <w:noProof/>
            <w:sz w:val="24"/>
          </w:rPr>
          <w:t>Smith, 2015;</w:t>
        </w:r>
      </w:hyperlink>
      <w:r w:rsidR="006E18E9" w:rsidRPr="00F16A5E">
        <w:rPr>
          <w:noProof/>
          <w:sz w:val="24"/>
        </w:rPr>
        <w:t xml:space="preserve"> </w:t>
      </w:r>
      <w:hyperlink w:anchor="文献Tucker" w:history="1">
        <w:r w:rsidR="006E18E9" w:rsidRPr="00F16A5E">
          <w:rPr>
            <w:rStyle w:val="ae"/>
            <w:noProof/>
            <w:sz w:val="24"/>
          </w:rPr>
          <w:t>Tucker and Rule, 2015;</w:t>
        </w:r>
      </w:hyperlink>
      <w:r w:rsidR="006E18E9" w:rsidRPr="00F16A5E">
        <w:rPr>
          <w:noProof/>
          <w:sz w:val="24"/>
        </w:rPr>
        <w:t xml:space="preserve"> </w:t>
      </w:r>
      <w:hyperlink w:anchor="文献Wang" w:history="1">
        <w:r w:rsidR="006E18E9" w:rsidRPr="00F16A5E">
          <w:rPr>
            <w:rStyle w:val="ae"/>
            <w:noProof/>
            <w:sz w:val="24"/>
          </w:rPr>
          <w:t>Wang et al., 2013</w:t>
        </w:r>
      </w:hyperlink>
      <w:r w:rsidR="006E18E9" w:rsidRPr="00F16A5E">
        <w:rPr>
          <w:noProof/>
          <w:sz w:val="24"/>
        </w:rPr>
        <w:t>)</w:t>
      </w:r>
      <w:r w:rsidRPr="00F16A5E">
        <w:rPr>
          <w:sz w:val="24"/>
        </w:rPr>
        <w:t xml:space="preserve">. Orelabrutinib is expected to overcome the above-mentioned safety issues and provide a safe and effective treatment option for the treatment of autoimmune diseases. </w:t>
      </w:r>
    </w:p>
    <w:p w14:paraId="43D7E3E8" w14:textId="4642C255"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21" w:name="_Toc7170205"/>
      <w:bookmarkStart w:id="22" w:name="_Toc9456154"/>
      <w:bookmarkStart w:id="23" w:name="_Toc20224831"/>
      <w:bookmarkStart w:id="24" w:name="_Toc71149134"/>
      <w:r w:rsidRPr="00F16A5E">
        <w:rPr>
          <w:rFonts w:ascii="Times New Roman" w:eastAsia="宋体" w:hAnsi="Times New Roman"/>
          <w:sz w:val="24"/>
        </w:rPr>
        <w:t>1.2</w:t>
      </w:r>
      <w:bookmarkEnd w:id="21"/>
      <w:bookmarkEnd w:id="22"/>
      <w:bookmarkEnd w:id="23"/>
      <w:r w:rsidR="00FA05A5" w:rsidRPr="00F16A5E">
        <w:rPr>
          <w:rFonts w:ascii="Times New Roman" w:eastAsia="宋体" w:hAnsi="Times New Roman"/>
          <w:sz w:val="24"/>
        </w:rPr>
        <w:tab/>
        <w:t>Study Background</w:t>
      </w:r>
      <w:bookmarkEnd w:id="24"/>
    </w:p>
    <w:p w14:paraId="4C4F01F0" w14:textId="573462D4" w:rsidR="006E18E9" w:rsidRPr="00F16A5E" w:rsidRDefault="006E18E9" w:rsidP="006E18E9">
      <w:pPr>
        <w:pStyle w:val="3"/>
        <w:keepLines w:val="0"/>
        <w:spacing w:before="60" w:after="60" w:line="360" w:lineRule="auto"/>
        <w:rPr>
          <w:sz w:val="24"/>
          <w:szCs w:val="24"/>
        </w:rPr>
      </w:pPr>
      <w:bookmarkStart w:id="25" w:name="_Toc7170207"/>
      <w:bookmarkStart w:id="26" w:name="_Toc9456155"/>
      <w:bookmarkStart w:id="27" w:name="_Toc20224832"/>
      <w:bookmarkStart w:id="28" w:name="_Toc71149135"/>
      <w:r w:rsidRPr="00F16A5E">
        <w:rPr>
          <w:sz w:val="24"/>
          <w:szCs w:val="24"/>
        </w:rPr>
        <w:t>1.2.1</w:t>
      </w:r>
      <w:bookmarkEnd w:id="25"/>
      <w:bookmarkEnd w:id="26"/>
      <w:bookmarkEnd w:id="27"/>
      <w:r w:rsidR="00FA05A5" w:rsidRPr="00F16A5E">
        <w:rPr>
          <w:sz w:val="24"/>
          <w:szCs w:val="24"/>
        </w:rPr>
        <w:tab/>
        <w:t>Nonclinical Study</w:t>
      </w:r>
      <w:bookmarkEnd w:id="28"/>
    </w:p>
    <w:p w14:paraId="0E0A390B" w14:textId="04A212A0" w:rsidR="006E18E9" w:rsidRPr="00F16A5E" w:rsidRDefault="006E18E9" w:rsidP="006E18E9">
      <w:pPr>
        <w:pStyle w:val="ad"/>
        <w:keepNext/>
        <w:ind w:firstLine="0"/>
        <w:outlineLvl w:val="3"/>
        <w:rPr>
          <w:b/>
          <w:szCs w:val="24"/>
        </w:rPr>
      </w:pPr>
      <w:r w:rsidRPr="00F16A5E">
        <w:rPr>
          <w:b/>
          <w:szCs w:val="24"/>
          <w:lang w:eastAsia="zh-CN"/>
        </w:rPr>
        <w:t>1.2.1.1</w:t>
      </w:r>
      <w:r w:rsidR="00FA05A5" w:rsidRPr="00F16A5E">
        <w:rPr>
          <w:b/>
          <w:szCs w:val="24"/>
        </w:rPr>
        <w:tab/>
        <w:t>Pharmacology</w:t>
      </w:r>
    </w:p>
    <w:p w14:paraId="6D7CE98B" w14:textId="74B8AA0D" w:rsidR="00030C17" w:rsidRPr="00F16A5E" w:rsidRDefault="00030C17" w:rsidP="006165BB">
      <w:pPr>
        <w:pStyle w:val="ad"/>
        <w:spacing w:beforeLines="50" w:before="156" w:line="300" w:lineRule="auto"/>
        <w:ind w:firstLine="0"/>
        <w:rPr>
          <w:szCs w:val="24"/>
        </w:rPr>
      </w:pPr>
      <w:r w:rsidRPr="00F16A5E">
        <w:rPr>
          <w:szCs w:val="24"/>
        </w:rPr>
        <w:t xml:space="preserve">Orelabrutinib is an irreversible BTK inhibitor, which can inhibit the activity of BTK enzyme. The 50% inhibition concentration value in the enzyme inhibition assay was 1.6 </w:t>
      </w:r>
      <w:proofErr w:type="spellStart"/>
      <w:r w:rsidRPr="00F16A5E">
        <w:rPr>
          <w:szCs w:val="24"/>
        </w:rPr>
        <w:t>nM.</w:t>
      </w:r>
      <w:proofErr w:type="spellEnd"/>
      <w:r w:rsidRPr="00F16A5E">
        <w:rPr>
          <w:szCs w:val="24"/>
        </w:rPr>
        <w:t xml:space="preserve"> BTK inhibition by orelabrutinib leads to reduced phosphorylation of BTK and of downstream PLC-γ2. Orelabrutinib has demonstrated to inhibit human primary B cell proliferation and B cell activation in human peripheral blood mononuclear cells, as measured by CD69+/CD20+ cells.</w:t>
      </w:r>
    </w:p>
    <w:p w14:paraId="6B60B572" w14:textId="52B2022E" w:rsidR="00030C17" w:rsidRPr="00F16A5E" w:rsidRDefault="00615B12" w:rsidP="006165BB">
      <w:pPr>
        <w:pStyle w:val="ad"/>
        <w:spacing w:beforeLines="50" w:before="156" w:line="300" w:lineRule="auto"/>
        <w:ind w:firstLine="0"/>
        <w:rPr>
          <w:szCs w:val="24"/>
        </w:rPr>
      </w:pPr>
      <w:r w:rsidRPr="00F16A5E">
        <w:rPr>
          <w:szCs w:val="24"/>
        </w:rPr>
        <w:t>Anti-inflammatory activity of orelabrutinib was also proved in various autoimmune disease models in rodents. In a 6-month study in the MRL/</w:t>
      </w:r>
      <w:proofErr w:type="spellStart"/>
      <w:r w:rsidRPr="00F16A5E">
        <w:rPr>
          <w:szCs w:val="24"/>
        </w:rPr>
        <w:t>lpr</w:t>
      </w:r>
      <w:proofErr w:type="spellEnd"/>
      <w:r w:rsidRPr="00F16A5E">
        <w:rPr>
          <w:szCs w:val="24"/>
        </w:rPr>
        <w:t xml:space="preserve"> spontaneous SLE mouse model, orelabrutinib dramatically reduced inflammation, and improved survival rate as well as kidney function in treated animals. Efficacy was demonstrated at doses as low as 3 mg/kg/day, and complete disease protection was achieved at 10 mg/kg/day and 30 mg/kg/day. A similar effect was observed in Pristane-induced SLE mouse model, with dose-dependent inhibition of lupus related arthritis and improved kidney function. Moreover, in collagen-induced arthritis (CIA) models in mice and rats, orelabrutinib demonstrated a dose-dependent reduction of pro-inflammatory cytokines, improved arthritis histopathology scores and prevented joint damage. These results correlate well with BTK occupancy rates at respective dose levels. In mice, orelabrutinib demonstrated good oral bioavailability and prolonged target engagement of 100% for more than 8 hours after oral administration of 10 mg/kg/day. This effect was maintained even though the drug exposure in plasma had been quickly cleared to near detection limit 4 hours post-dose, which was consistent with the irreversible mechanism of action.</w:t>
      </w:r>
    </w:p>
    <w:p w14:paraId="120A84FE" w14:textId="7CD4EB98" w:rsidR="00615B12" w:rsidRPr="00F16A5E" w:rsidRDefault="00615B12" w:rsidP="006165BB">
      <w:pPr>
        <w:pStyle w:val="ad"/>
        <w:spacing w:beforeLines="50" w:before="156" w:line="300" w:lineRule="auto"/>
        <w:ind w:firstLine="0"/>
        <w:rPr>
          <w:szCs w:val="24"/>
        </w:rPr>
      </w:pPr>
      <w:r w:rsidRPr="00F16A5E">
        <w:rPr>
          <w:szCs w:val="24"/>
        </w:rPr>
        <w:t xml:space="preserve">The kinase selectivity profile of orelabrutinib is distinct from that of ibrutinib, and it does not bind to EGFR, which can avoid adverse events such as diarrhea. The bleeding tendency of ibrutinib in clinical trials was probably due to the off-target inhibition of TEC kinase in platelets, while atrial fibrillation was possibly caused by off-target inhibition of bone marrow tyrosine kinase on chromosome X. The excellent selectivity of orelabrutinib also indicates the excellent safety characteristics of the study </w:t>
      </w:r>
      <w:r w:rsidRPr="00F16A5E">
        <w:rPr>
          <w:szCs w:val="24"/>
        </w:rPr>
        <w:lastRenderedPageBreak/>
        <w:t>drug.</w:t>
      </w:r>
    </w:p>
    <w:p w14:paraId="0F5F205B" w14:textId="4C8C42C5" w:rsidR="00615B12" w:rsidRPr="00F16A5E" w:rsidRDefault="00615B12" w:rsidP="006165BB">
      <w:pPr>
        <w:pStyle w:val="ad"/>
        <w:spacing w:beforeLines="50" w:before="156" w:line="300" w:lineRule="auto"/>
        <w:ind w:firstLine="0"/>
        <w:rPr>
          <w:szCs w:val="24"/>
        </w:rPr>
      </w:pPr>
      <w:r w:rsidRPr="00F16A5E">
        <w:rPr>
          <w:szCs w:val="24"/>
        </w:rPr>
        <w:t xml:space="preserve">In conclusion, the prolonged pharmacodynamic effect, excellent selectivity and favorable safety profile further support the use of orelabrutinib in the treatment of autoimmune diseases such as SLE. The data of non-clinical studies (including pharmacodynamics, pharmacokinetics, and toxicology) of orelabrutinib are detailed in the </w:t>
      </w:r>
      <w:r w:rsidR="00A05FE1" w:rsidRPr="00F16A5E">
        <w:rPr>
          <w:szCs w:val="24"/>
        </w:rPr>
        <w:t>I</w:t>
      </w:r>
      <w:r w:rsidRPr="00F16A5E">
        <w:rPr>
          <w:szCs w:val="24"/>
        </w:rPr>
        <w:t xml:space="preserve">nvestigator's </w:t>
      </w:r>
      <w:r w:rsidR="00A05FE1" w:rsidRPr="00F16A5E">
        <w:rPr>
          <w:szCs w:val="24"/>
        </w:rPr>
        <w:t>B</w:t>
      </w:r>
      <w:r w:rsidRPr="00F16A5E">
        <w:rPr>
          <w:szCs w:val="24"/>
        </w:rPr>
        <w:t>rochure.</w:t>
      </w:r>
    </w:p>
    <w:p w14:paraId="791020BB" w14:textId="1BD19C26" w:rsidR="006E18E9" w:rsidRPr="00F16A5E" w:rsidRDefault="006E18E9" w:rsidP="006165BB">
      <w:pPr>
        <w:pStyle w:val="ad"/>
        <w:keepNext/>
        <w:spacing w:before="50" w:line="300" w:lineRule="auto"/>
        <w:ind w:firstLine="0"/>
        <w:outlineLvl w:val="3"/>
        <w:rPr>
          <w:b/>
          <w:szCs w:val="24"/>
        </w:rPr>
      </w:pPr>
      <w:r w:rsidRPr="00F16A5E">
        <w:rPr>
          <w:b/>
          <w:szCs w:val="24"/>
          <w:lang w:eastAsia="zh-CN"/>
        </w:rPr>
        <w:t>1.2.1.2</w:t>
      </w:r>
      <w:r w:rsidR="00615B12" w:rsidRPr="00F16A5E">
        <w:rPr>
          <w:b/>
          <w:szCs w:val="24"/>
          <w:lang w:eastAsia="zh-CN"/>
        </w:rPr>
        <w:tab/>
      </w:r>
      <w:r w:rsidR="00615B12" w:rsidRPr="00F16A5E">
        <w:rPr>
          <w:b/>
          <w:szCs w:val="24"/>
        </w:rPr>
        <w:t>Pharmacokinetics</w:t>
      </w:r>
    </w:p>
    <w:p w14:paraId="2C6070D5" w14:textId="480B4507" w:rsidR="00615B12" w:rsidRPr="00F16A5E" w:rsidRDefault="00615B12" w:rsidP="006165BB">
      <w:pPr>
        <w:pStyle w:val="ad"/>
        <w:spacing w:before="50" w:line="300" w:lineRule="auto"/>
        <w:ind w:firstLine="0"/>
        <w:rPr>
          <w:b/>
          <w:szCs w:val="24"/>
          <w:lang w:eastAsia="zh-CN"/>
        </w:rPr>
      </w:pPr>
      <w:r w:rsidRPr="00F16A5E">
        <w:rPr>
          <w:b/>
          <w:szCs w:val="24"/>
          <w:lang w:eastAsia="zh-CN"/>
        </w:rPr>
        <w:t>(1)</w:t>
      </w:r>
      <w:r w:rsidRPr="00F16A5E">
        <w:rPr>
          <w:b/>
          <w:szCs w:val="24"/>
          <w:lang w:eastAsia="zh-CN"/>
        </w:rPr>
        <w:tab/>
        <w:t>Absorption</w:t>
      </w:r>
    </w:p>
    <w:p w14:paraId="617A68AD" w14:textId="482BAAB9" w:rsidR="006E18E9" w:rsidRPr="00F16A5E" w:rsidRDefault="00615B12" w:rsidP="00A26B91">
      <w:pPr>
        <w:pStyle w:val="ad"/>
        <w:spacing w:beforeLines="50" w:before="156" w:line="300" w:lineRule="auto"/>
        <w:ind w:firstLine="0"/>
        <w:jc w:val="left"/>
        <w:rPr>
          <w:szCs w:val="24"/>
          <w:lang w:eastAsia="zh-CN"/>
        </w:rPr>
      </w:pPr>
      <w:r w:rsidRPr="00F16A5E">
        <w:rPr>
          <w:szCs w:val="24"/>
        </w:rPr>
        <w:t>The PK evaluation of orelabrutinib was performed in rats and dogs. Orelabrutinib was absorbed fairly quickly (time to maximum concentration [</w:t>
      </w:r>
      <w:proofErr w:type="spellStart"/>
      <w:r w:rsidRPr="00F16A5E">
        <w:rPr>
          <w:szCs w:val="24"/>
        </w:rPr>
        <w:t>T</w:t>
      </w:r>
      <w:r w:rsidRPr="00F16A5E">
        <w:rPr>
          <w:szCs w:val="24"/>
          <w:vertAlign w:val="subscript"/>
        </w:rPr>
        <w:t>max</w:t>
      </w:r>
      <w:proofErr w:type="spellEnd"/>
      <w:r w:rsidRPr="00F16A5E">
        <w:rPr>
          <w:szCs w:val="24"/>
        </w:rPr>
        <w:t xml:space="preserve">] was 0.25-0.5 hours in rats and 0.45-2 hours in dogs), and had good oral bioavailability (approximately 20-75% in rats and 50-80% in dogs) which was superior to Ibrutinib (approximately 18-23% in rats and 7-11% in dogs) </w:t>
      </w:r>
      <w:r w:rsidRPr="00F16A5E">
        <w:rPr>
          <w:szCs w:val="24"/>
          <w:lang w:eastAsia="zh-CN"/>
        </w:rPr>
        <w:t>(</w:t>
      </w:r>
      <w:hyperlink w:anchor="伊布替尼PD综述" w:history="1">
        <w:r w:rsidR="00A26B91" w:rsidRPr="00F16A5E">
          <w:t xml:space="preserve">See </w:t>
        </w:r>
        <w:r w:rsidR="00A26B91" w:rsidRPr="00F16A5E">
          <w:rPr>
            <w:rStyle w:val="ae"/>
            <w:szCs w:val="24"/>
          </w:rPr>
          <w:t xml:space="preserve">Overview of pharmacodynamics of ibrutinib: </w:t>
        </w:r>
      </w:hyperlink>
      <w:hyperlink r:id="rId15" w:history="1">
        <w:r w:rsidR="00A26B91" w:rsidRPr="00F16A5E">
          <w:rPr>
            <w:rStyle w:val="ae"/>
            <w:szCs w:val="24"/>
            <w:lang w:eastAsia="zh-CN"/>
          </w:rPr>
          <w:t>https://www.accessdata.fda.gov/drugsatfda_docs/nda/2014/205552Orig2s000PharmR.pdf</w:t>
        </w:r>
      </w:hyperlink>
      <w:r w:rsidRPr="00F16A5E">
        <w:rPr>
          <w:szCs w:val="24"/>
          <w:lang w:eastAsia="zh-CN"/>
        </w:rPr>
        <w:t xml:space="preserve">). No accumulation of orelabrutinib was observed following repeated oral doses in both rats and dogs. The data were consistent with the </w:t>
      </w:r>
      <w:r w:rsidRPr="00F16A5E">
        <w:rPr>
          <w:i/>
          <w:iCs/>
          <w:szCs w:val="24"/>
          <w:lang w:eastAsia="zh-CN"/>
        </w:rPr>
        <w:t>in vitro</w:t>
      </w:r>
      <w:r w:rsidRPr="00F16A5E">
        <w:rPr>
          <w:szCs w:val="24"/>
          <w:lang w:eastAsia="zh-CN"/>
        </w:rPr>
        <w:t xml:space="preserve"> permeability study which demonstrated that orelabrutinib had high permeability in the Caco-2 cell monolayer.</w:t>
      </w:r>
    </w:p>
    <w:p w14:paraId="4473AA3E" w14:textId="69156743" w:rsidR="006165BB" w:rsidRPr="00F16A5E" w:rsidRDefault="006165BB" w:rsidP="006165BB">
      <w:pPr>
        <w:pStyle w:val="ad"/>
        <w:spacing w:beforeLines="50" w:before="156" w:line="300" w:lineRule="auto"/>
        <w:ind w:firstLine="0"/>
        <w:rPr>
          <w:b/>
          <w:bCs/>
          <w:szCs w:val="24"/>
        </w:rPr>
      </w:pPr>
      <w:r w:rsidRPr="00F16A5E">
        <w:rPr>
          <w:b/>
          <w:bCs/>
          <w:szCs w:val="24"/>
        </w:rPr>
        <w:t>(2)</w:t>
      </w:r>
      <w:r w:rsidRPr="00F16A5E">
        <w:rPr>
          <w:b/>
          <w:bCs/>
          <w:szCs w:val="24"/>
        </w:rPr>
        <w:tab/>
        <w:t>Distribution</w:t>
      </w:r>
    </w:p>
    <w:p w14:paraId="04093BDD" w14:textId="747F9251" w:rsidR="006165BB" w:rsidRPr="00F16A5E" w:rsidRDefault="006165BB" w:rsidP="006165BB">
      <w:pPr>
        <w:pStyle w:val="ad"/>
        <w:spacing w:beforeLines="50" w:before="156" w:line="300" w:lineRule="auto"/>
        <w:ind w:firstLine="0"/>
        <w:rPr>
          <w:szCs w:val="24"/>
          <w:lang w:eastAsia="zh-CN"/>
        </w:rPr>
      </w:pPr>
      <w:r w:rsidRPr="00F16A5E">
        <w:rPr>
          <w:szCs w:val="24"/>
          <w:lang w:eastAsia="zh-CN"/>
        </w:rPr>
        <w:t>ICP-022 was highly bound to plasma proteins (90-97%) in all tested species, including mouse, rat, dog, monkey and human. After a single oral administration of [</w:t>
      </w:r>
      <w:r w:rsidRPr="00F16A5E">
        <w:rPr>
          <w:szCs w:val="24"/>
          <w:vertAlign w:val="superscript"/>
          <w:lang w:eastAsia="zh-CN"/>
        </w:rPr>
        <w:t>14</w:t>
      </w:r>
      <w:r w:rsidRPr="00F16A5E">
        <w:rPr>
          <w:szCs w:val="24"/>
          <w:lang w:eastAsia="zh-CN"/>
        </w:rPr>
        <w:t>C] ICP-022 in SD rats, the total radioactivity was measurable in all tested tissues, and was mainly distributed in the gastro-intestine tract wall, liver and kidneys.</w:t>
      </w:r>
    </w:p>
    <w:p w14:paraId="49ABBE9D" w14:textId="6CA3A422" w:rsidR="006165BB" w:rsidRPr="00F16A5E" w:rsidRDefault="006165BB" w:rsidP="006165BB">
      <w:pPr>
        <w:pStyle w:val="ad"/>
        <w:spacing w:before="50" w:line="300" w:lineRule="auto"/>
        <w:ind w:firstLine="0"/>
        <w:rPr>
          <w:b/>
          <w:szCs w:val="24"/>
          <w:lang w:eastAsia="zh-CN"/>
        </w:rPr>
      </w:pPr>
      <w:r w:rsidRPr="00F16A5E">
        <w:rPr>
          <w:b/>
          <w:szCs w:val="24"/>
          <w:lang w:eastAsia="zh-CN"/>
        </w:rPr>
        <w:t>(3)</w:t>
      </w:r>
      <w:r w:rsidRPr="00F16A5E">
        <w:rPr>
          <w:b/>
          <w:szCs w:val="24"/>
          <w:lang w:eastAsia="zh-CN"/>
        </w:rPr>
        <w:tab/>
        <w:t>Metabolism and Elimination</w:t>
      </w:r>
    </w:p>
    <w:p w14:paraId="5CDC96F9" w14:textId="2BA99696" w:rsidR="006165BB" w:rsidRPr="00F16A5E" w:rsidRDefault="006165BB" w:rsidP="006165BB">
      <w:pPr>
        <w:pStyle w:val="ad"/>
        <w:spacing w:before="50" w:line="300" w:lineRule="auto"/>
        <w:ind w:firstLine="0"/>
        <w:rPr>
          <w:bCs/>
          <w:szCs w:val="24"/>
          <w:lang w:eastAsia="zh-CN"/>
        </w:rPr>
      </w:pPr>
      <w:r w:rsidRPr="00F16A5E">
        <w:rPr>
          <w:bCs/>
          <w:szCs w:val="24"/>
          <w:lang w:eastAsia="zh-CN"/>
        </w:rPr>
        <w:t>After oral administration of [</w:t>
      </w:r>
      <w:r w:rsidRPr="00F16A5E">
        <w:rPr>
          <w:bCs/>
          <w:szCs w:val="24"/>
          <w:vertAlign w:val="superscript"/>
          <w:lang w:eastAsia="zh-CN"/>
        </w:rPr>
        <w:t>14</w:t>
      </w:r>
      <w:r w:rsidRPr="00F16A5E">
        <w:rPr>
          <w:bCs/>
          <w:szCs w:val="24"/>
          <w:lang w:eastAsia="zh-CN"/>
        </w:rPr>
        <w:t xml:space="preserve">C]orelabrutinib in male and female rats, a total of 18 metabolites were identified in their bile, urine and feces. The metabolic pathways of orelabrutinib in rats included: 1) Phase 1 oxidation and/or hydrogenation; 2) Phase 2 sulfurization, glutathione conjugation and its hydrolysis; 3) Phase I metabolite conjugation. Orelabrutinib was rapidly metabolized in liver microsomes </w:t>
      </w:r>
      <w:r w:rsidRPr="00F16A5E">
        <w:rPr>
          <w:bCs/>
          <w:i/>
          <w:iCs/>
          <w:szCs w:val="24"/>
          <w:lang w:eastAsia="zh-CN"/>
        </w:rPr>
        <w:t>in vitro</w:t>
      </w:r>
      <w:r w:rsidRPr="00F16A5E">
        <w:rPr>
          <w:bCs/>
          <w:szCs w:val="24"/>
          <w:lang w:eastAsia="zh-CN"/>
        </w:rPr>
        <w:t>. 15 radioactive metabolites of [</w:t>
      </w:r>
      <w:r w:rsidRPr="00F16A5E">
        <w:rPr>
          <w:bCs/>
          <w:szCs w:val="24"/>
          <w:vertAlign w:val="superscript"/>
          <w:lang w:eastAsia="zh-CN"/>
        </w:rPr>
        <w:t>14</w:t>
      </w:r>
      <w:r w:rsidRPr="00F16A5E">
        <w:rPr>
          <w:bCs/>
          <w:szCs w:val="24"/>
          <w:lang w:eastAsia="zh-CN"/>
        </w:rPr>
        <w:t xml:space="preserve">C]orelabrutinib were identified in </w:t>
      </w:r>
      <w:r w:rsidRPr="00F16A5E">
        <w:rPr>
          <w:bCs/>
          <w:i/>
          <w:iCs/>
          <w:szCs w:val="24"/>
          <w:lang w:eastAsia="zh-CN"/>
        </w:rPr>
        <w:t>in vitro</w:t>
      </w:r>
      <w:r w:rsidRPr="00F16A5E">
        <w:rPr>
          <w:bCs/>
          <w:szCs w:val="24"/>
          <w:lang w:eastAsia="zh-CN"/>
        </w:rPr>
        <w:t xml:space="preserve"> metabolism studies in mice, rats, dogs, monkeys and human liver microsomes. The recombinant cytochrome P450 (CYP450) enzyme study found that orelabrutinib was predominantly metabolized by CYP3A4. In terms of the rate of elimination, the primary route to eliminate orelabrutinib was through feces (hepatobiliary).</w:t>
      </w:r>
    </w:p>
    <w:p w14:paraId="3B19D810" w14:textId="2274993C" w:rsidR="006165BB" w:rsidRPr="00F16A5E" w:rsidRDefault="006165BB" w:rsidP="006165BB">
      <w:pPr>
        <w:pStyle w:val="ad"/>
        <w:spacing w:before="50" w:line="300" w:lineRule="auto"/>
        <w:ind w:firstLine="0"/>
        <w:rPr>
          <w:b/>
          <w:szCs w:val="24"/>
          <w:lang w:eastAsia="zh-CN"/>
        </w:rPr>
      </w:pPr>
      <w:r w:rsidRPr="00F16A5E">
        <w:rPr>
          <w:b/>
          <w:szCs w:val="24"/>
          <w:lang w:eastAsia="zh-CN"/>
        </w:rPr>
        <w:t>(4)</w:t>
      </w:r>
      <w:r w:rsidRPr="00F16A5E">
        <w:rPr>
          <w:b/>
          <w:szCs w:val="24"/>
          <w:lang w:eastAsia="zh-CN"/>
        </w:rPr>
        <w:tab/>
        <w:t xml:space="preserve">Drug </w:t>
      </w:r>
      <w:r w:rsidR="000364A6" w:rsidRPr="00F16A5E">
        <w:rPr>
          <w:b/>
          <w:szCs w:val="24"/>
          <w:lang w:eastAsia="zh-CN"/>
        </w:rPr>
        <w:t>I</w:t>
      </w:r>
      <w:r w:rsidRPr="00F16A5E">
        <w:rPr>
          <w:b/>
          <w:szCs w:val="24"/>
          <w:lang w:eastAsia="zh-CN"/>
        </w:rPr>
        <w:t>nteractions</w:t>
      </w:r>
    </w:p>
    <w:p w14:paraId="1F3A9DBA" w14:textId="577394B3" w:rsidR="006165BB" w:rsidRPr="00F16A5E" w:rsidRDefault="006165BB" w:rsidP="006165BB">
      <w:pPr>
        <w:pStyle w:val="ad"/>
        <w:spacing w:before="50" w:line="300" w:lineRule="auto"/>
        <w:ind w:firstLine="0"/>
        <w:rPr>
          <w:bCs/>
          <w:szCs w:val="24"/>
          <w:lang w:eastAsia="zh-CN"/>
        </w:rPr>
      </w:pPr>
      <w:r w:rsidRPr="00F16A5E">
        <w:rPr>
          <w:bCs/>
          <w:szCs w:val="24"/>
          <w:lang w:eastAsia="zh-CN"/>
        </w:rPr>
        <w:t>ICP-022 is not expected to have any clinically significant effect on human CYP450 enzymes, therefore, the risk of drug-drug interactions is low.</w:t>
      </w:r>
    </w:p>
    <w:p w14:paraId="081C7750" w14:textId="00EBB1C8" w:rsidR="006165BB" w:rsidRPr="00F16A5E" w:rsidRDefault="006165BB" w:rsidP="006165BB">
      <w:pPr>
        <w:pStyle w:val="ad"/>
        <w:spacing w:before="50" w:line="300" w:lineRule="auto"/>
        <w:ind w:firstLine="0"/>
        <w:rPr>
          <w:b/>
          <w:szCs w:val="24"/>
          <w:lang w:eastAsia="zh-CN"/>
        </w:rPr>
      </w:pPr>
      <w:r w:rsidRPr="00F16A5E">
        <w:rPr>
          <w:b/>
          <w:szCs w:val="24"/>
          <w:lang w:eastAsia="zh-CN"/>
        </w:rPr>
        <w:lastRenderedPageBreak/>
        <w:t>(5)</w:t>
      </w:r>
      <w:r w:rsidRPr="00F16A5E">
        <w:rPr>
          <w:b/>
          <w:szCs w:val="24"/>
          <w:lang w:eastAsia="zh-CN"/>
        </w:rPr>
        <w:tab/>
        <w:t>Pharmacokinetics/Pharmacodynamics (PK/PD)</w:t>
      </w:r>
    </w:p>
    <w:p w14:paraId="6D0FEA12" w14:textId="4F77EA51" w:rsidR="006165BB" w:rsidRPr="00F16A5E" w:rsidRDefault="006165BB" w:rsidP="006165BB">
      <w:pPr>
        <w:pStyle w:val="ad"/>
        <w:spacing w:beforeLines="50" w:before="156" w:line="300" w:lineRule="auto"/>
        <w:ind w:firstLine="0"/>
        <w:rPr>
          <w:bCs/>
          <w:szCs w:val="24"/>
          <w:lang w:eastAsia="zh-CN"/>
        </w:rPr>
      </w:pPr>
      <w:r w:rsidRPr="00F16A5E">
        <w:rPr>
          <w:bCs/>
          <w:szCs w:val="24"/>
          <w:lang w:eastAsia="zh-CN"/>
        </w:rPr>
        <w:t>The degree of covalent binding of orelabrutinib to BTK, referred to herein as BTK occupancy, is related to its inhibitory effect on BTK activity. Therefore, BTK occupancy can be used as a pharmacodynamic marker. In preclinical PK/PD studies, orelabrutinib demonstrated prolonged pharmacodynamic effects after being cleared from circulation, which was consistent with the prolonged target occupancy, that is, occupancy for up to 24 hours after a single dose. This observation was consistent with the irreversibly binding mode of orelabrutinib and justified the once daily regimen.</w:t>
      </w:r>
    </w:p>
    <w:p w14:paraId="6D19B0E9" w14:textId="6C76FD7F" w:rsidR="006E18E9" w:rsidRPr="00F16A5E" w:rsidRDefault="006E18E9" w:rsidP="006E18E9">
      <w:pPr>
        <w:pStyle w:val="ad"/>
        <w:keepNext/>
        <w:ind w:firstLine="0"/>
        <w:outlineLvl w:val="3"/>
        <w:rPr>
          <w:b/>
          <w:szCs w:val="24"/>
        </w:rPr>
      </w:pPr>
      <w:r w:rsidRPr="00F16A5E">
        <w:rPr>
          <w:b/>
          <w:szCs w:val="24"/>
          <w:lang w:eastAsia="zh-CN"/>
        </w:rPr>
        <w:t>1.2.1.3</w:t>
      </w:r>
      <w:r w:rsidR="006165BB" w:rsidRPr="00F16A5E">
        <w:rPr>
          <w:b/>
          <w:szCs w:val="24"/>
        </w:rPr>
        <w:tab/>
      </w:r>
      <w:r w:rsidR="006165BB" w:rsidRPr="00F16A5E">
        <w:rPr>
          <w:b/>
          <w:szCs w:val="24"/>
          <w:lang w:eastAsia="zh-CN"/>
        </w:rPr>
        <w:t>Toxicology</w:t>
      </w:r>
    </w:p>
    <w:p w14:paraId="0DA4CD4A" w14:textId="04DD7B30" w:rsidR="006E18E9" w:rsidRPr="00F16A5E" w:rsidRDefault="006165BB" w:rsidP="00DC1099">
      <w:pPr>
        <w:pStyle w:val="ad"/>
        <w:spacing w:beforeLines="50" w:before="156" w:line="300" w:lineRule="auto"/>
        <w:ind w:firstLine="0"/>
        <w:rPr>
          <w:b/>
          <w:szCs w:val="24"/>
          <w:lang w:eastAsia="zh-CN"/>
        </w:rPr>
      </w:pPr>
      <w:r w:rsidRPr="00F16A5E">
        <w:rPr>
          <w:b/>
          <w:szCs w:val="24"/>
          <w:lang w:eastAsia="zh-CN"/>
        </w:rPr>
        <w:t>(1)</w:t>
      </w:r>
      <w:r w:rsidRPr="00F16A5E">
        <w:rPr>
          <w:b/>
          <w:szCs w:val="24"/>
          <w:lang w:eastAsia="zh-CN"/>
        </w:rPr>
        <w:tab/>
        <w:t>Toxicology</w:t>
      </w:r>
    </w:p>
    <w:p w14:paraId="4D5A7B37" w14:textId="77777777" w:rsidR="006165BB" w:rsidRPr="00F16A5E" w:rsidRDefault="006165BB" w:rsidP="00DC1099">
      <w:pPr>
        <w:pStyle w:val="ad"/>
        <w:spacing w:beforeLines="50" w:before="156" w:line="300" w:lineRule="auto"/>
        <w:ind w:firstLine="0"/>
        <w:rPr>
          <w:szCs w:val="24"/>
        </w:rPr>
      </w:pPr>
      <w:r w:rsidRPr="00F16A5E">
        <w:rPr>
          <w:szCs w:val="24"/>
        </w:rPr>
        <w:t>The results of a single oral administration of orelabrutinib in rats and dogs indicated that the possibility of acute toxicity was low. No death, clinical symptoms or weight loss were observed in the single-dose acute toxicity study in SD rats at 600 and 800 mg/kg of orelabrutinib, and no macroscopic changes were found in pathological examination. The tolerated oral dose of orelabrutinib in dogs was as high as 800 mg/kg, and vomiting was only observed at 400 and 800 mg/kg without other clinical symptoms. The maximum tolerated dose of a single dose of orelabrutinib in rats and dogs was 800 mg/kg.</w:t>
      </w:r>
    </w:p>
    <w:p w14:paraId="4EFA77C9" w14:textId="0690D248" w:rsidR="006E18E9" w:rsidRPr="00F16A5E" w:rsidRDefault="005D61C3" w:rsidP="00DC1099">
      <w:pPr>
        <w:pStyle w:val="ad"/>
        <w:spacing w:beforeLines="50" w:before="156" w:line="300" w:lineRule="auto"/>
        <w:ind w:firstLine="0"/>
        <w:rPr>
          <w:b/>
          <w:szCs w:val="24"/>
          <w:lang w:eastAsia="zh-CN"/>
        </w:rPr>
      </w:pPr>
      <w:r w:rsidRPr="00F16A5E">
        <w:rPr>
          <w:b/>
          <w:szCs w:val="24"/>
          <w:lang w:eastAsia="zh-CN"/>
        </w:rPr>
        <w:t>(2)</w:t>
      </w:r>
      <w:r w:rsidRPr="00F16A5E">
        <w:rPr>
          <w:b/>
          <w:szCs w:val="24"/>
          <w:lang w:eastAsia="zh-CN"/>
        </w:rPr>
        <w:tab/>
        <w:t>Repeated-dose toxicity</w:t>
      </w:r>
    </w:p>
    <w:p w14:paraId="79D228EA" w14:textId="75D04717" w:rsidR="006E18E9" w:rsidRPr="00F16A5E" w:rsidRDefault="005D61C3" w:rsidP="00DC1099">
      <w:pPr>
        <w:pStyle w:val="ad"/>
        <w:spacing w:beforeLines="50" w:before="156" w:line="300" w:lineRule="auto"/>
        <w:ind w:firstLine="0"/>
      </w:pPr>
      <w:r w:rsidRPr="00F16A5E">
        <w:rPr>
          <w:bCs/>
          <w:szCs w:val="24"/>
          <w:lang w:eastAsia="zh-CN"/>
        </w:rPr>
        <w:t>In the 4- and 26- week repeated-dose toxicity studies in SD rats, decreased lymphocytes (related to drug effect) and the pathological changes in pancreatic tissue were observed.  The latter was the species-specific toxicity of BTK inhibitors in SD rats</w:t>
      </w:r>
      <w:r w:rsidRPr="00F16A5E">
        <w:rPr>
          <w:noProof/>
        </w:rPr>
        <w:t xml:space="preserve"> </w:t>
      </w:r>
      <w:r w:rsidR="006E18E9" w:rsidRPr="00F16A5E">
        <w:rPr>
          <w:noProof/>
        </w:rPr>
        <w:t>(</w:t>
      </w:r>
      <w:hyperlink w:anchor="文献Erickson" w:history="1">
        <w:r w:rsidR="006E18E9" w:rsidRPr="00F16A5E">
          <w:rPr>
            <w:rStyle w:val="ae"/>
            <w:noProof/>
          </w:rPr>
          <w:t>Erickson et al., 2017</w:t>
        </w:r>
      </w:hyperlink>
      <w:r w:rsidR="006E18E9" w:rsidRPr="00F16A5E">
        <w:rPr>
          <w:noProof/>
        </w:rPr>
        <w:t>)</w:t>
      </w:r>
      <w:r w:rsidRPr="00F16A5E">
        <w:rPr>
          <w:lang w:eastAsia="zh-CN"/>
        </w:rPr>
        <w:t xml:space="preserve">. Pathological changes in thyroid tissue were also observed after repeated doses from 13 weeks to 26 weeks. However, based on the nature of thyroid morphological changes (only hypertrophy/hyperplasia) and the lack of toxicologically significant thyroid hormone changes, the above-mentioned thyroid histopathological changes were not considered harmful changes. Slight hepatocyte hypertrophy was observed in high-dose rats, but no other pathological changes or elevated liver enzymes (ALT, AST, etc.) were seen. Therefore, the liver morphological changes were not considered harmful changes. The rats after administration showed an increase in the proportion of </w:t>
      </w:r>
      <w:proofErr w:type="spellStart"/>
      <w:r w:rsidRPr="00F16A5E">
        <w:rPr>
          <w:lang w:eastAsia="zh-CN"/>
        </w:rPr>
        <w:t>extrasplenic</w:t>
      </w:r>
      <w:proofErr w:type="spellEnd"/>
      <w:r w:rsidRPr="00F16A5E">
        <w:rPr>
          <w:lang w:eastAsia="zh-CN"/>
        </w:rPr>
        <w:t xml:space="preserve"> hematopoiesis, which might be a response to the decrease or trend of decrease in red blood cell index. </w:t>
      </w:r>
    </w:p>
    <w:p w14:paraId="524436AA" w14:textId="4698189D" w:rsidR="00A61FD6" w:rsidRPr="00F16A5E" w:rsidRDefault="00A61FD6" w:rsidP="00DC1099">
      <w:pPr>
        <w:pStyle w:val="ad"/>
        <w:spacing w:beforeLines="50" w:before="156" w:line="300" w:lineRule="auto"/>
        <w:ind w:firstLine="0"/>
      </w:pPr>
      <w:r w:rsidRPr="00F16A5E">
        <w:t>The toxicity observed in the 4- and 13- week repeated dose toxicity study in Beagle dogs was consistent with above. Except for the transient vomiting during administration, the main manifestation was decreased splenic lymphocytes, which was an extended effect of the pharmacological action caused by BTK inhibition.</w:t>
      </w:r>
    </w:p>
    <w:p w14:paraId="53F510C8" w14:textId="4F41BA0A" w:rsidR="00A61FD6" w:rsidRPr="00F16A5E" w:rsidRDefault="00A61FD6" w:rsidP="00DC1099">
      <w:pPr>
        <w:pStyle w:val="ad"/>
        <w:spacing w:beforeLines="50" w:before="156" w:line="300" w:lineRule="auto"/>
        <w:ind w:firstLine="0"/>
      </w:pPr>
      <w:r w:rsidRPr="00F16A5E">
        <w:t>These changes were dose-dependent and reversible.</w:t>
      </w:r>
    </w:p>
    <w:p w14:paraId="1C9A614C" w14:textId="6A98818C" w:rsidR="006E18E9" w:rsidRPr="00F16A5E" w:rsidRDefault="00A61FD6" w:rsidP="00DC1099">
      <w:pPr>
        <w:pStyle w:val="ad"/>
        <w:spacing w:beforeLines="50" w:before="156" w:line="300" w:lineRule="auto"/>
        <w:ind w:firstLine="0"/>
        <w:rPr>
          <w:b/>
          <w:szCs w:val="24"/>
          <w:lang w:eastAsia="zh-CN"/>
        </w:rPr>
      </w:pPr>
      <w:r w:rsidRPr="00F16A5E">
        <w:rPr>
          <w:b/>
          <w:szCs w:val="24"/>
          <w:lang w:eastAsia="zh-CN"/>
        </w:rPr>
        <w:lastRenderedPageBreak/>
        <w:t>(3)</w:t>
      </w:r>
      <w:r w:rsidRPr="00F16A5E">
        <w:rPr>
          <w:b/>
          <w:szCs w:val="24"/>
          <w:lang w:eastAsia="zh-CN"/>
        </w:rPr>
        <w:tab/>
      </w:r>
      <w:proofErr w:type="spellStart"/>
      <w:r w:rsidRPr="00F16A5E">
        <w:rPr>
          <w:b/>
          <w:szCs w:val="24"/>
          <w:lang w:eastAsia="zh-CN"/>
        </w:rPr>
        <w:t>Toxicokinetics</w:t>
      </w:r>
      <w:proofErr w:type="spellEnd"/>
    </w:p>
    <w:p w14:paraId="77AEB60B" w14:textId="67448C8D" w:rsidR="00A61FD6" w:rsidRPr="00F16A5E" w:rsidRDefault="00DC1099" w:rsidP="00DC1099">
      <w:pPr>
        <w:pStyle w:val="ad"/>
        <w:spacing w:beforeLines="50" w:before="156" w:line="300" w:lineRule="auto"/>
        <w:ind w:firstLine="0"/>
        <w:rPr>
          <w:bCs/>
          <w:szCs w:val="24"/>
          <w:lang w:eastAsia="zh-CN"/>
        </w:rPr>
      </w:pPr>
      <w:r w:rsidRPr="00F16A5E">
        <w:rPr>
          <w:bCs/>
          <w:szCs w:val="24"/>
          <w:lang w:eastAsia="zh-CN"/>
        </w:rPr>
        <w:t>In the 4-week and 13-week repeated dose toxicity studies in SD rats and beagle dogs, and the embryo-fetal developmental toxicity studies in SD rats and rabbits, accompany toxicokinetic studies were carried out. The results showed that, except for the 13-week toxicity study in SD rats where a certain accumulation was observed at low-medium doses, no drug accumulation was observed in other studies. The plasma exposure increased with the dose.</w:t>
      </w:r>
    </w:p>
    <w:p w14:paraId="7E9EFF2E" w14:textId="77777777" w:rsidR="00DC1099" w:rsidRPr="00F16A5E" w:rsidRDefault="00DC1099" w:rsidP="00DC1099">
      <w:pPr>
        <w:pStyle w:val="ad"/>
        <w:spacing w:beforeLines="50" w:before="156" w:line="300" w:lineRule="auto"/>
        <w:ind w:firstLine="0"/>
        <w:jc w:val="left"/>
        <w:rPr>
          <w:b/>
          <w:szCs w:val="24"/>
          <w:lang w:eastAsia="zh-CN"/>
        </w:rPr>
      </w:pPr>
      <w:r w:rsidRPr="00F16A5E">
        <w:rPr>
          <w:b/>
          <w:szCs w:val="24"/>
          <w:lang w:eastAsia="zh-CN"/>
        </w:rPr>
        <w:t>(4)</w:t>
      </w:r>
      <w:r w:rsidRPr="00F16A5E">
        <w:rPr>
          <w:b/>
          <w:szCs w:val="24"/>
          <w:lang w:eastAsia="zh-CN"/>
        </w:rPr>
        <w:tab/>
        <w:t>Genotoxicity</w:t>
      </w:r>
    </w:p>
    <w:p w14:paraId="4BD0E79F" w14:textId="5A39A2E6" w:rsidR="00DC1099" w:rsidRPr="00F16A5E" w:rsidRDefault="00DC1099" w:rsidP="00DC1099">
      <w:pPr>
        <w:pStyle w:val="ad"/>
        <w:spacing w:beforeLines="50" w:before="156" w:line="300" w:lineRule="auto"/>
        <w:ind w:firstLine="0"/>
        <w:rPr>
          <w:bCs/>
          <w:szCs w:val="24"/>
          <w:lang w:eastAsia="zh-CN"/>
        </w:rPr>
      </w:pPr>
      <w:r w:rsidRPr="00F16A5E">
        <w:rPr>
          <w:bCs/>
          <w:szCs w:val="24"/>
          <w:lang w:eastAsia="zh-CN"/>
        </w:rPr>
        <w:t>The genotoxicity of orelabrutinib was evaluated in a bacterial reverse mutation (Ames) assay, an in vitro chromosome aberration assay in Chinese hamster lung cells, and an in vivo rat micronucleus assay. ICP-022 was not mutagenic in the bacterial Ames assay nor clastogenic in the chromosome aberration assay, and did not increase micronucleus formation in rats at an oral dose of up to 800 mg/kg/day.</w:t>
      </w:r>
    </w:p>
    <w:p w14:paraId="2A3BC316" w14:textId="77777777" w:rsidR="00DC1099" w:rsidRPr="00F16A5E" w:rsidRDefault="00DC1099" w:rsidP="00DC1099">
      <w:pPr>
        <w:pStyle w:val="ad"/>
        <w:spacing w:beforeLines="50" w:before="156" w:line="300" w:lineRule="auto"/>
        <w:ind w:firstLine="0"/>
        <w:rPr>
          <w:b/>
          <w:szCs w:val="24"/>
          <w:lang w:eastAsia="zh-CN"/>
        </w:rPr>
      </w:pPr>
      <w:r w:rsidRPr="00F16A5E">
        <w:rPr>
          <w:b/>
          <w:szCs w:val="24"/>
          <w:lang w:eastAsia="zh-CN"/>
        </w:rPr>
        <w:t>(5)</w:t>
      </w:r>
      <w:r w:rsidRPr="00F16A5E">
        <w:rPr>
          <w:b/>
          <w:szCs w:val="24"/>
          <w:lang w:eastAsia="zh-CN"/>
        </w:rPr>
        <w:tab/>
        <w:t>Reproductive Toxicity</w:t>
      </w:r>
    </w:p>
    <w:p w14:paraId="702B2A91" w14:textId="29896596" w:rsidR="00DC1099" w:rsidRPr="00F16A5E" w:rsidRDefault="00DC1099" w:rsidP="00DC1099">
      <w:pPr>
        <w:pStyle w:val="ad"/>
        <w:spacing w:beforeLines="50" w:before="156" w:line="300" w:lineRule="auto"/>
        <w:ind w:firstLine="0"/>
        <w:rPr>
          <w:bCs/>
          <w:szCs w:val="24"/>
          <w:lang w:eastAsia="zh-CN"/>
        </w:rPr>
      </w:pPr>
      <w:r w:rsidRPr="00F16A5E">
        <w:rPr>
          <w:bCs/>
          <w:szCs w:val="24"/>
          <w:lang w:eastAsia="zh-CN"/>
        </w:rPr>
        <w:t>Oral administration of orelabrutinib in SD rats showed no significant effect on fertility and early embryo development, and the no-observed-adverse-effect-level (NOAEL) was 400 mg/kg. The embryo-fetal developmental toxicity study in SD rats and New Zealand rabbits indicated that oral orelabrutinib had no significant effect on embryo-fetal development. The NOAEL was 400 mg/kg and 100 mg/kg, respectively.</w:t>
      </w:r>
    </w:p>
    <w:p w14:paraId="5EAE59C9" w14:textId="6668AE3F" w:rsidR="006E18E9" w:rsidRPr="00F16A5E" w:rsidRDefault="006E18E9" w:rsidP="006E18E9">
      <w:pPr>
        <w:pStyle w:val="3"/>
        <w:keepLines w:val="0"/>
        <w:spacing w:before="60" w:after="60" w:line="360" w:lineRule="auto"/>
        <w:rPr>
          <w:sz w:val="24"/>
          <w:szCs w:val="24"/>
        </w:rPr>
      </w:pPr>
      <w:bookmarkStart w:id="29" w:name="_Toc7170208"/>
      <w:bookmarkStart w:id="30" w:name="_Toc9456156"/>
      <w:bookmarkStart w:id="31" w:name="_Toc20224833"/>
      <w:bookmarkStart w:id="32" w:name="_Toc71149136"/>
      <w:r w:rsidRPr="00F16A5E">
        <w:rPr>
          <w:sz w:val="24"/>
          <w:szCs w:val="24"/>
        </w:rPr>
        <w:t>1.2.2</w:t>
      </w:r>
      <w:bookmarkEnd w:id="29"/>
      <w:bookmarkEnd w:id="30"/>
      <w:bookmarkEnd w:id="31"/>
      <w:r w:rsidR="00DC1099" w:rsidRPr="00F16A5E">
        <w:rPr>
          <w:sz w:val="24"/>
          <w:szCs w:val="24"/>
        </w:rPr>
        <w:tab/>
        <w:t>Clinical Studies</w:t>
      </w:r>
      <w:bookmarkEnd w:id="32"/>
    </w:p>
    <w:p w14:paraId="5B1B0120" w14:textId="4B96CC20" w:rsidR="000363AF" w:rsidRPr="00F16A5E" w:rsidRDefault="000363AF" w:rsidP="000363AF">
      <w:pPr>
        <w:pStyle w:val="ad"/>
        <w:spacing w:beforeLines="50" w:before="156" w:line="300" w:lineRule="auto"/>
        <w:ind w:firstLine="0"/>
        <w:rPr>
          <w:bCs/>
          <w:kern w:val="0"/>
          <w:szCs w:val="24"/>
          <w:lang w:val="en-US" w:eastAsia="zh-CN"/>
        </w:rPr>
      </w:pPr>
      <w:r w:rsidRPr="00F16A5E">
        <w:rPr>
          <w:bCs/>
          <w:kern w:val="0"/>
          <w:szCs w:val="24"/>
          <w:lang w:val="en-US" w:eastAsia="zh-CN"/>
        </w:rPr>
        <w:t xml:space="preserve">The first phase I clinical trial of orelabrutinib in healthy volunteers (ICP-CL-001) was carried out in Australia. This study was designed as a randomized, double-blind, placebo-controlled, parallel-group, dose-escalation study to evaluate the safety, tolerability, PK and PD of oral single and multiple ascending dose(s) of orelabrutinib. A total of 64 healthy subjects were enrolled (5 Asian, 54 white, 1 black, and 4 other races). This study </w:t>
      </w:r>
      <w:proofErr w:type="spellStart"/>
      <w:r w:rsidR="00DA65FE" w:rsidRPr="00F16A5E">
        <w:rPr>
          <w:bCs/>
          <w:kern w:val="0"/>
          <w:szCs w:val="24"/>
          <w:lang w:val="en-US" w:eastAsia="zh-CN"/>
        </w:rPr>
        <w:t>wad</w:t>
      </w:r>
      <w:proofErr w:type="spellEnd"/>
      <w:r w:rsidR="00DA65FE" w:rsidRPr="00F16A5E">
        <w:rPr>
          <w:bCs/>
          <w:kern w:val="0"/>
          <w:szCs w:val="24"/>
          <w:lang w:val="en-US" w:eastAsia="zh-CN"/>
        </w:rPr>
        <w:t xml:space="preserve"> divided to</w:t>
      </w:r>
      <w:r w:rsidRPr="00F16A5E">
        <w:rPr>
          <w:bCs/>
          <w:kern w:val="0"/>
          <w:szCs w:val="24"/>
          <w:lang w:val="en-US" w:eastAsia="zh-CN"/>
        </w:rPr>
        <w:t xml:space="preserve"> Part 1 (single-dose escalation, receiving 20, 50, 100, 200, and 400 mg of orelabrutinib, or placebo) and Part 2 (multi-dose escalation, receiving 100 mg QD, 200 mg QD, 100 mg BID of orelabrutinib, or placebo for 14 consecutive days). The phase I clinical study ICP-CL-00110 was carried out in China, and 6 healthy male subjects (all Asian) </w:t>
      </w:r>
      <w:r w:rsidR="00DA65FE" w:rsidRPr="00F16A5E">
        <w:rPr>
          <w:bCs/>
          <w:kern w:val="0"/>
          <w:szCs w:val="24"/>
          <w:lang w:val="en-US" w:eastAsia="zh-CN"/>
        </w:rPr>
        <w:t>had been</w:t>
      </w:r>
      <w:r w:rsidRPr="00F16A5E">
        <w:rPr>
          <w:bCs/>
          <w:kern w:val="0"/>
          <w:szCs w:val="24"/>
          <w:lang w:val="en-US" w:eastAsia="zh-CN"/>
        </w:rPr>
        <w:t xml:space="preserve"> enrolled and received a single oral dose of 150 mg [</w:t>
      </w:r>
      <w:r w:rsidRPr="00F16A5E">
        <w:rPr>
          <w:bCs/>
          <w:kern w:val="0"/>
          <w:szCs w:val="24"/>
          <w:vertAlign w:val="superscript"/>
          <w:lang w:val="en-US" w:eastAsia="zh-CN"/>
        </w:rPr>
        <w:t>14</w:t>
      </w:r>
      <w:r w:rsidRPr="00F16A5E">
        <w:rPr>
          <w:bCs/>
          <w:kern w:val="0"/>
          <w:szCs w:val="24"/>
          <w:lang w:val="en-US" w:eastAsia="zh-CN"/>
        </w:rPr>
        <w:t>C]orelabrutinib suspension. During the study, samples of whole blood, plasma, urine and feces were collected at specified time points/intervals. The absorption, distribution, metabolism, and excretion of [</w:t>
      </w:r>
      <w:r w:rsidRPr="00F16A5E">
        <w:rPr>
          <w:bCs/>
          <w:kern w:val="0"/>
          <w:szCs w:val="24"/>
          <w:vertAlign w:val="superscript"/>
          <w:lang w:val="en-US" w:eastAsia="zh-CN"/>
        </w:rPr>
        <w:t>14</w:t>
      </w:r>
      <w:r w:rsidRPr="00F16A5E">
        <w:rPr>
          <w:bCs/>
          <w:kern w:val="0"/>
          <w:szCs w:val="24"/>
          <w:lang w:val="en-US" w:eastAsia="zh-CN"/>
        </w:rPr>
        <w:t xml:space="preserve">C]orelabrutinib after a single oral dose were evaluated. In addition, a number of phase I or phase II clinical studies of orelabrutinib have been carried out in patients with B-cell lymphoma (ICP-CL-00102, ICP-CL-00103, ICP-CL-00104, ICP-CL-00105, ICP-CL-00106). The National Medical Products Administration (NMPA) has approved orelabrutinib for the treatment of relapsed/refractory chronic lymphocytic </w:t>
      </w:r>
      <w:r w:rsidRPr="00F16A5E">
        <w:rPr>
          <w:bCs/>
          <w:kern w:val="0"/>
          <w:szCs w:val="24"/>
          <w:lang w:val="en-US" w:eastAsia="zh-CN"/>
        </w:rPr>
        <w:lastRenderedPageBreak/>
        <w:t>leukemia/small lymphocytic lymphoma (r/r CLL/SLL) and relapsed/refractory mantle cell lymphoma (r/r MCL).</w:t>
      </w:r>
    </w:p>
    <w:p w14:paraId="475AD0DE" w14:textId="4E48FACB" w:rsidR="000363AF" w:rsidRPr="00F16A5E" w:rsidRDefault="00740878" w:rsidP="00740878">
      <w:pPr>
        <w:pStyle w:val="ad"/>
        <w:spacing w:beforeLines="50" w:before="156" w:line="300" w:lineRule="auto"/>
        <w:ind w:firstLine="0"/>
        <w:rPr>
          <w:bCs/>
          <w:kern w:val="0"/>
          <w:szCs w:val="24"/>
          <w:lang w:val="en-US" w:eastAsia="zh-CN"/>
        </w:rPr>
      </w:pPr>
      <w:r w:rsidRPr="00F16A5E">
        <w:rPr>
          <w:bCs/>
          <w:kern w:val="0"/>
          <w:szCs w:val="24"/>
          <w:lang w:val="en-US" w:eastAsia="zh-CN"/>
        </w:rPr>
        <w:t xml:space="preserve">At present, BTK inhibitors are still mainly investigated for tumor treatment, and </w:t>
      </w:r>
      <w:r w:rsidR="00DC6B9C" w:rsidRPr="00F16A5E">
        <w:rPr>
          <w:bCs/>
          <w:kern w:val="0"/>
          <w:szCs w:val="24"/>
          <w:lang w:val="en-US" w:eastAsia="zh-CN"/>
        </w:rPr>
        <w:t xml:space="preserve">other BTK inhibitors </w:t>
      </w:r>
      <w:r w:rsidRPr="00F16A5E">
        <w:rPr>
          <w:bCs/>
          <w:kern w:val="0"/>
          <w:szCs w:val="24"/>
          <w:lang w:val="en-US" w:eastAsia="zh-CN"/>
        </w:rPr>
        <w:t xml:space="preserve">mainly include Ibrutinib, Acalabrutinib, BGB-3111, GS-4059 and so on. However, the use of BTK inhibitors for the treatment of SLE has attracted the attention of more and more investigators. </w:t>
      </w:r>
      <w:r w:rsidR="00A37935" w:rsidRPr="00F16A5E">
        <w:rPr>
          <w:bCs/>
          <w:kern w:val="0"/>
          <w:szCs w:val="24"/>
          <w:lang w:val="en-US" w:eastAsia="zh-CN"/>
        </w:rPr>
        <w:t>Globall</w:t>
      </w:r>
      <w:r w:rsidRPr="00F16A5E">
        <w:rPr>
          <w:bCs/>
          <w:kern w:val="0"/>
          <w:szCs w:val="24"/>
          <w:lang w:val="en-US" w:eastAsia="zh-CN"/>
        </w:rPr>
        <w:t>y, products from many companies have entered clinical trials, mainly including M-2951 from Merck, AC-0058TA from ACEA, and GDC-0853 from Genentech. Up to now, none of these clinical studies have published results.</w:t>
      </w:r>
    </w:p>
    <w:p w14:paraId="2A0C0A38" w14:textId="11651C12" w:rsidR="006E18E9" w:rsidRPr="00F16A5E" w:rsidRDefault="00740878" w:rsidP="006E18E9">
      <w:pPr>
        <w:pStyle w:val="ad"/>
        <w:ind w:firstLine="0"/>
        <w:jc w:val="center"/>
        <w:rPr>
          <w:b/>
          <w:kern w:val="0"/>
          <w:szCs w:val="24"/>
          <w:lang w:val="en-US" w:eastAsia="zh-CN"/>
        </w:rPr>
      </w:pPr>
      <w:r w:rsidRPr="00F16A5E">
        <w:rPr>
          <w:b/>
          <w:kern w:val="0"/>
          <w:szCs w:val="24"/>
          <w:lang w:val="en-US" w:eastAsia="zh-CN"/>
        </w:rPr>
        <w:t xml:space="preserve">Table </w:t>
      </w:r>
      <w:r w:rsidR="006E18E9" w:rsidRPr="00F16A5E">
        <w:rPr>
          <w:b/>
          <w:kern w:val="0"/>
          <w:szCs w:val="24"/>
          <w:lang w:val="en-US" w:eastAsia="zh-CN"/>
        </w:rPr>
        <w:t>1.</w:t>
      </w:r>
      <w:r w:rsidRPr="00F16A5E">
        <w:rPr>
          <w:b/>
          <w:kern w:val="0"/>
          <w:szCs w:val="24"/>
          <w:lang w:val="en-US" w:eastAsia="zh-CN"/>
        </w:rPr>
        <w:tab/>
        <w:t>BTK Inhibitors Under Development</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
        <w:gridCol w:w="2112"/>
        <w:gridCol w:w="1663"/>
        <w:gridCol w:w="3491"/>
        <w:gridCol w:w="1270"/>
      </w:tblGrid>
      <w:tr w:rsidR="006E18E9" w:rsidRPr="00F16A5E" w14:paraId="64D4CDB3" w14:textId="77777777" w:rsidTr="00740878">
        <w:trPr>
          <w:trHeight w:val="397"/>
          <w:tblHeader/>
        </w:trPr>
        <w:tc>
          <w:tcPr>
            <w:tcW w:w="572" w:type="pct"/>
            <w:tcBorders>
              <w:top w:val="single" w:sz="4" w:space="0" w:color="auto"/>
              <w:bottom w:val="single" w:sz="4" w:space="0" w:color="auto"/>
            </w:tcBorders>
            <w:shd w:val="clear" w:color="auto" w:fill="E7E6E6" w:themeFill="background2"/>
            <w:vAlign w:val="center"/>
          </w:tcPr>
          <w:p w14:paraId="2AF0D339" w14:textId="6AFC46CB" w:rsidR="006E18E9" w:rsidRPr="00F16A5E" w:rsidRDefault="00740878" w:rsidP="00880C9B">
            <w:pPr>
              <w:pStyle w:val="ad"/>
              <w:spacing w:line="300" w:lineRule="exact"/>
              <w:ind w:firstLine="0"/>
              <w:jc w:val="center"/>
              <w:rPr>
                <w:b/>
                <w:szCs w:val="24"/>
                <w:lang w:val="en-US" w:eastAsia="zh-CN"/>
              </w:rPr>
            </w:pPr>
            <w:r w:rsidRPr="00F16A5E">
              <w:rPr>
                <w:b/>
                <w:szCs w:val="24"/>
                <w:lang w:val="en-US" w:eastAsia="zh-CN"/>
              </w:rPr>
              <w:t>Phase</w:t>
            </w:r>
          </w:p>
        </w:tc>
        <w:tc>
          <w:tcPr>
            <w:tcW w:w="1096" w:type="pct"/>
            <w:tcBorders>
              <w:top w:val="single" w:sz="4" w:space="0" w:color="auto"/>
              <w:bottom w:val="single" w:sz="4" w:space="0" w:color="auto"/>
            </w:tcBorders>
            <w:shd w:val="clear" w:color="auto" w:fill="E7E6E6" w:themeFill="background2"/>
            <w:vAlign w:val="center"/>
          </w:tcPr>
          <w:p w14:paraId="73E3F31E" w14:textId="4F80FA28" w:rsidR="006E18E9" w:rsidRPr="00F16A5E" w:rsidRDefault="006E18E9" w:rsidP="00880C9B">
            <w:pPr>
              <w:pStyle w:val="ad"/>
              <w:spacing w:line="300" w:lineRule="exact"/>
              <w:ind w:firstLine="0"/>
              <w:jc w:val="center"/>
              <w:rPr>
                <w:b/>
                <w:szCs w:val="24"/>
                <w:lang w:val="en-US" w:eastAsia="zh-CN"/>
              </w:rPr>
            </w:pPr>
            <w:r w:rsidRPr="00F16A5E">
              <w:rPr>
                <w:b/>
                <w:szCs w:val="24"/>
                <w:lang w:val="en-US" w:eastAsia="zh-CN"/>
              </w:rPr>
              <w:t>NCT</w:t>
            </w:r>
            <w:r w:rsidR="00740878" w:rsidRPr="00F16A5E">
              <w:rPr>
                <w:b/>
                <w:szCs w:val="24"/>
                <w:lang w:val="en-US" w:eastAsia="zh-CN"/>
              </w:rPr>
              <w:t xml:space="preserve"> No.</w:t>
            </w:r>
          </w:p>
        </w:tc>
        <w:tc>
          <w:tcPr>
            <w:tcW w:w="863" w:type="pct"/>
            <w:tcBorders>
              <w:top w:val="single" w:sz="4" w:space="0" w:color="auto"/>
              <w:bottom w:val="single" w:sz="4" w:space="0" w:color="auto"/>
            </w:tcBorders>
            <w:shd w:val="clear" w:color="auto" w:fill="E7E6E6" w:themeFill="background2"/>
            <w:vAlign w:val="center"/>
          </w:tcPr>
          <w:p w14:paraId="0AF2B5B2" w14:textId="73841258" w:rsidR="006E18E9" w:rsidRPr="00F16A5E" w:rsidRDefault="00740878" w:rsidP="00880C9B">
            <w:pPr>
              <w:pStyle w:val="ad"/>
              <w:spacing w:line="300" w:lineRule="exact"/>
              <w:ind w:firstLine="0"/>
              <w:jc w:val="center"/>
              <w:rPr>
                <w:b/>
                <w:szCs w:val="24"/>
                <w:lang w:val="en-US" w:eastAsia="zh-CN"/>
              </w:rPr>
            </w:pPr>
            <w:r w:rsidRPr="00F16A5E">
              <w:rPr>
                <w:b/>
                <w:szCs w:val="24"/>
                <w:lang w:val="en-US" w:eastAsia="zh-CN"/>
              </w:rPr>
              <w:t>Study No.</w:t>
            </w:r>
          </w:p>
        </w:tc>
        <w:tc>
          <w:tcPr>
            <w:tcW w:w="1811" w:type="pct"/>
            <w:tcBorders>
              <w:top w:val="single" w:sz="4" w:space="0" w:color="auto"/>
              <w:bottom w:val="single" w:sz="4" w:space="0" w:color="auto"/>
            </w:tcBorders>
            <w:shd w:val="clear" w:color="auto" w:fill="E7E6E6" w:themeFill="background2"/>
            <w:vAlign w:val="center"/>
          </w:tcPr>
          <w:p w14:paraId="1C312171" w14:textId="318910FB" w:rsidR="006E18E9" w:rsidRPr="00F16A5E" w:rsidRDefault="00740878" w:rsidP="00880C9B">
            <w:pPr>
              <w:pStyle w:val="ad"/>
              <w:spacing w:line="300" w:lineRule="exact"/>
              <w:ind w:firstLine="0"/>
              <w:jc w:val="center"/>
              <w:rPr>
                <w:b/>
                <w:szCs w:val="24"/>
                <w:lang w:val="en-US" w:eastAsia="zh-CN"/>
              </w:rPr>
            </w:pPr>
            <w:r w:rsidRPr="00F16A5E">
              <w:rPr>
                <w:b/>
                <w:szCs w:val="24"/>
                <w:lang w:val="en-US" w:eastAsia="zh-CN"/>
              </w:rPr>
              <w:t>Company</w:t>
            </w:r>
          </w:p>
        </w:tc>
        <w:tc>
          <w:tcPr>
            <w:tcW w:w="659" w:type="pct"/>
            <w:tcBorders>
              <w:top w:val="single" w:sz="4" w:space="0" w:color="auto"/>
              <w:bottom w:val="single" w:sz="4" w:space="0" w:color="auto"/>
            </w:tcBorders>
            <w:shd w:val="clear" w:color="auto" w:fill="E7E6E6" w:themeFill="background2"/>
            <w:vAlign w:val="center"/>
          </w:tcPr>
          <w:p w14:paraId="23DCB33C" w14:textId="64E97AA0" w:rsidR="006E18E9" w:rsidRPr="00F16A5E" w:rsidRDefault="00740878" w:rsidP="00880C9B">
            <w:pPr>
              <w:pStyle w:val="ad"/>
              <w:spacing w:line="300" w:lineRule="exact"/>
              <w:ind w:firstLine="0"/>
              <w:jc w:val="center"/>
              <w:rPr>
                <w:b/>
                <w:szCs w:val="24"/>
                <w:lang w:val="en-US" w:eastAsia="zh-CN"/>
              </w:rPr>
            </w:pPr>
            <w:r w:rsidRPr="00F16A5E">
              <w:rPr>
                <w:b/>
                <w:szCs w:val="24"/>
                <w:lang w:val="en-US" w:eastAsia="zh-CN"/>
              </w:rPr>
              <w:t>Status</w:t>
            </w:r>
          </w:p>
        </w:tc>
      </w:tr>
      <w:tr w:rsidR="006E18E9" w:rsidRPr="00F16A5E" w14:paraId="5FDE9341" w14:textId="77777777" w:rsidTr="00740878">
        <w:trPr>
          <w:trHeight w:val="397"/>
        </w:trPr>
        <w:tc>
          <w:tcPr>
            <w:tcW w:w="572" w:type="pct"/>
            <w:vMerge w:val="restart"/>
            <w:tcBorders>
              <w:top w:val="single" w:sz="4" w:space="0" w:color="auto"/>
            </w:tcBorders>
            <w:vAlign w:val="center"/>
          </w:tcPr>
          <w:p w14:paraId="52E4421D" w14:textId="72EB9D78" w:rsidR="006E18E9" w:rsidRPr="00F16A5E" w:rsidRDefault="00740878" w:rsidP="00880C9B">
            <w:pPr>
              <w:pStyle w:val="ad"/>
              <w:spacing w:line="300" w:lineRule="exact"/>
              <w:ind w:firstLine="0"/>
              <w:jc w:val="center"/>
              <w:rPr>
                <w:bCs/>
                <w:szCs w:val="24"/>
                <w:lang w:val="en-US" w:eastAsia="zh-CN"/>
              </w:rPr>
            </w:pPr>
            <w:r w:rsidRPr="00F16A5E">
              <w:rPr>
                <w:bCs/>
                <w:szCs w:val="24"/>
                <w:lang w:val="en-US" w:eastAsia="zh-CN"/>
              </w:rPr>
              <w:t xml:space="preserve">Phase </w:t>
            </w:r>
            <w:r w:rsidR="006E18E9" w:rsidRPr="00F16A5E">
              <w:rPr>
                <w:bCs/>
                <w:szCs w:val="24"/>
                <w:lang w:val="en-US" w:eastAsia="zh-CN"/>
              </w:rPr>
              <w:t>Ⅰ</w:t>
            </w:r>
          </w:p>
        </w:tc>
        <w:tc>
          <w:tcPr>
            <w:tcW w:w="1096" w:type="pct"/>
            <w:tcBorders>
              <w:top w:val="single" w:sz="4" w:space="0" w:color="auto"/>
            </w:tcBorders>
            <w:vAlign w:val="center"/>
          </w:tcPr>
          <w:p w14:paraId="19C93691" w14:textId="77777777" w:rsidR="006E18E9" w:rsidRPr="00F16A5E" w:rsidRDefault="006E18E9" w:rsidP="00880C9B">
            <w:pPr>
              <w:pStyle w:val="ad"/>
              <w:spacing w:line="300" w:lineRule="exact"/>
              <w:ind w:firstLine="0"/>
              <w:rPr>
                <w:bCs/>
                <w:szCs w:val="24"/>
                <w:lang w:val="en-US" w:eastAsia="zh-CN"/>
              </w:rPr>
            </w:pPr>
            <w:r w:rsidRPr="00F16A5E">
              <w:rPr>
                <w:bCs/>
                <w:szCs w:val="24"/>
                <w:lang w:val="en-US" w:eastAsia="zh-CN"/>
              </w:rPr>
              <w:t>NCT02537028</w:t>
            </w:r>
          </w:p>
        </w:tc>
        <w:tc>
          <w:tcPr>
            <w:tcW w:w="863" w:type="pct"/>
            <w:tcBorders>
              <w:top w:val="single" w:sz="4" w:space="0" w:color="auto"/>
            </w:tcBorders>
            <w:vAlign w:val="center"/>
          </w:tcPr>
          <w:p w14:paraId="573F1EF5" w14:textId="77777777" w:rsidR="006E18E9" w:rsidRPr="00F16A5E" w:rsidRDefault="006E18E9" w:rsidP="00880C9B">
            <w:pPr>
              <w:pStyle w:val="ad"/>
              <w:spacing w:line="300" w:lineRule="exact"/>
              <w:ind w:firstLine="0"/>
              <w:rPr>
                <w:bCs/>
                <w:szCs w:val="24"/>
                <w:lang w:val="en-US" w:eastAsia="zh-CN"/>
              </w:rPr>
            </w:pPr>
            <w:r w:rsidRPr="00F16A5E">
              <w:rPr>
                <w:bCs/>
                <w:szCs w:val="24"/>
                <w:lang w:val="en-US" w:eastAsia="zh-CN"/>
              </w:rPr>
              <w:t>M-2951</w:t>
            </w:r>
          </w:p>
        </w:tc>
        <w:tc>
          <w:tcPr>
            <w:tcW w:w="1811" w:type="pct"/>
            <w:tcBorders>
              <w:top w:val="single" w:sz="4" w:space="0" w:color="auto"/>
            </w:tcBorders>
            <w:vAlign w:val="center"/>
          </w:tcPr>
          <w:p w14:paraId="2B938561" w14:textId="77777777" w:rsidR="006E18E9" w:rsidRPr="00F16A5E" w:rsidRDefault="006E18E9" w:rsidP="00880C9B">
            <w:pPr>
              <w:pStyle w:val="ad"/>
              <w:spacing w:line="300" w:lineRule="exact"/>
              <w:ind w:firstLine="0"/>
              <w:rPr>
                <w:bCs/>
                <w:szCs w:val="24"/>
                <w:lang w:val="en-US" w:eastAsia="zh-CN"/>
              </w:rPr>
            </w:pPr>
            <w:r w:rsidRPr="00F16A5E">
              <w:rPr>
                <w:bCs/>
                <w:szCs w:val="24"/>
                <w:lang w:val="en-US" w:eastAsia="zh-CN"/>
              </w:rPr>
              <w:t xml:space="preserve">EMD </w:t>
            </w:r>
            <w:proofErr w:type="spellStart"/>
            <w:r w:rsidRPr="00F16A5E">
              <w:rPr>
                <w:bCs/>
                <w:szCs w:val="24"/>
                <w:lang w:val="en-US" w:eastAsia="zh-CN"/>
              </w:rPr>
              <w:t>serono</w:t>
            </w:r>
            <w:proofErr w:type="spellEnd"/>
            <w:r w:rsidRPr="00F16A5E">
              <w:rPr>
                <w:bCs/>
                <w:szCs w:val="24"/>
                <w:lang w:val="en-US" w:eastAsia="zh-CN"/>
              </w:rPr>
              <w:t xml:space="preserve"> / Merck KGaA</w:t>
            </w:r>
          </w:p>
        </w:tc>
        <w:tc>
          <w:tcPr>
            <w:tcW w:w="659" w:type="pct"/>
            <w:tcBorders>
              <w:top w:val="single" w:sz="4" w:space="0" w:color="auto"/>
            </w:tcBorders>
            <w:vAlign w:val="center"/>
          </w:tcPr>
          <w:p w14:paraId="5570B50D" w14:textId="77781941" w:rsidR="006E18E9" w:rsidRPr="00F16A5E" w:rsidRDefault="00740878" w:rsidP="00880C9B">
            <w:pPr>
              <w:pStyle w:val="ad"/>
              <w:spacing w:line="300" w:lineRule="exact"/>
              <w:ind w:firstLine="0"/>
              <w:rPr>
                <w:bCs/>
                <w:szCs w:val="24"/>
                <w:lang w:val="en-US" w:eastAsia="zh-CN"/>
              </w:rPr>
            </w:pPr>
            <w:r w:rsidRPr="00F16A5E">
              <w:rPr>
                <w:bCs/>
                <w:szCs w:val="24"/>
                <w:lang w:val="en-US" w:eastAsia="zh-CN"/>
              </w:rPr>
              <w:t>Completed</w:t>
            </w:r>
          </w:p>
        </w:tc>
      </w:tr>
      <w:tr w:rsidR="006E18E9" w:rsidRPr="00F16A5E" w14:paraId="34D93740" w14:textId="77777777" w:rsidTr="00740878">
        <w:trPr>
          <w:trHeight w:val="397"/>
        </w:trPr>
        <w:tc>
          <w:tcPr>
            <w:tcW w:w="572" w:type="pct"/>
            <w:vMerge/>
            <w:vAlign w:val="center"/>
          </w:tcPr>
          <w:p w14:paraId="78C41527" w14:textId="77777777" w:rsidR="006E18E9" w:rsidRPr="00F16A5E" w:rsidRDefault="006E18E9" w:rsidP="00880C9B">
            <w:pPr>
              <w:pStyle w:val="ad"/>
              <w:spacing w:line="300" w:lineRule="exact"/>
              <w:ind w:firstLine="0"/>
              <w:jc w:val="center"/>
              <w:rPr>
                <w:bCs/>
                <w:szCs w:val="24"/>
                <w:lang w:val="en-US" w:eastAsia="zh-CN"/>
              </w:rPr>
            </w:pPr>
          </w:p>
        </w:tc>
        <w:tc>
          <w:tcPr>
            <w:tcW w:w="1096" w:type="pct"/>
            <w:vAlign w:val="center"/>
          </w:tcPr>
          <w:p w14:paraId="156C72A1" w14:textId="77777777" w:rsidR="006E18E9" w:rsidRPr="00F16A5E" w:rsidRDefault="006E18E9" w:rsidP="00880C9B">
            <w:pPr>
              <w:pStyle w:val="ad"/>
              <w:spacing w:line="300" w:lineRule="exact"/>
              <w:ind w:firstLine="0"/>
              <w:rPr>
                <w:bCs/>
                <w:szCs w:val="24"/>
                <w:lang w:val="en-US" w:eastAsia="zh-CN"/>
              </w:rPr>
            </w:pPr>
            <w:r w:rsidRPr="00F16A5E">
              <w:rPr>
                <w:bCs/>
                <w:szCs w:val="24"/>
                <w:lang w:val="en-US" w:eastAsia="zh-CN"/>
              </w:rPr>
              <w:t>NCT03878303</w:t>
            </w:r>
          </w:p>
        </w:tc>
        <w:tc>
          <w:tcPr>
            <w:tcW w:w="863" w:type="pct"/>
            <w:vAlign w:val="center"/>
          </w:tcPr>
          <w:p w14:paraId="7C764EE5" w14:textId="77777777" w:rsidR="006E18E9" w:rsidRPr="00F16A5E" w:rsidRDefault="006E18E9" w:rsidP="00880C9B">
            <w:pPr>
              <w:pStyle w:val="ad"/>
              <w:spacing w:line="300" w:lineRule="exact"/>
              <w:ind w:firstLine="0"/>
              <w:rPr>
                <w:bCs/>
                <w:szCs w:val="24"/>
                <w:lang w:val="en-US" w:eastAsia="zh-CN"/>
              </w:rPr>
            </w:pPr>
            <w:r w:rsidRPr="00F16A5E">
              <w:rPr>
                <w:bCs/>
                <w:szCs w:val="24"/>
                <w:lang w:val="en-US" w:eastAsia="zh-CN"/>
              </w:rPr>
              <w:t>AC-0058TA</w:t>
            </w:r>
          </w:p>
        </w:tc>
        <w:tc>
          <w:tcPr>
            <w:tcW w:w="1811" w:type="pct"/>
            <w:vAlign w:val="center"/>
          </w:tcPr>
          <w:p w14:paraId="61BDA12C" w14:textId="77777777" w:rsidR="006E18E9" w:rsidRPr="00F16A5E" w:rsidRDefault="006E18E9" w:rsidP="00880C9B">
            <w:pPr>
              <w:pStyle w:val="ad"/>
              <w:spacing w:line="300" w:lineRule="exact"/>
              <w:ind w:firstLine="0"/>
              <w:rPr>
                <w:bCs/>
                <w:szCs w:val="24"/>
                <w:lang w:val="en-US" w:eastAsia="zh-CN"/>
              </w:rPr>
            </w:pPr>
            <w:r w:rsidRPr="00F16A5E">
              <w:rPr>
                <w:bCs/>
                <w:szCs w:val="24"/>
                <w:lang w:val="en-US" w:eastAsia="zh-CN"/>
              </w:rPr>
              <w:t>ACEA</w:t>
            </w:r>
          </w:p>
        </w:tc>
        <w:tc>
          <w:tcPr>
            <w:tcW w:w="659" w:type="pct"/>
            <w:vAlign w:val="center"/>
          </w:tcPr>
          <w:p w14:paraId="42DD0A19" w14:textId="7A33CD20" w:rsidR="006E18E9" w:rsidRPr="00F16A5E" w:rsidRDefault="00740878" w:rsidP="00880C9B">
            <w:pPr>
              <w:pStyle w:val="ad"/>
              <w:spacing w:line="300" w:lineRule="exact"/>
              <w:ind w:firstLine="0"/>
              <w:rPr>
                <w:bCs/>
                <w:szCs w:val="24"/>
                <w:lang w:val="en-US" w:eastAsia="zh-CN"/>
              </w:rPr>
            </w:pPr>
            <w:r w:rsidRPr="00F16A5E">
              <w:rPr>
                <w:bCs/>
                <w:szCs w:val="24"/>
                <w:lang w:val="en-US" w:eastAsia="zh-CN"/>
              </w:rPr>
              <w:t>Ongoing</w:t>
            </w:r>
          </w:p>
        </w:tc>
      </w:tr>
      <w:tr w:rsidR="00740878" w:rsidRPr="00F16A5E" w14:paraId="728CC1B9" w14:textId="77777777" w:rsidTr="00740878">
        <w:trPr>
          <w:trHeight w:val="397"/>
        </w:trPr>
        <w:tc>
          <w:tcPr>
            <w:tcW w:w="572" w:type="pct"/>
            <w:vMerge w:val="restart"/>
            <w:vAlign w:val="center"/>
          </w:tcPr>
          <w:p w14:paraId="0C2967BF" w14:textId="0CADD1EF" w:rsidR="00740878" w:rsidRPr="00F16A5E" w:rsidRDefault="00740878" w:rsidP="00740878">
            <w:pPr>
              <w:pStyle w:val="ad"/>
              <w:spacing w:line="300" w:lineRule="exact"/>
              <w:ind w:firstLine="0"/>
              <w:jc w:val="center"/>
              <w:rPr>
                <w:bCs/>
                <w:szCs w:val="24"/>
                <w:lang w:val="en-US" w:eastAsia="zh-CN"/>
              </w:rPr>
            </w:pPr>
            <w:r w:rsidRPr="00F16A5E">
              <w:rPr>
                <w:bCs/>
                <w:szCs w:val="24"/>
                <w:lang w:val="en-US" w:eastAsia="zh-CN"/>
              </w:rPr>
              <w:t>Phase Ⅱ</w:t>
            </w:r>
          </w:p>
        </w:tc>
        <w:tc>
          <w:tcPr>
            <w:tcW w:w="1096" w:type="pct"/>
            <w:vAlign w:val="center"/>
          </w:tcPr>
          <w:p w14:paraId="2B7DC788" w14:textId="77777777" w:rsidR="00740878" w:rsidRPr="00F16A5E" w:rsidRDefault="00740878" w:rsidP="00740878">
            <w:pPr>
              <w:pStyle w:val="ad"/>
              <w:spacing w:line="300" w:lineRule="exact"/>
              <w:ind w:firstLine="0"/>
              <w:rPr>
                <w:bCs/>
                <w:szCs w:val="24"/>
                <w:lang w:val="en-US" w:eastAsia="zh-CN"/>
              </w:rPr>
            </w:pPr>
            <w:r w:rsidRPr="00F16A5E">
              <w:rPr>
                <w:bCs/>
                <w:szCs w:val="24"/>
                <w:lang w:val="en-US" w:eastAsia="zh-CN"/>
              </w:rPr>
              <w:t>NCT02908100</w:t>
            </w:r>
          </w:p>
        </w:tc>
        <w:tc>
          <w:tcPr>
            <w:tcW w:w="863" w:type="pct"/>
            <w:vAlign w:val="center"/>
          </w:tcPr>
          <w:p w14:paraId="135C6847" w14:textId="77777777" w:rsidR="00740878" w:rsidRPr="00F16A5E" w:rsidRDefault="00740878" w:rsidP="00740878">
            <w:pPr>
              <w:pStyle w:val="ad"/>
              <w:spacing w:line="300" w:lineRule="exact"/>
              <w:ind w:firstLine="0"/>
              <w:rPr>
                <w:bCs/>
                <w:szCs w:val="24"/>
                <w:lang w:val="en-US" w:eastAsia="zh-CN"/>
              </w:rPr>
            </w:pPr>
            <w:r w:rsidRPr="00F16A5E">
              <w:rPr>
                <w:bCs/>
                <w:szCs w:val="24"/>
                <w:lang w:val="en-US" w:eastAsia="zh-CN"/>
              </w:rPr>
              <w:t>GDC-0853</w:t>
            </w:r>
          </w:p>
        </w:tc>
        <w:tc>
          <w:tcPr>
            <w:tcW w:w="1811" w:type="pct"/>
            <w:vAlign w:val="center"/>
          </w:tcPr>
          <w:p w14:paraId="5B19244A" w14:textId="77777777" w:rsidR="00740878" w:rsidRPr="00F16A5E" w:rsidRDefault="00740878" w:rsidP="00740878">
            <w:pPr>
              <w:pStyle w:val="ad"/>
              <w:spacing w:line="300" w:lineRule="exact"/>
              <w:ind w:firstLine="0"/>
              <w:rPr>
                <w:bCs/>
                <w:szCs w:val="24"/>
                <w:lang w:val="en-US" w:eastAsia="zh-CN"/>
              </w:rPr>
            </w:pPr>
            <w:r w:rsidRPr="00F16A5E">
              <w:rPr>
                <w:bCs/>
                <w:szCs w:val="24"/>
                <w:lang w:val="en-US" w:eastAsia="zh-CN"/>
              </w:rPr>
              <w:t>Genentech</w:t>
            </w:r>
          </w:p>
        </w:tc>
        <w:tc>
          <w:tcPr>
            <w:tcW w:w="659" w:type="pct"/>
            <w:vAlign w:val="center"/>
          </w:tcPr>
          <w:p w14:paraId="6E920312" w14:textId="0E756B8F" w:rsidR="00740878" w:rsidRPr="00F16A5E" w:rsidRDefault="00740878" w:rsidP="00740878">
            <w:pPr>
              <w:pStyle w:val="ad"/>
              <w:spacing w:line="300" w:lineRule="exact"/>
              <w:ind w:firstLine="0"/>
              <w:rPr>
                <w:bCs/>
                <w:szCs w:val="24"/>
                <w:lang w:val="en-US" w:eastAsia="zh-CN"/>
              </w:rPr>
            </w:pPr>
            <w:r w:rsidRPr="00F16A5E">
              <w:rPr>
                <w:bCs/>
                <w:szCs w:val="24"/>
                <w:lang w:val="en-US" w:eastAsia="zh-CN"/>
              </w:rPr>
              <w:t>Ongoing</w:t>
            </w:r>
          </w:p>
        </w:tc>
      </w:tr>
      <w:tr w:rsidR="00740878" w:rsidRPr="00F16A5E" w14:paraId="0C27A2A5" w14:textId="77777777" w:rsidTr="00740878">
        <w:trPr>
          <w:trHeight w:val="397"/>
        </w:trPr>
        <w:tc>
          <w:tcPr>
            <w:tcW w:w="572" w:type="pct"/>
            <w:vMerge/>
            <w:tcBorders>
              <w:bottom w:val="single" w:sz="4" w:space="0" w:color="auto"/>
            </w:tcBorders>
            <w:vAlign w:val="center"/>
          </w:tcPr>
          <w:p w14:paraId="1CF0BD89" w14:textId="77777777" w:rsidR="00740878" w:rsidRPr="00F16A5E" w:rsidRDefault="00740878" w:rsidP="00740878">
            <w:pPr>
              <w:pStyle w:val="ad"/>
              <w:spacing w:line="300" w:lineRule="exact"/>
              <w:ind w:firstLine="0"/>
              <w:jc w:val="center"/>
              <w:rPr>
                <w:bCs/>
                <w:szCs w:val="24"/>
                <w:lang w:val="en-US" w:eastAsia="zh-CN"/>
              </w:rPr>
            </w:pPr>
          </w:p>
        </w:tc>
        <w:tc>
          <w:tcPr>
            <w:tcW w:w="1096" w:type="pct"/>
            <w:tcBorders>
              <w:bottom w:val="single" w:sz="4" w:space="0" w:color="auto"/>
            </w:tcBorders>
            <w:vAlign w:val="center"/>
          </w:tcPr>
          <w:p w14:paraId="5AA3F6D4" w14:textId="77777777" w:rsidR="00740878" w:rsidRPr="00F16A5E" w:rsidRDefault="00740878" w:rsidP="00740878">
            <w:pPr>
              <w:pStyle w:val="ad"/>
              <w:spacing w:line="300" w:lineRule="exact"/>
              <w:ind w:firstLine="0"/>
              <w:rPr>
                <w:bCs/>
                <w:szCs w:val="24"/>
                <w:lang w:val="en-US" w:eastAsia="zh-CN"/>
              </w:rPr>
            </w:pPr>
            <w:r w:rsidRPr="00F16A5E">
              <w:rPr>
                <w:bCs/>
                <w:szCs w:val="24"/>
                <w:lang w:val="en-US" w:eastAsia="zh-CN"/>
              </w:rPr>
              <w:t>NCT02975336</w:t>
            </w:r>
          </w:p>
        </w:tc>
        <w:tc>
          <w:tcPr>
            <w:tcW w:w="863" w:type="pct"/>
            <w:tcBorders>
              <w:bottom w:val="single" w:sz="4" w:space="0" w:color="auto"/>
            </w:tcBorders>
            <w:vAlign w:val="center"/>
          </w:tcPr>
          <w:p w14:paraId="5F40F67C" w14:textId="77777777" w:rsidR="00740878" w:rsidRPr="00F16A5E" w:rsidRDefault="00740878" w:rsidP="00740878">
            <w:pPr>
              <w:pStyle w:val="ad"/>
              <w:spacing w:line="300" w:lineRule="exact"/>
              <w:ind w:firstLine="0"/>
              <w:rPr>
                <w:bCs/>
                <w:szCs w:val="24"/>
                <w:lang w:val="en-US" w:eastAsia="zh-CN"/>
              </w:rPr>
            </w:pPr>
            <w:r w:rsidRPr="00F16A5E">
              <w:rPr>
                <w:bCs/>
                <w:szCs w:val="24"/>
                <w:lang w:val="en-US" w:eastAsia="zh-CN"/>
              </w:rPr>
              <w:t>M-2951</w:t>
            </w:r>
          </w:p>
        </w:tc>
        <w:tc>
          <w:tcPr>
            <w:tcW w:w="1811" w:type="pct"/>
            <w:tcBorders>
              <w:bottom w:val="single" w:sz="4" w:space="0" w:color="auto"/>
            </w:tcBorders>
            <w:vAlign w:val="center"/>
          </w:tcPr>
          <w:p w14:paraId="5A3CDA39" w14:textId="77777777" w:rsidR="00740878" w:rsidRPr="00F16A5E" w:rsidRDefault="00740878" w:rsidP="00740878">
            <w:pPr>
              <w:pStyle w:val="ad"/>
              <w:spacing w:line="300" w:lineRule="exact"/>
              <w:ind w:firstLine="0"/>
              <w:rPr>
                <w:bCs/>
                <w:szCs w:val="24"/>
                <w:lang w:val="en-US" w:eastAsia="zh-CN"/>
              </w:rPr>
            </w:pPr>
            <w:r w:rsidRPr="00F16A5E">
              <w:rPr>
                <w:bCs/>
                <w:szCs w:val="24"/>
                <w:lang w:val="en-US" w:eastAsia="zh-CN"/>
              </w:rPr>
              <w:t xml:space="preserve">EMD </w:t>
            </w:r>
            <w:proofErr w:type="spellStart"/>
            <w:r w:rsidRPr="00F16A5E">
              <w:rPr>
                <w:bCs/>
                <w:szCs w:val="24"/>
                <w:lang w:val="en-US" w:eastAsia="zh-CN"/>
              </w:rPr>
              <w:t>serono</w:t>
            </w:r>
            <w:proofErr w:type="spellEnd"/>
            <w:r w:rsidRPr="00F16A5E">
              <w:rPr>
                <w:bCs/>
                <w:szCs w:val="24"/>
                <w:lang w:val="en-US" w:eastAsia="zh-CN"/>
              </w:rPr>
              <w:t xml:space="preserve"> / Merck KGaA</w:t>
            </w:r>
          </w:p>
        </w:tc>
        <w:tc>
          <w:tcPr>
            <w:tcW w:w="659" w:type="pct"/>
            <w:vAlign w:val="center"/>
          </w:tcPr>
          <w:p w14:paraId="6B8C9B1D" w14:textId="64A4FDC5" w:rsidR="00740878" w:rsidRPr="00F16A5E" w:rsidRDefault="00740878" w:rsidP="00740878">
            <w:pPr>
              <w:pStyle w:val="ad"/>
              <w:spacing w:line="300" w:lineRule="exact"/>
              <w:ind w:firstLine="0"/>
              <w:rPr>
                <w:bCs/>
                <w:szCs w:val="24"/>
                <w:lang w:val="en-US" w:eastAsia="zh-CN"/>
              </w:rPr>
            </w:pPr>
            <w:r w:rsidRPr="00F16A5E">
              <w:rPr>
                <w:bCs/>
                <w:szCs w:val="24"/>
                <w:lang w:val="en-US" w:eastAsia="zh-CN"/>
              </w:rPr>
              <w:t>Ongoing</w:t>
            </w:r>
          </w:p>
        </w:tc>
      </w:tr>
    </w:tbl>
    <w:p w14:paraId="67975833" w14:textId="77777777" w:rsidR="006E18E9" w:rsidRPr="00F16A5E" w:rsidRDefault="006E18E9" w:rsidP="006E18E9">
      <w:pPr>
        <w:pStyle w:val="ad"/>
        <w:ind w:firstLine="0"/>
        <w:rPr>
          <w:bCs/>
          <w:kern w:val="0"/>
          <w:szCs w:val="24"/>
          <w:lang w:val="en-US" w:eastAsia="zh-CN"/>
        </w:rPr>
      </w:pPr>
    </w:p>
    <w:p w14:paraId="341F8893" w14:textId="3790A788" w:rsidR="006E18E9" w:rsidRPr="00F16A5E" w:rsidRDefault="006E18E9" w:rsidP="006E18E9">
      <w:pPr>
        <w:pStyle w:val="ad"/>
        <w:keepNext/>
        <w:ind w:firstLine="0"/>
        <w:outlineLvl w:val="3"/>
        <w:rPr>
          <w:b/>
          <w:bCs/>
          <w:kern w:val="0"/>
          <w:szCs w:val="24"/>
          <w:lang w:val="en-US" w:eastAsia="zh-CN"/>
        </w:rPr>
      </w:pPr>
      <w:r w:rsidRPr="00F16A5E">
        <w:rPr>
          <w:b/>
          <w:bCs/>
          <w:kern w:val="0"/>
          <w:szCs w:val="24"/>
          <w:lang w:val="en-US" w:eastAsia="zh-CN"/>
        </w:rPr>
        <w:t>1.2.2.1</w:t>
      </w:r>
      <w:r w:rsidR="00FC2D21" w:rsidRPr="00F16A5E">
        <w:rPr>
          <w:b/>
          <w:bCs/>
          <w:kern w:val="0"/>
          <w:szCs w:val="24"/>
          <w:lang w:val="en-US" w:eastAsia="zh-CN"/>
        </w:rPr>
        <w:tab/>
        <w:t>Clinical Safety Findings</w:t>
      </w:r>
    </w:p>
    <w:p w14:paraId="4699988D" w14:textId="1B1D00B9" w:rsidR="00FC2D21" w:rsidRPr="00F16A5E" w:rsidRDefault="00FC2D21" w:rsidP="00FC2D21">
      <w:pPr>
        <w:pStyle w:val="ad"/>
        <w:spacing w:beforeLines="50" w:before="156" w:line="300" w:lineRule="auto"/>
        <w:ind w:firstLine="0"/>
        <w:rPr>
          <w:bCs/>
          <w:kern w:val="0"/>
          <w:szCs w:val="24"/>
          <w:lang w:val="en-US" w:eastAsia="zh-CN"/>
        </w:rPr>
      </w:pPr>
      <w:r w:rsidRPr="00F16A5E">
        <w:rPr>
          <w:bCs/>
          <w:kern w:val="0"/>
          <w:szCs w:val="24"/>
          <w:lang w:val="en-US" w:eastAsia="zh-CN"/>
        </w:rPr>
        <w:t>Study ICP-CL-001 showed that all TEAEs that occurred with orelabrutinib during the study were mild or moderate in severity (only 1 case of moderate constipation) and recovered before the end of the study. During the study period, no DLT occurred and MTD was not reached. No serious TEAEs, TEAEs leading to withdrawal, or TEAEs leading to death occurred during the study. No safety issues were observed in vital signs, physical examination, or electrocardiography assessments.</w:t>
      </w:r>
    </w:p>
    <w:p w14:paraId="3C576B8C" w14:textId="1D8FD8EE" w:rsidR="00FC2D21" w:rsidRPr="00F16A5E" w:rsidRDefault="00FC2D21" w:rsidP="00FC2D21">
      <w:pPr>
        <w:pStyle w:val="ad"/>
        <w:spacing w:beforeLines="50" w:before="156" w:line="300" w:lineRule="auto"/>
        <w:ind w:firstLine="0"/>
        <w:rPr>
          <w:bCs/>
          <w:kern w:val="0"/>
          <w:szCs w:val="24"/>
          <w:lang w:val="en-US" w:eastAsia="zh-CN"/>
        </w:rPr>
      </w:pPr>
      <w:r w:rsidRPr="00F16A5E">
        <w:rPr>
          <w:bCs/>
          <w:kern w:val="0"/>
          <w:szCs w:val="24"/>
          <w:lang w:val="en-US" w:eastAsia="zh-CN"/>
        </w:rPr>
        <w:t xml:space="preserve">In the Study ICP-CL-00110, two subjects experienced adverse events, namely: blood bilirubin increased (Grade 2, 1 case), blood bilirubin unconjugated increased (Grade 2, 1 case). Both of these adverse events were abnormalities in laboratory tests (blood chemistry), and both recovered spontaneously without intervention. No drug-related </w:t>
      </w:r>
      <w:proofErr w:type="gramStart"/>
      <w:r w:rsidRPr="00F16A5E">
        <w:rPr>
          <w:bCs/>
          <w:kern w:val="0"/>
          <w:szCs w:val="24"/>
          <w:lang w:val="en-US" w:eastAsia="zh-CN"/>
        </w:rPr>
        <w:t>TEAEs,  Grade</w:t>
      </w:r>
      <w:proofErr w:type="gramEnd"/>
      <w:r w:rsidRPr="00F16A5E">
        <w:rPr>
          <w:bCs/>
          <w:kern w:val="0"/>
          <w:szCs w:val="24"/>
          <w:lang w:val="en-US" w:eastAsia="zh-CN"/>
        </w:rPr>
        <w:t xml:space="preserve"> ≥ 3 TEAEs, TEAEs leading to discontinuation, or serious TEAEs occurred during the study. No safety issues were noted in vital signs, physical examination, or electrocardiography assessments.</w:t>
      </w:r>
    </w:p>
    <w:p w14:paraId="3281F4A9" w14:textId="43DE0B17" w:rsidR="00FC2D21" w:rsidRPr="00F16A5E" w:rsidRDefault="00FC2D21" w:rsidP="00FC2D21">
      <w:pPr>
        <w:pStyle w:val="ad"/>
        <w:spacing w:beforeLines="50" w:before="156" w:line="300" w:lineRule="auto"/>
        <w:ind w:firstLine="0"/>
        <w:rPr>
          <w:bCs/>
          <w:kern w:val="0"/>
          <w:szCs w:val="24"/>
          <w:lang w:val="en-US" w:eastAsia="zh-CN"/>
        </w:rPr>
      </w:pPr>
      <w:r w:rsidRPr="00F16A5E">
        <w:rPr>
          <w:bCs/>
          <w:kern w:val="0"/>
          <w:szCs w:val="24"/>
          <w:lang w:val="en-US" w:eastAsia="zh-CN"/>
        </w:rPr>
        <w:t>In the 5 clinical trials of orelabrutinib in the treatment of B-cell lymphoma, as of the date of data update (see the investigator’s brochure for details), a total of 266 patients had received orelabrutinib at a dose ≥150 mg/day, with a median treatment duration of 11.0 months. The safety results showed that most of the TEAEs and TRAEs in orelabrutinib-treated patients was CTCAE Grade 1 or 2 in severity. The major adverse events were basically similar to those reported by other BTK inhibitors. For the occurrence of TEAEs, Grade ≥3 TEAEs, serious adverse events, etc. as well as their specific data, please refer to the investigator's brochure.</w:t>
      </w:r>
    </w:p>
    <w:p w14:paraId="385C5071" w14:textId="09640954" w:rsidR="00FC2D21" w:rsidRPr="00F16A5E" w:rsidRDefault="00FC2D21" w:rsidP="00FC2D21">
      <w:pPr>
        <w:pStyle w:val="ad"/>
        <w:spacing w:beforeLines="50" w:before="156" w:line="300" w:lineRule="auto"/>
        <w:ind w:firstLine="0"/>
        <w:rPr>
          <w:bCs/>
          <w:kern w:val="0"/>
          <w:szCs w:val="24"/>
          <w:lang w:val="en-US" w:eastAsia="zh-CN"/>
        </w:rPr>
      </w:pPr>
      <w:r w:rsidRPr="00F16A5E">
        <w:rPr>
          <w:bCs/>
          <w:kern w:val="0"/>
          <w:szCs w:val="24"/>
          <w:lang w:val="en-US" w:eastAsia="zh-CN"/>
        </w:rPr>
        <w:lastRenderedPageBreak/>
        <w:t>The Phase I study of M-2951 developed by Merck for the treatment of SLE has been completed, and the Phase II study is in progress, and no results have been published yet. However, a phase II study (NCT02784106) of M-2951 in the treatment of rheumatoid arthritis (Rheumatoid Arthritis, RA) has published some clinical study findings. The study was designed as a placebo-controlled study and divided into two periods: a 12-week double-blind period and a 26-week open-label period. A total of 65 subjects had completed the study. In the double-blind period, the adverse event rates in the study group and the placebo control group were 51.5% and 40.6%, respectively, and in the open-label period, they were 47.6% and 44.4%, respectively. During the entire study, only one subject (double-blind phase) experienced two SAEs: central vertigo (3.0%) and vestibular disorder (3.0%).</w:t>
      </w:r>
    </w:p>
    <w:p w14:paraId="6C10321B" w14:textId="53F7FF46" w:rsidR="006E18E9" w:rsidRPr="00F16A5E" w:rsidRDefault="006E18E9" w:rsidP="006E18E9">
      <w:pPr>
        <w:pStyle w:val="ad"/>
        <w:ind w:firstLine="0"/>
        <w:outlineLvl w:val="3"/>
        <w:rPr>
          <w:b/>
          <w:bCs/>
          <w:kern w:val="0"/>
          <w:szCs w:val="24"/>
          <w:lang w:val="en-US" w:eastAsia="zh-CN"/>
        </w:rPr>
      </w:pPr>
      <w:r w:rsidRPr="00F16A5E">
        <w:rPr>
          <w:b/>
          <w:bCs/>
          <w:kern w:val="0"/>
          <w:szCs w:val="24"/>
          <w:lang w:val="en-US" w:eastAsia="zh-CN"/>
        </w:rPr>
        <w:t>1.2.2.2</w:t>
      </w:r>
      <w:r w:rsidR="00FC2D21" w:rsidRPr="00F16A5E">
        <w:rPr>
          <w:b/>
          <w:bCs/>
          <w:kern w:val="0"/>
          <w:szCs w:val="24"/>
          <w:lang w:val="en-US" w:eastAsia="zh-CN"/>
        </w:rPr>
        <w:tab/>
        <w:t>Clinical Pharmacokinetics</w:t>
      </w:r>
    </w:p>
    <w:p w14:paraId="609AB687" w14:textId="6C57C0C7" w:rsidR="007F4BA7" w:rsidRPr="00F16A5E" w:rsidRDefault="007F4BA7" w:rsidP="007F4BA7">
      <w:pPr>
        <w:pStyle w:val="ad"/>
        <w:spacing w:beforeLines="50" w:before="156" w:line="300" w:lineRule="auto"/>
        <w:ind w:firstLine="0"/>
        <w:rPr>
          <w:bCs/>
          <w:kern w:val="0"/>
          <w:szCs w:val="24"/>
          <w:lang w:val="en-US" w:eastAsia="zh-CN"/>
        </w:rPr>
      </w:pPr>
      <w:r w:rsidRPr="00F16A5E">
        <w:rPr>
          <w:bCs/>
          <w:kern w:val="0"/>
          <w:szCs w:val="24"/>
          <w:lang w:val="en-US" w:eastAsia="zh-CN"/>
        </w:rPr>
        <w:t xml:space="preserve">The pharmacokinetic analysis of the clinical phase I study showed that the half-life of orelabrutinib in humans was 3-4 hours, and the plasma exposure increased with dose in a linear manner, specifically, in the dose range of 20 mg to 400 mg, the exposure (AUC) increased from 425 </w:t>
      </w:r>
      <w:proofErr w:type="spellStart"/>
      <w:r w:rsidRPr="00F16A5E">
        <w:rPr>
          <w:bCs/>
          <w:kern w:val="0"/>
          <w:szCs w:val="24"/>
          <w:lang w:val="en-US" w:eastAsia="zh-CN"/>
        </w:rPr>
        <w:t>hr</w:t>
      </w:r>
      <w:proofErr w:type="spellEnd"/>
      <w:r w:rsidRPr="00F16A5E">
        <w:rPr>
          <w:bCs/>
          <w:kern w:val="0"/>
          <w:szCs w:val="24"/>
          <w:lang w:val="en-US" w:eastAsia="zh-CN"/>
        </w:rPr>
        <w:t xml:space="preserve">*ng/mL to 12669 </w:t>
      </w:r>
      <w:proofErr w:type="spellStart"/>
      <w:r w:rsidRPr="00F16A5E">
        <w:rPr>
          <w:bCs/>
          <w:kern w:val="0"/>
          <w:szCs w:val="24"/>
          <w:lang w:val="en-US" w:eastAsia="zh-CN"/>
        </w:rPr>
        <w:t>hr</w:t>
      </w:r>
      <w:proofErr w:type="spellEnd"/>
      <w:r w:rsidRPr="00F16A5E">
        <w:rPr>
          <w:bCs/>
          <w:kern w:val="0"/>
          <w:szCs w:val="24"/>
          <w:lang w:val="en-US" w:eastAsia="zh-CN"/>
        </w:rPr>
        <w:t>*ng/</w:t>
      </w:r>
      <w:proofErr w:type="spellStart"/>
      <w:r w:rsidRPr="00F16A5E">
        <w:rPr>
          <w:bCs/>
          <w:kern w:val="0"/>
          <w:szCs w:val="24"/>
          <w:lang w:val="en-US" w:eastAsia="zh-CN"/>
        </w:rPr>
        <w:t>mL.</w:t>
      </w:r>
      <w:proofErr w:type="spellEnd"/>
      <w:r w:rsidRPr="00F16A5E">
        <w:rPr>
          <w:bCs/>
          <w:kern w:val="0"/>
          <w:szCs w:val="24"/>
          <w:lang w:val="en-US" w:eastAsia="zh-CN"/>
        </w:rPr>
        <w:t xml:space="preserve"> </w:t>
      </w:r>
      <w:proofErr w:type="spellStart"/>
      <w:r w:rsidRPr="00F16A5E">
        <w:rPr>
          <w:bCs/>
          <w:kern w:val="0"/>
          <w:szCs w:val="24"/>
          <w:lang w:val="en-US" w:eastAsia="zh-CN"/>
        </w:rPr>
        <w:t>C</w:t>
      </w:r>
      <w:r w:rsidRPr="00F16A5E">
        <w:rPr>
          <w:bCs/>
          <w:kern w:val="0"/>
          <w:szCs w:val="24"/>
          <w:vertAlign w:val="subscript"/>
          <w:lang w:val="en-US" w:eastAsia="zh-CN"/>
        </w:rPr>
        <w:t>max</w:t>
      </w:r>
      <w:proofErr w:type="spellEnd"/>
      <w:r w:rsidRPr="00F16A5E">
        <w:rPr>
          <w:bCs/>
          <w:kern w:val="0"/>
          <w:szCs w:val="24"/>
          <w:lang w:val="en-US" w:eastAsia="zh-CN"/>
        </w:rPr>
        <w:t xml:space="preserve"> increased from 88 ng / mL to 2553 ng / mL, which also increased with dose in a linear manner. The inter-individual variability was relatively small, with a coefficient of variation (CV%) between 10-36%. The subject population included 5 Asians, and their pharmacokinetic properties were not significantly different from those of other races. A high-fat diet showed no significant effect on pharmacokinetics. No drug accumulation was observed after 14 consecutive days of administration. The exposure of orelabrutinib in the human body was obviously higher than that of Ibrutinib and BGB-3111. The exposure of orelabrutinib at a dose of 400 mg was 12669 </w:t>
      </w:r>
      <w:proofErr w:type="spellStart"/>
      <w:r w:rsidRPr="00F16A5E">
        <w:rPr>
          <w:bCs/>
          <w:kern w:val="0"/>
          <w:szCs w:val="24"/>
          <w:lang w:val="en-US" w:eastAsia="zh-CN"/>
        </w:rPr>
        <w:t>hr</w:t>
      </w:r>
      <w:proofErr w:type="spellEnd"/>
      <w:r w:rsidRPr="00F16A5E">
        <w:rPr>
          <w:bCs/>
          <w:kern w:val="0"/>
          <w:szCs w:val="24"/>
          <w:lang w:val="en-US" w:eastAsia="zh-CN"/>
        </w:rPr>
        <w:t xml:space="preserve"> * ng / mL, which was 16 times the exposure (802 </w:t>
      </w:r>
      <w:proofErr w:type="spellStart"/>
      <w:r w:rsidRPr="00F16A5E">
        <w:rPr>
          <w:bCs/>
          <w:kern w:val="0"/>
          <w:szCs w:val="24"/>
          <w:lang w:val="en-US" w:eastAsia="zh-CN"/>
        </w:rPr>
        <w:t>hr</w:t>
      </w:r>
      <w:proofErr w:type="spellEnd"/>
      <w:r w:rsidRPr="00F16A5E">
        <w:rPr>
          <w:bCs/>
          <w:kern w:val="0"/>
          <w:szCs w:val="24"/>
          <w:lang w:val="en-US" w:eastAsia="zh-CN"/>
        </w:rPr>
        <w:t xml:space="preserve"> * ng / mL) of Ibrutinib at the FDA-approved dose of 560 mg, also about 8 times the exposure of BGB-3111 at a clinical Phase III dose of 160 mg. The human plasma protein binding rate of orelabrutinib was 93.5%, and the reported human plasma protein binding rate of Ibrutinib was 97.5%, therefore, the free orelabrutinib in the body will also be significantly higher than that of Ibrutinib, which is expected to produce superior efficacy and safety.</w:t>
      </w:r>
    </w:p>
    <w:p w14:paraId="0E9A5D09" w14:textId="7B512527" w:rsidR="006E18E9" w:rsidRPr="00F16A5E" w:rsidRDefault="006E18E9" w:rsidP="006E18E9">
      <w:pPr>
        <w:pStyle w:val="ad"/>
        <w:ind w:firstLine="0"/>
        <w:outlineLvl w:val="3"/>
        <w:rPr>
          <w:b/>
          <w:bCs/>
          <w:kern w:val="0"/>
          <w:szCs w:val="24"/>
          <w:lang w:val="en-US" w:eastAsia="zh-CN"/>
        </w:rPr>
      </w:pPr>
      <w:r w:rsidRPr="00F16A5E">
        <w:rPr>
          <w:b/>
          <w:bCs/>
          <w:kern w:val="0"/>
          <w:szCs w:val="24"/>
          <w:lang w:val="en-US" w:eastAsia="zh-CN"/>
        </w:rPr>
        <w:t>1.2.2.3</w:t>
      </w:r>
      <w:r w:rsidR="00605DFA" w:rsidRPr="00F16A5E">
        <w:rPr>
          <w:b/>
          <w:bCs/>
          <w:kern w:val="0"/>
          <w:szCs w:val="24"/>
          <w:lang w:val="en-US" w:eastAsia="zh-CN"/>
        </w:rPr>
        <w:tab/>
        <w:t>Clinical Pharmacodynamics</w:t>
      </w:r>
    </w:p>
    <w:p w14:paraId="55C57606" w14:textId="4C327072" w:rsidR="00E43219" w:rsidRPr="00F16A5E" w:rsidRDefault="00E43219" w:rsidP="00E43219">
      <w:pPr>
        <w:pStyle w:val="ad"/>
        <w:spacing w:beforeLines="50" w:before="156" w:line="300" w:lineRule="auto"/>
        <w:ind w:firstLine="0"/>
        <w:rPr>
          <w:bCs/>
          <w:kern w:val="0"/>
          <w:szCs w:val="24"/>
          <w:lang w:val="en-US" w:eastAsia="zh-CN"/>
        </w:rPr>
      </w:pPr>
      <w:r w:rsidRPr="00F16A5E">
        <w:rPr>
          <w:bCs/>
          <w:kern w:val="0"/>
          <w:szCs w:val="24"/>
          <w:lang w:val="en-US" w:eastAsia="zh-CN"/>
        </w:rPr>
        <w:t>Preliminary pharmacodynamic studies showed that when orelabrutinib was dosed at 20 mg, the BTK occupancy rate in the PBMC of the subject reached 60-80%, and the PD effect lasted for more than 24 hours, however when dosed at 50 mg or above, the BTK occupancy rate exceeded 97% and the effect remained above 24 hours. Considering the in vivo exposure, the in vivo exposure of orelabrutinib at 50 mg was comparable to that of BGB-3111 at a clinical dose of 160 mg, more than twice that of ibrutinib at the clinical dose of 560 mg. Moreover, nearly complete BTK occupancy rate was achieved at 50 mg, therefore, it is expected to be a clinically efficacious dose.</w:t>
      </w:r>
    </w:p>
    <w:p w14:paraId="58D6104E" w14:textId="6F744A02"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33" w:name="_Toc345103128"/>
      <w:bookmarkStart w:id="34" w:name="_Toc7170210"/>
      <w:bookmarkStart w:id="35" w:name="_Toc9456157"/>
      <w:bookmarkStart w:id="36" w:name="_Toc20224834"/>
      <w:bookmarkStart w:id="37" w:name="_Toc71149137"/>
      <w:bookmarkEnd w:id="33"/>
      <w:r w:rsidRPr="00F16A5E">
        <w:rPr>
          <w:rFonts w:ascii="Times New Roman" w:eastAsia="宋体" w:hAnsi="Times New Roman"/>
          <w:sz w:val="24"/>
        </w:rPr>
        <w:lastRenderedPageBreak/>
        <w:t>1.3</w:t>
      </w:r>
      <w:r w:rsidR="00E43219" w:rsidRPr="00F16A5E">
        <w:rPr>
          <w:rFonts w:ascii="Times New Roman" w:eastAsia="宋体" w:hAnsi="Times New Roman"/>
          <w:sz w:val="24"/>
        </w:rPr>
        <w:tab/>
      </w:r>
      <w:bookmarkEnd w:id="34"/>
      <w:bookmarkEnd w:id="35"/>
      <w:bookmarkEnd w:id="36"/>
      <w:r w:rsidR="00EF6E25" w:rsidRPr="00F16A5E">
        <w:rPr>
          <w:rFonts w:ascii="Times New Roman" w:eastAsia="宋体" w:hAnsi="Times New Roman"/>
          <w:sz w:val="24"/>
        </w:rPr>
        <w:t>Risk-Benefit Assessment</w:t>
      </w:r>
      <w:bookmarkEnd w:id="37"/>
    </w:p>
    <w:p w14:paraId="074A3AB9" w14:textId="35E240CE" w:rsidR="00EF6E25" w:rsidRPr="00F16A5E" w:rsidRDefault="00EF6E25" w:rsidP="00EF6E25">
      <w:pPr>
        <w:pStyle w:val="ad"/>
        <w:spacing w:beforeLines="50" w:before="156" w:line="300" w:lineRule="auto"/>
        <w:ind w:firstLine="0"/>
        <w:rPr>
          <w:szCs w:val="24"/>
          <w:lang w:eastAsia="zh-CN"/>
        </w:rPr>
      </w:pPr>
      <w:r w:rsidRPr="00F16A5E">
        <w:rPr>
          <w:szCs w:val="24"/>
          <w:lang w:eastAsia="zh-CN"/>
        </w:rPr>
        <w:t xml:space="preserve">The prediction of risks and benefits of orelabrutinib is mainly based on the safety data from the completed pre-clinical trials, the preliminary data from phase I dose-finding studies, and clinical study findings of </w:t>
      </w:r>
      <w:r w:rsidR="00DC6B9C" w:rsidRPr="00F16A5E">
        <w:rPr>
          <w:szCs w:val="24"/>
          <w:lang w:eastAsia="zh-CN"/>
        </w:rPr>
        <w:t>other BTK inhibitors</w:t>
      </w:r>
      <w:r w:rsidRPr="00F16A5E">
        <w:rPr>
          <w:szCs w:val="24"/>
          <w:lang w:eastAsia="zh-CN"/>
        </w:rPr>
        <w:t>.</w:t>
      </w:r>
    </w:p>
    <w:p w14:paraId="787A1205" w14:textId="45BB8EDE" w:rsidR="00EF6E25" w:rsidRPr="00F16A5E" w:rsidRDefault="00EF6E25" w:rsidP="00EF6E25">
      <w:pPr>
        <w:pStyle w:val="ad"/>
        <w:spacing w:beforeLines="50" w:before="156" w:line="300" w:lineRule="auto"/>
        <w:ind w:firstLine="0"/>
        <w:rPr>
          <w:szCs w:val="24"/>
          <w:lang w:eastAsia="zh-CN"/>
        </w:rPr>
      </w:pPr>
      <w:r w:rsidRPr="00F16A5E">
        <w:rPr>
          <w:szCs w:val="24"/>
          <w:lang w:eastAsia="zh-CN"/>
        </w:rPr>
        <w:t>Based on the pre-clinical data of orelabrutinib and the clinical study findings of other BTK inhibitors such as Ibrutinib, Acalabrutinib, BGB-3111, GS-4059, etc., the adverse reactions that may occur in the orelabrutinib clinical trial and their monitoring and treatment measures are shown in Table 2.</w:t>
      </w:r>
    </w:p>
    <w:p w14:paraId="167D3BF1" w14:textId="48358DDB" w:rsidR="006E18E9" w:rsidRPr="00F16A5E" w:rsidRDefault="00EF6E25" w:rsidP="001808A1">
      <w:pPr>
        <w:tabs>
          <w:tab w:val="decimal" w:pos="0"/>
        </w:tabs>
        <w:spacing w:beforeLines="50" w:before="156"/>
        <w:jc w:val="center"/>
        <w:rPr>
          <w:b/>
          <w:sz w:val="24"/>
        </w:rPr>
      </w:pPr>
      <w:r w:rsidRPr="00F16A5E">
        <w:rPr>
          <w:b/>
          <w:sz w:val="24"/>
        </w:rPr>
        <w:t xml:space="preserve">Table </w:t>
      </w:r>
      <w:r w:rsidR="006E18E9" w:rsidRPr="00F16A5E">
        <w:rPr>
          <w:b/>
          <w:sz w:val="24"/>
        </w:rPr>
        <w:t>2.</w:t>
      </w:r>
      <w:r w:rsidRPr="00F16A5E">
        <w:rPr>
          <w:b/>
          <w:sz w:val="24"/>
        </w:rPr>
        <w:tab/>
        <w:t>Adverse Reactions that May Occur in Orelabrutinib Clinical Trials and Corresponding Monitoring and Treatment Measures</w:t>
      </w:r>
    </w:p>
    <w:tbl>
      <w:tblPr>
        <w:tblW w:w="4957" w:type="pct"/>
        <w:jc w:val="center"/>
        <w:tblLook w:val="01E0" w:firstRow="1" w:lastRow="1" w:firstColumn="1" w:lastColumn="1" w:noHBand="0" w:noVBand="0"/>
      </w:tblPr>
      <w:tblGrid>
        <w:gridCol w:w="1867"/>
        <w:gridCol w:w="4162"/>
        <w:gridCol w:w="3526"/>
      </w:tblGrid>
      <w:tr w:rsidR="00155E66" w:rsidRPr="00F16A5E" w14:paraId="75B6003E" w14:textId="77777777" w:rsidTr="001245E4">
        <w:trPr>
          <w:trHeight w:val="397"/>
          <w:jc w:val="center"/>
        </w:trPr>
        <w:tc>
          <w:tcPr>
            <w:tcW w:w="977" w:type="pct"/>
            <w:tcBorders>
              <w:top w:val="single" w:sz="4" w:space="0" w:color="auto"/>
              <w:bottom w:val="single" w:sz="4" w:space="0" w:color="auto"/>
            </w:tcBorders>
            <w:shd w:val="clear" w:color="auto" w:fill="E7E6E6"/>
            <w:vAlign w:val="center"/>
          </w:tcPr>
          <w:p w14:paraId="0EDEBEC7" w14:textId="77777777" w:rsidR="00155E66" w:rsidRPr="00F16A5E" w:rsidRDefault="00155E66" w:rsidP="00155E66">
            <w:pPr>
              <w:rPr>
                <w:b/>
                <w:bCs/>
              </w:rPr>
            </w:pPr>
            <w:r w:rsidRPr="00F16A5E">
              <w:rPr>
                <w:b/>
                <w:bCs/>
              </w:rPr>
              <w:t>Adverse Reactions that may occur</w:t>
            </w:r>
          </w:p>
        </w:tc>
        <w:tc>
          <w:tcPr>
            <w:tcW w:w="2178" w:type="pct"/>
            <w:tcBorders>
              <w:top w:val="single" w:sz="4" w:space="0" w:color="auto"/>
              <w:bottom w:val="single" w:sz="4" w:space="0" w:color="auto"/>
            </w:tcBorders>
            <w:shd w:val="clear" w:color="auto" w:fill="E7E6E6"/>
            <w:vAlign w:val="center"/>
          </w:tcPr>
          <w:p w14:paraId="12497EF6" w14:textId="77777777" w:rsidR="00155E66" w:rsidRPr="00F16A5E" w:rsidRDefault="00155E66" w:rsidP="00155E66">
            <w:pPr>
              <w:rPr>
                <w:b/>
                <w:bCs/>
              </w:rPr>
            </w:pPr>
            <w:r w:rsidRPr="00F16A5E">
              <w:rPr>
                <w:b/>
                <w:bCs/>
              </w:rPr>
              <w:t>Monitoring Measures</w:t>
            </w:r>
          </w:p>
        </w:tc>
        <w:tc>
          <w:tcPr>
            <w:tcW w:w="1846" w:type="pct"/>
            <w:tcBorders>
              <w:top w:val="single" w:sz="4" w:space="0" w:color="auto"/>
              <w:bottom w:val="single" w:sz="4" w:space="0" w:color="auto"/>
            </w:tcBorders>
            <w:shd w:val="clear" w:color="auto" w:fill="E7E6E6"/>
            <w:vAlign w:val="center"/>
          </w:tcPr>
          <w:p w14:paraId="28984C5B" w14:textId="77777777" w:rsidR="00155E66" w:rsidRPr="00F16A5E" w:rsidRDefault="00155E66" w:rsidP="00155E66">
            <w:pPr>
              <w:rPr>
                <w:b/>
                <w:bCs/>
              </w:rPr>
            </w:pPr>
            <w:r w:rsidRPr="00F16A5E">
              <w:rPr>
                <w:b/>
                <w:bCs/>
              </w:rPr>
              <w:t>Treatment Measures</w:t>
            </w:r>
          </w:p>
        </w:tc>
      </w:tr>
      <w:tr w:rsidR="00155E66" w:rsidRPr="00F16A5E" w14:paraId="0754CDF7" w14:textId="77777777" w:rsidTr="001245E4">
        <w:trPr>
          <w:trHeight w:val="397"/>
          <w:jc w:val="center"/>
        </w:trPr>
        <w:tc>
          <w:tcPr>
            <w:tcW w:w="977" w:type="pct"/>
            <w:tcBorders>
              <w:top w:val="single" w:sz="4" w:space="0" w:color="auto"/>
            </w:tcBorders>
            <w:vAlign w:val="center"/>
          </w:tcPr>
          <w:p w14:paraId="62344BC6" w14:textId="77777777" w:rsidR="00155E66" w:rsidRPr="00F16A5E" w:rsidRDefault="00155E66" w:rsidP="00155E66">
            <w:pPr>
              <w:rPr>
                <w:b/>
                <w:bCs/>
              </w:rPr>
            </w:pPr>
            <w:r w:rsidRPr="00F16A5E">
              <w:rPr>
                <w:b/>
                <w:bCs/>
              </w:rPr>
              <w:t>Gastrointestinal Reactions</w:t>
            </w:r>
          </w:p>
        </w:tc>
        <w:tc>
          <w:tcPr>
            <w:tcW w:w="2178" w:type="pct"/>
            <w:tcBorders>
              <w:top w:val="single" w:sz="4" w:space="0" w:color="auto"/>
            </w:tcBorders>
            <w:vAlign w:val="center"/>
          </w:tcPr>
          <w:p w14:paraId="0B4BD183" w14:textId="77777777" w:rsidR="00155E66" w:rsidRPr="00F16A5E" w:rsidRDefault="00155E66" w:rsidP="00155E66">
            <w:r w:rsidRPr="00F16A5E">
              <w:t>Eliciting and recording Adverse Events at any follow-up</w:t>
            </w:r>
          </w:p>
        </w:tc>
        <w:tc>
          <w:tcPr>
            <w:tcW w:w="1846" w:type="pct"/>
            <w:tcBorders>
              <w:top w:val="single" w:sz="4" w:space="0" w:color="auto"/>
            </w:tcBorders>
            <w:vAlign w:val="center"/>
          </w:tcPr>
          <w:p w14:paraId="76B13540" w14:textId="77777777" w:rsidR="00155E66" w:rsidRPr="00F16A5E" w:rsidRDefault="00155E66" w:rsidP="00155E66">
            <w:r w:rsidRPr="00F16A5E">
              <w:t>Anti-emetic and anti-diarrhea drugs can be used for Grade ≥2 gastrointestinal reactions.</w:t>
            </w:r>
          </w:p>
        </w:tc>
      </w:tr>
      <w:tr w:rsidR="00155E66" w:rsidRPr="00F16A5E" w14:paraId="4B8639F2" w14:textId="77777777" w:rsidTr="001245E4">
        <w:trPr>
          <w:trHeight w:val="397"/>
          <w:jc w:val="center"/>
        </w:trPr>
        <w:tc>
          <w:tcPr>
            <w:tcW w:w="977" w:type="pct"/>
            <w:vAlign w:val="center"/>
          </w:tcPr>
          <w:p w14:paraId="5B6E3DFE" w14:textId="77777777" w:rsidR="00155E66" w:rsidRPr="00F16A5E" w:rsidRDefault="00155E66" w:rsidP="00155E66">
            <w:pPr>
              <w:rPr>
                <w:b/>
                <w:bCs/>
              </w:rPr>
            </w:pPr>
            <w:r w:rsidRPr="00F16A5E">
              <w:rPr>
                <w:b/>
                <w:bCs/>
              </w:rPr>
              <w:t>Asthenia</w:t>
            </w:r>
          </w:p>
        </w:tc>
        <w:tc>
          <w:tcPr>
            <w:tcW w:w="2178" w:type="pct"/>
            <w:vAlign w:val="center"/>
          </w:tcPr>
          <w:p w14:paraId="2F4D1B22" w14:textId="77777777" w:rsidR="00155E66" w:rsidRPr="00F16A5E" w:rsidRDefault="00155E66" w:rsidP="00155E66">
            <w:r w:rsidRPr="00F16A5E">
              <w:t>Eliciting and recording Adverse Events at any follow-up</w:t>
            </w:r>
          </w:p>
        </w:tc>
        <w:tc>
          <w:tcPr>
            <w:tcW w:w="1846" w:type="pct"/>
            <w:vAlign w:val="center"/>
          </w:tcPr>
          <w:p w14:paraId="3C16A35F" w14:textId="77777777" w:rsidR="00155E66" w:rsidRPr="00F16A5E" w:rsidRDefault="00155E66" w:rsidP="00155E66">
            <w:r w:rsidRPr="00F16A5E">
              <w:t>For Grade ≥2 asthenia, symptomatic treatment can be given as clinically needed.</w:t>
            </w:r>
          </w:p>
        </w:tc>
      </w:tr>
      <w:tr w:rsidR="00155E66" w:rsidRPr="00F16A5E" w14:paraId="65A48658" w14:textId="77777777" w:rsidTr="001245E4">
        <w:trPr>
          <w:trHeight w:val="397"/>
          <w:jc w:val="center"/>
        </w:trPr>
        <w:tc>
          <w:tcPr>
            <w:tcW w:w="977" w:type="pct"/>
            <w:vAlign w:val="center"/>
          </w:tcPr>
          <w:p w14:paraId="7769C8DC" w14:textId="77777777" w:rsidR="00155E66" w:rsidRPr="00F16A5E" w:rsidRDefault="00155E66" w:rsidP="00155E66">
            <w:pPr>
              <w:rPr>
                <w:b/>
                <w:bCs/>
              </w:rPr>
            </w:pPr>
            <w:r w:rsidRPr="00F16A5E">
              <w:rPr>
                <w:b/>
                <w:bCs/>
              </w:rPr>
              <w:t>Hypertension</w:t>
            </w:r>
          </w:p>
        </w:tc>
        <w:tc>
          <w:tcPr>
            <w:tcW w:w="2178" w:type="pct"/>
            <w:vAlign w:val="center"/>
          </w:tcPr>
          <w:p w14:paraId="304B98DC" w14:textId="77777777" w:rsidR="00155E66" w:rsidRPr="00F16A5E" w:rsidRDefault="00155E66" w:rsidP="00155E66">
            <w:r w:rsidRPr="00F16A5E">
              <w:t>A blood pressure test will be performed at baseline, each follow-up visit during treatment period, and at the end of the study.</w:t>
            </w:r>
          </w:p>
        </w:tc>
        <w:tc>
          <w:tcPr>
            <w:tcW w:w="1846" w:type="pct"/>
            <w:vAlign w:val="center"/>
          </w:tcPr>
          <w:p w14:paraId="5F33E9FD" w14:textId="77777777" w:rsidR="00155E66" w:rsidRPr="00F16A5E" w:rsidRDefault="00155E66" w:rsidP="00155E66">
            <w:r w:rsidRPr="00F16A5E">
              <w:t>Corresponding medical treatment can be given for Grade ≥2 hypertension.</w:t>
            </w:r>
          </w:p>
        </w:tc>
      </w:tr>
      <w:tr w:rsidR="00155E66" w:rsidRPr="00F16A5E" w14:paraId="73DF6233" w14:textId="77777777" w:rsidTr="001245E4">
        <w:trPr>
          <w:trHeight w:val="397"/>
          <w:jc w:val="center"/>
        </w:trPr>
        <w:tc>
          <w:tcPr>
            <w:tcW w:w="977" w:type="pct"/>
            <w:vAlign w:val="center"/>
          </w:tcPr>
          <w:p w14:paraId="73C2CC56" w14:textId="77777777" w:rsidR="00155E66" w:rsidRPr="00F16A5E" w:rsidRDefault="00155E66" w:rsidP="00155E66">
            <w:pPr>
              <w:rPr>
                <w:b/>
                <w:bCs/>
              </w:rPr>
            </w:pPr>
            <w:r w:rsidRPr="00F16A5E">
              <w:rPr>
                <w:b/>
                <w:bCs/>
              </w:rPr>
              <w:t>Hematology Toxicities</w:t>
            </w:r>
          </w:p>
        </w:tc>
        <w:tc>
          <w:tcPr>
            <w:tcW w:w="2178" w:type="pct"/>
            <w:vAlign w:val="center"/>
          </w:tcPr>
          <w:p w14:paraId="1325EE70" w14:textId="77777777" w:rsidR="00155E66" w:rsidRPr="00F16A5E" w:rsidRDefault="00155E66" w:rsidP="00155E66">
            <w:r w:rsidRPr="00F16A5E">
              <w:t xml:space="preserve">A </w:t>
            </w:r>
            <w:proofErr w:type="spellStart"/>
            <w:r w:rsidRPr="00F16A5E">
              <w:t>haematology</w:t>
            </w:r>
            <w:proofErr w:type="spellEnd"/>
            <w:r w:rsidRPr="00F16A5E">
              <w:t xml:space="preserve"> test will be performed at baseline, each follow-up visit during treatment period, and at the end of the study.</w:t>
            </w:r>
          </w:p>
        </w:tc>
        <w:tc>
          <w:tcPr>
            <w:tcW w:w="1846" w:type="pct"/>
            <w:vAlign w:val="center"/>
          </w:tcPr>
          <w:p w14:paraId="31390772" w14:textId="77777777" w:rsidR="00155E66" w:rsidRPr="00F16A5E" w:rsidRDefault="00155E66" w:rsidP="00155E66">
            <w:r w:rsidRPr="00F16A5E">
              <w:t>For Grade 3 hematological toxicity, corresponding medical treatment can be given.</w:t>
            </w:r>
          </w:p>
        </w:tc>
      </w:tr>
      <w:tr w:rsidR="00155E66" w:rsidRPr="00F16A5E" w14:paraId="432FA136" w14:textId="77777777" w:rsidTr="001245E4">
        <w:trPr>
          <w:trHeight w:val="397"/>
          <w:jc w:val="center"/>
        </w:trPr>
        <w:tc>
          <w:tcPr>
            <w:tcW w:w="977" w:type="pct"/>
            <w:vAlign w:val="center"/>
          </w:tcPr>
          <w:p w14:paraId="5BC72ACC" w14:textId="77777777" w:rsidR="00155E66" w:rsidRPr="00F16A5E" w:rsidRDefault="00155E66" w:rsidP="00155E66">
            <w:pPr>
              <w:rPr>
                <w:b/>
                <w:bCs/>
              </w:rPr>
            </w:pPr>
            <w:r w:rsidRPr="00F16A5E">
              <w:rPr>
                <w:b/>
                <w:bCs/>
              </w:rPr>
              <w:t>Pyrexia</w:t>
            </w:r>
          </w:p>
        </w:tc>
        <w:tc>
          <w:tcPr>
            <w:tcW w:w="2178" w:type="pct"/>
            <w:vAlign w:val="center"/>
          </w:tcPr>
          <w:p w14:paraId="02C1C016" w14:textId="77777777" w:rsidR="00155E66" w:rsidRPr="00F16A5E" w:rsidRDefault="00155E66" w:rsidP="00155E66">
            <w:r w:rsidRPr="00F16A5E">
              <w:t>A physical examination will be performed at baseline, each follow-up visit during treatment period, and at the end of the study.</w:t>
            </w:r>
          </w:p>
        </w:tc>
        <w:tc>
          <w:tcPr>
            <w:tcW w:w="1846" w:type="pct"/>
            <w:vAlign w:val="center"/>
          </w:tcPr>
          <w:p w14:paraId="5DF2B5A7" w14:textId="77777777" w:rsidR="00155E66" w:rsidRPr="00F16A5E" w:rsidRDefault="00155E66" w:rsidP="00155E66">
            <w:r w:rsidRPr="00F16A5E">
              <w:t>Corresponding medical treatment can be given for Grade ≥1 pyrexia.</w:t>
            </w:r>
          </w:p>
        </w:tc>
      </w:tr>
      <w:tr w:rsidR="00155E66" w:rsidRPr="00F16A5E" w14:paraId="1F73489B" w14:textId="77777777" w:rsidTr="001245E4">
        <w:trPr>
          <w:trHeight w:val="397"/>
          <w:jc w:val="center"/>
        </w:trPr>
        <w:tc>
          <w:tcPr>
            <w:tcW w:w="977" w:type="pct"/>
            <w:vAlign w:val="center"/>
          </w:tcPr>
          <w:p w14:paraId="1548616C" w14:textId="77777777" w:rsidR="00155E66" w:rsidRPr="00F16A5E" w:rsidRDefault="00155E66" w:rsidP="00155E66">
            <w:pPr>
              <w:rPr>
                <w:b/>
                <w:bCs/>
              </w:rPr>
            </w:pPr>
            <w:r w:rsidRPr="00F16A5E">
              <w:rPr>
                <w:b/>
                <w:bCs/>
              </w:rPr>
              <w:t>Rash</w:t>
            </w:r>
          </w:p>
        </w:tc>
        <w:tc>
          <w:tcPr>
            <w:tcW w:w="2178" w:type="pct"/>
            <w:vAlign w:val="center"/>
          </w:tcPr>
          <w:p w14:paraId="14CE26AE" w14:textId="77777777" w:rsidR="00155E66" w:rsidRPr="00F16A5E" w:rsidRDefault="00155E66" w:rsidP="00155E66">
            <w:r w:rsidRPr="00F16A5E">
              <w:t>Eliciting and recording Adverse Events at any follow-up</w:t>
            </w:r>
          </w:p>
        </w:tc>
        <w:tc>
          <w:tcPr>
            <w:tcW w:w="1846" w:type="pct"/>
            <w:vAlign w:val="center"/>
          </w:tcPr>
          <w:p w14:paraId="43AEAEC3" w14:textId="77777777" w:rsidR="00155E66" w:rsidRPr="00F16A5E" w:rsidRDefault="00155E66" w:rsidP="00155E66">
            <w:r w:rsidRPr="00F16A5E">
              <w:t>Corresponding medical treatment can be given for Grade ≥2 rash and hand-and-foot syndrome.</w:t>
            </w:r>
          </w:p>
        </w:tc>
      </w:tr>
      <w:tr w:rsidR="00155E66" w:rsidRPr="00F16A5E" w14:paraId="65CFCF62" w14:textId="77777777" w:rsidTr="001245E4">
        <w:trPr>
          <w:trHeight w:val="397"/>
          <w:jc w:val="center"/>
        </w:trPr>
        <w:tc>
          <w:tcPr>
            <w:tcW w:w="977" w:type="pct"/>
            <w:vAlign w:val="center"/>
          </w:tcPr>
          <w:p w14:paraId="24B52D04" w14:textId="77777777" w:rsidR="00155E66" w:rsidRPr="00F16A5E" w:rsidRDefault="00155E66" w:rsidP="00155E66">
            <w:pPr>
              <w:rPr>
                <w:b/>
                <w:bCs/>
              </w:rPr>
            </w:pPr>
            <w:r w:rsidRPr="00F16A5E">
              <w:rPr>
                <w:b/>
                <w:bCs/>
              </w:rPr>
              <w:t>Liver function change</w:t>
            </w:r>
          </w:p>
        </w:tc>
        <w:tc>
          <w:tcPr>
            <w:tcW w:w="2178" w:type="pct"/>
            <w:vAlign w:val="center"/>
          </w:tcPr>
          <w:p w14:paraId="558CA999" w14:textId="77777777" w:rsidR="00155E66" w:rsidRPr="00F16A5E" w:rsidRDefault="00155E66" w:rsidP="00155E66">
            <w:r w:rsidRPr="00F16A5E">
              <w:t>A liver function test will be performed at baseline, each follow-up visit during treatment period, and at the end of the study.</w:t>
            </w:r>
          </w:p>
        </w:tc>
        <w:tc>
          <w:tcPr>
            <w:tcW w:w="1846" w:type="pct"/>
            <w:vAlign w:val="center"/>
          </w:tcPr>
          <w:p w14:paraId="105346CD" w14:textId="77777777" w:rsidR="00155E66" w:rsidRPr="00F16A5E" w:rsidRDefault="00155E66" w:rsidP="00155E66">
            <w:r w:rsidRPr="00F16A5E">
              <w:t>Corresponding medical treatment can be given for Grade ≥2 liver function change.</w:t>
            </w:r>
          </w:p>
        </w:tc>
      </w:tr>
      <w:tr w:rsidR="00155E66" w:rsidRPr="00F16A5E" w14:paraId="38FF640F" w14:textId="77777777" w:rsidTr="001245E4">
        <w:trPr>
          <w:trHeight w:val="397"/>
          <w:jc w:val="center"/>
        </w:trPr>
        <w:tc>
          <w:tcPr>
            <w:tcW w:w="977" w:type="pct"/>
            <w:vAlign w:val="center"/>
          </w:tcPr>
          <w:p w14:paraId="7053C32E" w14:textId="77777777" w:rsidR="00155E66" w:rsidRPr="00F16A5E" w:rsidRDefault="00155E66" w:rsidP="00155E66">
            <w:pPr>
              <w:rPr>
                <w:b/>
                <w:bCs/>
              </w:rPr>
            </w:pPr>
            <w:proofErr w:type="spellStart"/>
            <w:r w:rsidRPr="00F16A5E">
              <w:rPr>
                <w:b/>
                <w:bCs/>
              </w:rPr>
              <w:t>Haemorrhagic</w:t>
            </w:r>
            <w:proofErr w:type="spellEnd"/>
            <w:r w:rsidRPr="00F16A5E">
              <w:rPr>
                <w:b/>
                <w:bCs/>
              </w:rPr>
              <w:t xml:space="preserve"> events</w:t>
            </w:r>
          </w:p>
        </w:tc>
        <w:tc>
          <w:tcPr>
            <w:tcW w:w="2178" w:type="pct"/>
            <w:vAlign w:val="center"/>
          </w:tcPr>
          <w:p w14:paraId="5873C115" w14:textId="77777777" w:rsidR="00155E66" w:rsidRPr="00F16A5E" w:rsidRDefault="00155E66" w:rsidP="00155E66">
            <w:r w:rsidRPr="00F16A5E">
              <w:t>A coagulation test will be performed at baseline, each follow-up visit during treatment period, and at the end of the study.</w:t>
            </w:r>
          </w:p>
        </w:tc>
        <w:tc>
          <w:tcPr>
            <w:tcW w:w="1846" w:type="pct"/>
            <w:vAlign w:val="center"/>
          </w:tcPr>
          <w:p w14:paraId="6BC328C1" w14:textId="77777777" w:rsidR="00155E66" w:rsidRPr="00F16A5E" w:rsidRDefault="00155E66" w:rsidP="00155E66">
            <w:r w:rsidRPr="00F16A5E">
              <w:t xml:space="preserve">Corresponding medical treatment can be given for Grade ≥2 </w:t>
            </w:r>
            <w:proofErr w:type="spellStart"/>
            <w:r w:rsidRPr="00F16A5E">
              <w:t>haemorrhagic</w:t>
            </w:r>
            <w:proofErr w:type="spellEnd"/>
            <w:r w:rsidRPr="00F16A5E">
              <w:t xml:space="preserve"> events.</w:t>
            </w:r>
          </w:p>
        </w:tc>
      </w:tr>
      <w:tr w:rsidR="00155E66" w:rsidRPr="00F16A5E" w14:paraId="2390ED2A" w14:textId="77777777" w:rsidTr="001245E4">
        <w:trPr>
          <w:trHeight w:val="397"/>
          <w:jc w:val="center"/>
        </w:trPr>
        <w:tc>
          <w:tcPr>
            <w:tcW w:w="977" w:type="pct"/>
            <w:vAlign w:val="center"/>
          </w:tcPr>
          <w:p w14:paraId="38AE5550" w14:textId="77777777" w:rsidR="00155E66" w:rsidRPr="00F16A5E" w:rsidRDefault="00155E66" w:rsidP="00155E66">
            <w:pPr>
              <w:rPr>
                <w:b/>
                <w:bCs/>
              </w:rPr>
            </w:pPr>
            <w:r w:rsidRPr="00F16A5E">
              <w:rPr>
                <w:b/>
                <w:bCs/>
              </w:rPr>
              <w:t>Cardiotoxicity</w:t>
            </w:r>
          </w:p>
        </w:tc>
        <w:tc>
          <w:tcPr>
            <w:tcW w:w="2178" w:type="pct"/>
            <w:vAlign w:val="center"/>
          </w:tcPr>
          <w:p w14:paraId="130BAAF1" w14:textId="77777777" w:rsidR="00155E66" w:rsidRPr="00F16A5E" w:rsidRDefault="00155E66" w:rsidP="00155E66">
            <w:r w:rsidRPr="00F16A5E">
              <w:t>An ECG examination will be performed at baseline, each follow-up visit during treatment period, and at the end of the study.</w:t>
            </w:r>
          </w:p>
        </w:tc>
        <w:tc>
          <w:tcPr>
            <w:tcW w:w="1846" w:type="pct"/>
            <w:vAlign w:val="center"/>
          </w:tcPr>
          <w:p w14:paraId="41A9A0F7" w14:textId="77777777" w:rsidR="00155E66" w:rsidRPr="00F16A5E" w:rsidRDefault="00155E66" w:rsidP="00155E66">
            <w:r w:rsidRPr="00F16A5E">
              <w:t>For Grade ≥2 cardiotoxicity, corresponding treatment can be given according to clinical needs.</w:t>
            </w:r>
          </w:p>
        </w:tc>
      </w:tr>
      <w:tr w:rsidR="00155E66" w:rsidRPr="00F16A5E" w14:paraId="7F60D315" w14:textId="77777777" w:rsidTr="001245E4">
        <w:trPr>
          <w:trHeight w:val="397"/>
          <w:jc w:val="center"/>
        </w:trPr>
        <w:tc>
          <w:tcPr>
            <w:tcW w:w="977" w:type="pct"/>
            <w:vAlign w:val="center"/>
          </w:tcPr>
          <w:p w14:paraId="09E71809" w14:textId="77777777" w:rsidR="00155E66" w:rsidRPr="00F16A5E" w:rsidRDefault="00155E66" w:rsidP="00155E66">
            <w:pPr>
              <w:rPr>
                <w:b/>
                <w:bCs/>
              </w:rPr>
            </w:pPr>
            <w:r w:rsidRPr="00F16A5E">
              <w:rPr>
                <w:b/>
                <w:bCs/>
              </w:rPr>
              <w:t>Renal Function Abnormalities</w:t>
            </w:r>
          </w:p>
        </w:tc>
        <w:tc>
          <w:tcPr>
            <w:tcW w:w="2178" w:type="pct"/>
            <w:vAlign w:val="center"/>
          </w:tcPr>
          <w:p w14:paraId="0191D875" w14:textId="77777777" w:rsidR="00155E66" w:rsidRPr="00F16A5E" w:rsidRDefault="00155E66" w:rsidP="00155E66">
            <w:r w:rsidRPr="00F16A5E">
              <w:t>A urinalysis and renal function test will be performed at baseline, each follow-up visit during treatment period, and at the end of the study.</w:t>
            </w:r>
          </w:p>
        </w:tc>
        <w:tc>
          <w:tcPr>
            <w:tcW w:w="1846" w:type="pct"/>
            <w:vAlign w:val="center"/>
          </w:tcPr>
          <w:p w14:paraId="5329A30C" w14:textId="77777777" w:rsidR="00155E66" w:rsidRPr="00F16A5E" w:rsidRDefault="00155E66" w:rsidP="00155E66">
            <w:r w:rsidRPr="00F16A5E">
              <w:t>For Grade ≥2 renal function abnormal, corresponding treatment can be given according to clinical needs.</w:t>
            </w:r>
          </w:p>
        </w:tc>
      </w:tr>
      <w:tr w:rsidR="00155E66" w:rsidRPr="00F16A5E" w14:paraId="1912C68C" w14:textId="77777777" w:rsidTr="001245E4">
        <w:trPr>
          <w:trHeight w:val="397"/>
          <w:jc w:val="center"/>
        </w:trPr>
        <w:tc>
          <w:tcPr>
            <w:tcW w:w="977" w:type="pct"/>
            <w:tcBorders>
              <w:bottom w:val="single" w:sz="4" w:space="0" w:color="auto"/>
            </w:tcBorders>
            <w:vAlign w:val="center"/>
          </w:tcPr>
          <w:p w14:paraId="408EBC1F" w14:textId="77777777" w:rsidR="00155E66" w:rsidRPr="00F16A5E" w:rsidRDefault="00155E66" w:rsidP="00155E66">
            <w:pPr>
              <w:rPr>
                <w:b/>
                <w:bCs/>
              </w:rPr>
            </w:pPr>
            <w:r w:rsidRPr="00F16A5E">
              <w:rPr>
                <w:b/>
                <w:bCs/>
              </w:rPr>
              <w:lastRenderedPageBreak/>
              <w:t>Pancreatic enzymes abnormal</w:t>
            </w:r>
          </w:p>
        </w:tc>
        <w:tc>
          <w:tcPr>
            <w:tcW w:w="2178" w:type="pct"/>
            <w:tcBorders>
              <w:bottom w:val="single" w:sz="4" w:space="0" w:color="auto"/>
            </w:tcBorders>
            <w:vAlign w:val="center"/>
          </w:tcPr>
          <w:p w14:paraId="3ED3D5E4" w14:textId="77777777" w:rsidR="00155E66" w:rsidRPr="00F16A5E" w:rsidRDefault="00155E66" w:rsidP="00155E66">
            <w:r w:rsidRPr="00F16A5E">
              <w:t>An amylase test will be performed at baseline, each follow-up visit during treatment period, and at the end of the study.</w:t>
            </w:r>
          </w:p>
        </w:tc>
        <w:tc>
          <w:tcPr>
            <w:tcW w:w="1846" w:type="pct"/>
            <w:tcBorders>
              <w:bottom w:val="single" w:sz="4" w:space="0" w:color="auto"/>
            </w:tcBorders>
            <w:vAlign w:val="center"/>
          </w:tcPr>
          <w:p w14:paraId="5FC1637E" w14:textId="77777777" w:rsidR="00155E66" w:rsidRPr="00F16A5E" w:rsidRDefault="00155E66" w:rsidP="00155E66">
            <w:r w:rsidRPr="00F16A5E">
              <w:t>For Grade ≥2 pancreatic enzymes abnormal, corresponding treatment can be given according to clinical needs.</w:t>
            </w:r>
          </w:p>
        </w:tc>
      </w:tr>
    </w:tbl>
    <w:p w14:paraId="7D5E5ED7" w14:textId="3EE7F067" w:rsidR="006E18E9" w:rsidRPr="00F16A5E" w:rsidRDefault="006E18E9" w:rsidP="006E18E9">
      <w:pPr>
        <w:pStyle w:val="1"/>
        <w:pageBreakBefore/>
        <w:spacing w:beforeLines="0" w:before="120" w:line="360" w:lineRule="auto"/>
        <w:jc w:val="both"/>
        <w:rPr>
          <w:rFonts w:eastAsia="宋体"/>
          <w:sz w:val="24"/>
          <w:lang w:eastAsia="zh-CN"/>
        </w:rPr>
      </w:pPr>
      <w:bookmarkStart w:id="38" w:name="_Toc7170214"/>
      <w:bookmarkStart w:id="39" w:name="_Toc9456158"/>
      <w:bookmarkStart w:id="40" w:name="_Toc20224835"/>
      <w:bookmarkStart w:id="41" w:name="_Toc71149138"/>
      <w:r w:rsidRPr="00F16A5E">
        <w:rPr>
          <w:rFonts w:eastAsia="宋体"/>
          <w:sz w:val="24"/>
          <w:lang w:eastAsia="zh-CN"/>
        </w:rPr>
        <w:lastRenderedPageBreak/>
        <w:t>2</w:t>
      </w:r>
      <w:bookmarkEnd w:id="38"/>
      <w:bookmarkEnd w:id="39"/>
      <w:bookmarkEnd w:id="40"/>
      <w:r w:rsidR="00155E66" w:rsidRPr="00F16A5E">
        <w:rPr>
          <w:rFonts w:eastAsia="宋体"/>
          <w:sz w:val="24"/>
          <w:lang w:eastAsia="zh-CN"/>
        </w:rPr>
        <w:tab/>
        <w:t>Study Objectives and Endpoints</w:t>
      </w:r>
      <w:bookmarkEnd w:id="41"/>
    </w:p>
    <w:p w14:paraId="286950E6" w14:textId="15BF9485" w:rsidR="006E18E9" w:rsidRPr="00F16A5E" w:rsidRDefault="006E18E9" w:rsidP="006E18E9">
      <w:pPr>
        <w:pStyle w:val="2"/>
        <w:keepLines w:val="0"/>
        <w:spacing w:before="60" w:after="60" w:line="360" w:lineRule="auto"/>
        <w:rPr>
          <w:rFonts w:ascii="Times New Roman" w:eastAsia="宋体" w:hAnsi="Times New Roman"/>
          <w:sz w:val="24"/>
        </w:rPr>
      </w:pPr>
      <w:bookmarkStart w:id="42" w:name="_Toc9456159"/>
      <w:bookmarkStart w:id="43" w:name="_Toc20224836"/>
      <w:bookmarkStart w:id="44" w:name="_Toc71149139"/>
      <w:bookmarkStart w:id="45" w:name="_Toc7170215"/>
      <w:r w:rsidRPr="00F16A5E">
        <w:rPr>
          <w:rFonts w:ascii="Times New Roman" w:eastAsia="宋体" w:hAnsi="Times New Roman"/>
          <w:sz w:val="24"/>
        </w:rPr>
        <w:t>2.1</w:t>
      </w:r>
      <w:bookmarkEnd w:id="42"/>
      <w:bookmarkEnd w:id="43"/>
      <w:r w:rsidR="00155E66" w:rsidRPr="00F16A5E">
        <w:rPr>
          <w:rFonts w:ascii="Times New Roman" w:eastAsia="宋体" w:hAnsi="Times New Roman"/>
          <w:sz w:val="24"/>
        </w:rPr>
        <w:tab/>
        <w:t>Study Objectives</w:t>
      </w:r>
      <w:bookmarkEnd w:id="44"/>
    </w:p>
    <w:p w14:paraId="6B514585" w14:textId="121D1EBA" w:rsidR="006E18E9" w:rsidRPr="00F16A5E" w:rsidRDefault="006E18E9" w:rsidP="006E18E9">
      <w:pPr>
        <w:pStyle w:val="3"/>
        <w:keepLines w:val="0"/>
        <w:spacing w:before="60" w:after="60" w:line="360" w:lineRule="auto"/>
        <w:rPr>
          <w:sz w:val="24"/>
          <w:szCs w:val="24"/>
        </w:rPr>
      </w:pPr>
      <w:bookmarkStart w:id="46" w:name="_Toc9456160"/>
      <w:bookmarkStart w:id="47" w:name="_Toc20224837"/>
      <w:bookmarkStart w:id="48" w:name="_Toc71149140"/>
      <w:r w:rsidRPr="00F16A5E">
        <w:rPr>
          <w:sz w:val="24"/>
          <w:szCs w:val="24"/>
        </w:rPr>
        <w:t>2.1.1</w:t>
      </w:r>
      <w:bookmarkEnd w:id="45"/>
      <w:bookmarkEnd w:id="46"/>
      <w:bookmarkEnd w:id="47"/>
      <w:r w:rsidR="00155E66" w:rsidRPr="00F16A5E">
        <w:rPr>
          <w:sz w:val="24"/>
          <w:szCs w:val="24"/>
        </w:rPr>
        <w:tab/>
        <w:t>Primary Objectives</w:t>
      </w:r>
      <w:bookmarkEnd w:id="48"/>
    </w:p>
    <w:p w14:paraId="27E4E179" w14:textId="54EEA4AE" w:rsidR="006E18E9" w:rsidRPr="00F16A5E" w:rsidRDefault="0069719E" w:rsidP="00CC5D6D">
      <w:pPr>
        <w:spacing w:beforeLines="50" w:before="156" w:line="300" w:lineRule="auto"/>
        <w:rPr>
          <w:sz w:val="24"/>
        </w:rPr>
      </w:pPr>
      <w:r w:rsidRPr="00F16A5E">
        <w:rPr>
          <w:sz w:val="24"/>
        </w:rPr>
        <w:t>To evaluate the safety and tolerability of orelabrutinib in mild-moderate SLE patients.</w:t>
      </w:r>
    </w:p>
    <w:p w14:paraId="12AAB700" w14:textId="6C67A266" w:rsidR="006E18E9" w:rsidRPr="00F16A5E" w:rsidRDefault="006E18E9" w:rsidP="00CC5D6D">
      <w:pPr>
        <w:pStyle w:val="3"/>
        <w:keepLines w:val="0"/>
        <w:spacing w:before="50" w:after="0" w:line="300" w:lineRule="auto"/>
        <w:rPr>
          <w:sz w:val="24"/>
          <w:szCs w:val="24"/>
        </w:rPr>
      </w:pPr>
      <w:bookmarkStart w:id="49" w:name="_Toc7170216"/>
      <w:bookmarkStart w:id="50" w:name="_Toc9456161"/>
      <w:bookmarkStart w:id="51" w:name="_Toc20224838"/>
      <w:bookmarkStart w:id="52" w:name="_Toc71149141"/>
      <w:r w:rsidRPr="00F16A5E">
        <w:rPr>
          <w:sz w:val="24"/>
          <w:szCs w:val="24"/>
        </w:rPr>
        <w:t>2.1.2</w:t>
      </w:r>
      <w:bookmarkEnd w:id="49"/>
      <w:bookmarkEnd w:id="50"/>
      <w:bookmarkEnd w:id="51"/>
      <w:r w:rsidR="0069719E" w:rsidRPr="00F16A5E">
        <w:rPr>
          <w:sz w:val="24"/>
          <w:szCs w:val="24"/>
        </w:rPr>
        <w:tab/>
        <w:t>Secondary Objectives</w:t>
      </w:r>
      <w:bookmarkEnd w:id="52"/>
    </w:p>
    <w:p w14:paraId="415825E2" w14:textId="77777777" w:rsidR="0069719E" w:rsidRPr="00F16A5E" w:rsidRDefault="0069719E" w:rsidP="00CC5D6D">
      <w:pPr>
        <w:spacing w:beforeLines="50" w:before="156" w:line="300" w:lineRule="auto"/>
        <w:rPr>
          <w:sz w:val="24"/>
        </w:rPr>
      </w:pPr>
      <w:r w:rsidRPr="00F16A5E">
        <w:rPr>
          <w:sz w:val="24"/>
        </w:rPr>
        <w:t>1)</w:t>
      </w:r>
      <w:r w:rsidRPr="00F16A5E">
        <w:rPr>
          <w:sz w:val="24"/>
        </w:rPr>
        <w:tab/>
        <w:t>To evaluate the pharmacokinetics (PK) of orelabrutinib in mild-moderate SLE patients;</w:t>
      </w:r>
    </w:p>
    <w:p w14:paraId="6DB23141" w14:textId="77777777" w:rsidR="0069719E" w:rsidRPr="00F16A5E" w:rsidRDefault="0069719E" w:rsidP="00CC5D6D">
      <w:pPr>
        <w:spacing w:beforeLines="50" w:before="156" w:line="300" w:lineRule="auto"/>
        <w:rPr>
          <w:sz w:val="24"/>
        </w:rPr>
      </w:pPr>
      <w:r w:rsidRPr="00F16A5E">
        <w:rPr>
          <w:sz w:val="24"/>
        </w:rPr>
        <w:t>2)</w:t>
      </w:r>
      <w:r w:rsidRPr="00F16A5E">
        <w:rPr>
          <w:sz w:val="24"/>
        </w:rPr>
        <w:tab/>
        <w:t>To evaluate the pharmacodynamics (PD) of orelabrutinib in mild-moderate SLE patients;</w:t>
      </w:r>
    </w:p>
    <w:p w14:paraId="681888DE" w14:textId="77777777" w:rsidR="0069719E" w:rsidRPr="00F16A5E" w:rsidRDefault="0069719E" w:rsidP="00CC5D6D">
      <w:pPr>
        <w:spacing w:beforeLines="50" w:before="156" w:line="300" w:lineRule="auto"/>
        <w:rPr>
          <w:sz w:val="24"/>
        </w:rPr>
      </w:pPr>
      <w:r w:rsidRPr="00F16A5E">
        <w:rPr>
          <w:sz w:val="24"/>
        </w:rPr>
        <w:t>3)</w:t>
      </w:r>
      <w:r w:rsidRPr="00F16A5E">
        <w:rPr>
          <w:sz w:val="24"/>
        </w:rPr>
        <w:tab/>
        <w:t>To evaluate the PK/PD relationship of orelabrutinib in mild-moderate SLE patients;</w:t>
      </w:r>
    </w:p>
    <w:p w14:paraId="22628CCC" w14:textId="1047890A" w:rsidR="0069719E" w:rsidRPr="00F16A5E" w:rsidRDefault="0069719E" w:rsidP="00CC5D6D">
      <w:pPr>
        <w:spacing w:beforeLines="50" w:before="156" w:line="300" w:lineRule="auto"/>
        <w:rPr>
          <w:sz w:val="24"/>
        </w:rPr>
      </w:pPr>
      <w:r w:rsidRPr="00F16A5E">
        <w:rPr>
          <w:sz w:val="24"/>
        </w:rPr>
        <w:t>4)</w:t>
      </w:r>
      <w:r w:rsidRPr="00F16A5E">
        <w:rPr>
          <w:sz w:val="24"/>
        </w:rPr>
        <w:tab/>
        <w:t>To evaluate the efficacy of orelabrutinib in mild-moderate SLE patients.</w:t>
      </w:r>
    </w:p>
    <w:p w14:paraId="2230941D" w14:textId="2E05EF9D" w:rsidR="006E18E9" w:rsidRPr="00F16A5E" w:rsidRDefault="006E18E9" w:rsidP="00CC5D6D">
      <w:pPr>
        <w:pStyle w:val="2"/>
        <w:keepLines w:val="0"/>
        <w:spacing w:beforeLines="100" w:before="312" w:after="0" w:line="300" w:lineRule="auto"/>
        <w:rPr>
          <w:rFonts w:ascii="Times New Roman" w:eastAsia="宋体" w:hAnsi="Times New Roman"/>
          <w:sz w:val="24"/>
        </w:rPr>
      </w:pPr>
      <w:bookmarkStart w:id="53" w:name="_Toc9456162"/>
      <w:bookmarkStart w:id="54" w:name="_Toc20224839"/>
      <w:bookmarkStart w:id="55" w:name="_Toc71149142"/>
      <w:r w:rsidRPr="00F16A5E">
        <w:rPr>
          <w:rFonts w:ascii="Times New Roman" w:eastAsia="宋体" w:hAnsi="Times New Roman"/>
          <w:sz w:val="24"/>
        </w:rPr>
        <w:t>2.2</w:t>
      </w:r>
      <w:bookmarkEnd w:id="53"/>
      <w:bookmarkEnd w:id="54"/>
      <w:r w:rsidR="0069719E" w:rsidRPr="00F16A5E">
        <w:rPr>
          <w:rFonts w:ascii="Times New Roman" w:eastAsia="宋体" w:hAnsi="Times New Roman"/>
          <w:sz w:val="24"/>
        </w:rPr>
        <w:tab/>
        <w:t>Study Endpoints</w:t>
      </w:r>
      <w:bookmarkEnd w:id="55"/>
    </w:p>
    <w:p w14:paraId="3CAED076" w14:textId="127161A9" w:rsidR="006E18E9" w:rsidRPr="00F16A5E" w:rsidRDefault="006E18E9" w:rsidP="00CC5D6D">
      <w:pPr>
        <w:pStyle w:val="3"/>
        <w:keepLines w:val="0"/>
        <w:spacing w:before="50" w:after="0" w:line="300" w:lineRule="auto"/>
        <w:rPr>
          <w:sz w:val="24"/>
          <w:szCs w:val="24"/>
        </w:rPr>
      </w:pPr>
      <w:bookmarkStart w:id="56" w:name="_Toc9456163"/>
      <w:bookmarkStart w:id="57" w:name="_Toc20224840"/>
      <w:bookmarkStart w:id="58" w:name="_Toc71149143"/>
      <w:r w:rsidRPr="00F16A5E">
        <w:rPr>
          <w:sz w:val="24"/>
          <w:szCs w:val="24"/>
        </w:rPr>
        <w:t>2.2.1</w:t>
      </w:r>
      <w:bookmarkEnd w:id="56"/>
      <w:bookmarkEnd w:id="57"/>
      <w:r w:rsidR="0069719E" w:rsidRPr="00F16A5E">
        <w:rPr>
          <w:sz w:val="24"/>
          <w:szCs w:val="24"/>
        </w:rPr>
        <w:tab/>
        <w:t>Primary Endpoints</w:t>
      </w:r>
      <w:bookmarkEnd w:id="58"/>
    </w:p>
    <w:p w14:paraId="223B1A60" w14:textId="77777777" w:rsidR="0069719E" w:rsidRPr="00F16A5E" w:rsidRDefault="0069719E" w:rsidP="00CC5D6D">
      <w:pPr>
        <w:spacing w:beforeLines="50" w:before="156" w:line="300" w:lineRule="auto"/>
        <w:ind w:left="360" w:hangingChars="150" w:hanging="360"/>
        <w:rPr>
          <w:sz w:val="24"/>
        </w:rPr>
      </w:pPr>
      <w:r w:rsidRPr="00F16A5E">
        <w:rPr>
          <w:sz w:val="24"/>
        </w:rPr>
        <w:t>1)</w:t>
      </w:r>
      <w:r w:rsidRPr="00F16A5E">
        <w:rPr>
          <w:sz w:val="24"/>
        </w:rPr>
        <w:tab/>
        <w:t>the occurrences of Treatment-emergent Serious Adverse Events (TESAEs) and Treatment-related Serious Adverse Events (TRSAEs);</w:t>
      </w:r>
    </w:p>
    <w:p w14:paraId="506F990D" w14:textId="77777777" w:rsidR="0069719E" w:rsidRPr="00F16A5E" w:rsidRDefault="0069719E" w:rsidP="00CC5D6D">
      <w:pPr>
        <w:spacing w:beforeLines="50" w:before="156" w:line="300" w:lineRule="auto"/>
        <w:ind w:left="360" w:hangingChars="150" w:hanging="360"/>
        <w:rPr>
          <w:sz w:val="24"/>
        </w:rPr>
      </w:pPr>
      <w:r w:rsidRPr="00F16A5E">
        <w:rPr>
          <w:sz w:val="24"/>
        </w:rPr>
        <w:t>2)</w:t>
      </w:r>
      <w:r w:rsidRPr="00F16A5E">
        <w:rPr>
          <w:sz w:val="24"/>
        </w:rPr>
        <w:tab/>
        <w:t xml:space="preserve">The occurrences of Treatment Emergent Adverse Events (TEAEs) and Treatment Related Adverse Events (TRAEs), as evaluated by severity; </w:t>
      </w:r>
    </w:p>
    <w:p w14:paraId="6C679137" w14:textId="4B20BAEB" w:rsidR="0069719E" w:rsidRPr="00F16A5E" w:rsidRDefault="0069719E" w:rsidP="00CC5D6D">
      <w:pPr>
        <w:spacing w:beforeLines="50" w:before="156" w:line="300" w:lineRule="auto"/>
        <w:ind w:left="360" w:hangingChars="150" w:hanging="360"/>
        <w:rPr>
          <w:sz w:val="24"/>
        </w:rPr>
      </w:pPr>
      <w:r w:rsidRPr="00F16A5E">
        <w:rPr>
          <w:sz w:val="24"/>
        </w:rPr>
        <w:t>3)</w:t>
      </w:r>
      <w:r w:rsidRPr="00F16A5E">
        <w:rPr>
          <w:sz w:val="24"/>
        </w:rPr>
        <w:tab/>
        <w:t>vital signs, electrocardiogram (ECG), and laboratory findings.</w:t>
      </w:r>
    </w:p>
    <w:p w14:paraId="7262625C" w14:textId="50FEE0C0" w:rsidR="006E18E9" w:rsidRPr="00F16A5E" w:rsidRDefault="006E18E9" w:rsidP="00CC5D6D">
      <w:pPr>
        <w:pStyle w:val="3"/>
        <w:keepLines w:val="0"/>
        <w:spacing w:before="50" w:after="0" w:line="300" w:lineRule="auto"/>
        <w:rPr>
          <w:sz w:val="24"/>
          <w:szCs w:val="24"/>
        </w:rPr>
      </w:pPr>
      <w:bookmarkStart w:id="59" w:name="_Toc9456164"/>
      <w:bookmarkStart w:id="60" w:name="_Toc20224841"/>
      <w:bookmarkStart w:id="61" w:name="_Toc71149144"/>
      <w:r w:rsidRPr="00F16A5E">
        <w:rPr>
          <w:sz w:val="24"/>
          <w:szCs w:val="24"/>
        </w:rPr>
        <w:t>2.2.2</w:t>
      </w:r>
      <w:bookmarkEnd w:id="59"/>
      <w:bookmarkEnd w:id="60"/>
      <w:r w:rsidR="0069719E" w:rsidRPr="00F16A5E">
        <w:rPr>
          <w:sz w:val="24"/>
          <w:szCs w:val="24"/>
        </w:rPr>
        <w:tab/>
        <w:t>Secondary Endpoints</w:t>
      </w:r>
      <w:bookmarkEnd w:id="61"/>
    </w:p>
    <w:p w14:paraId="0F8938BD" w14:textId="18D27E93" w:rsidR="006E18E9" w:rsidRPr="00F16A5E" w:rsidRDefault="0069719E" w:rsidP="00CC5D6D">
      <w:pPr>
        <w:spacing w:before="50" w:line="300" w:lineRule="auto"/>
        <w:rPr>
          <w:sz w:val="24"/>
        </w:rPr>
      </w:pPr>
      <w:r w:rsidRPr="00F16A5E">
        <w:rPr>
          <w:sz w:val="24"/>
        </w:rPr>
        <w:t>1)</w:t>
      </w:r>
      <w:r w:rsidRPr="00F16A5E">
        <w:rPr>
          <w:sz w:val="24"/>
        </w:rPr>
        <w:tab/>
        <w:t>Target Occupancy Rate:</w:t>
      </w:r>
    </w:p>
    <w:p w14:paraId="1E525EE3" w14:textId="6A17B2CE" w:rsidR="006E18E9"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BTK occupancy rate (Days -1, 1, and 14).</w:t>
      </w:r>
    </w:p>
    <w:p w14:paraId="590EF518" w14:textId="11CE9D79" w:rsidR="006E18E9" w:rsidRPr="00F16A5E" w:rsidRDefault="0069719E" w:rsidP="00CC5D6D">
      <w:pPr>
        <w:spacing w:before="50" w:line="300" w:lineRule="auto"/>
        <w:ind w:left="360" w:hangingChars="150" w:hanging="360"/>
        <w:rPr>
          <w:sz w:val="24"/>
        </w:rPr>
      </w:pPr>
      <w:r w:rsidRPr="00F16A5E">
        <w:rPr>
          <w:sz w:val="24"/>
        </w:rPr>
        <w:t>2)</w:t>
      </w:r>
      <w:r w:rsidRPr="00F16A5E">
        <w:rPr>
          <w:sz w:val="24"/>
        </w:rPr>
        <w:tab/>
        <w:t>Pharmacodynamics: The followings biomarkers are selected to evaluate the pharmacodynamics of orelabrutinib:</w:t>
      </w:r>
    </w:p>
    <w:p w14:paraId="58E89CB6" w14:textId="77777777"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Serum immunoglobulin (Ig) levels (IgA, IgG, IgM) at Days 28 and 84;</w:t>
      </w:r>
    </w:p>
    <w:p w14:paraId="6ED0E175" w14:textId="77777777"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Changes from baseline in Ig levels (IgA, IgG, IgM) and C3 and C4 levels at Days 28 and 84;</w:t>
      </w:r>
    </w:p>
    <w:p w14:paraId="5E66428F" w14:textId="77777777"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Changes from baseline in serum anti-dsDNA antibody and ANA at Days 28 and 84;</w:t>
      </w:r>
    </w:p>
    <w:p w14:paraId="141447EF" w14:textId="77777777"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Changes from baseline in cytokine expression levels (IFN-α and IL-6) at Days 28 and 84;</w:t>
      </w:r>
    </w:p>
    <w:p w14:paraId="69186973" w14:textId="77777777"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Changes from baseline in total B cell counts at Days 28 and 84;</w:t>
      </w:r>
    </w:p>
    <w:p w14:paraId="68924182" w14:textId="77777777"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Changes from baseline in effector B cell counts (</w:t>
      </w:r>
      <w:proofErr w:type="spellStart"/>
      <w:r w:rsidRPr="00F16A5E">
        <w:rPr>
          <w:rFonts w:ascii="Times New Roman" w:hAnsi="Times New Roman"/>
          <w:sz w:val="24"/>
        </w:rPr>
        <w:t>B</w:t>
      </w:r>
      <w:r w:rsidRPr="00F16A5E">
        <w:rPr>
          <w:rFonts w:ascii="Times New Roman" w:hAnsi="Times New Roman"/>
          <w:sz w:val="24"/>
          <w:vertAlign w:val="subscript"/>
        </w:rPr>
        <w:t>effs</w:t>
      </w:r>
      <w:proofErr w:type="spellEnd"/>
      <w:r w:rsidRPr="00F16A5E">
        <w:rPr>
          <w:rFonts w:ascii="Times New Roman" w:hAnsi="Times New Roman"/>
          <w:sz w:val="24"/>
        </w:rPr>
        <w:t>)at Day 28s and 84;</w:t>
      </w:r>
    </w:p>
    <w:p w14:paraId="4DE8052C" w14:textId="77777777"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Changes from baseline in regulatory B cell counts (</w:t>
      </w:r>
      <w:proofErr w:type="spellStart"/>
      <w:r w:rsidRPr="00F16A5E">
        <w:rPr>
          <w:rFonts w:ascii="Times New Roman" w:hAnsi="Times New Roman"/>
          <w:sz w:val="24"/>
        </w:rPr>
        <w:t>B</w:t>
      </w:r>
      <w:r w:rsidRPr="00F16A5E">
        <w:rPr>
          <w:rFonts w:ascii="Times New Roman" w:hAnsi="Times New Roman"/>
          <w:sz w:val="24"/>
          <w:vertAlign w:val="subscript"/>
        </w:rPr>
        <w:t>regs</w:t>
      </w:r>
      <w:proofErr w:type="spellEnd"/>
      <w:r w:rsidRPr="00F16A5E">
        <w:rPr>
          <w:rFonts w:ascii="Times New Roman" w:hAnsi="Times New Roman"/>
          <w:sz w:val="24"/>
        </w:rPr>
        <w:t>) at Days 28 and 84;</w:t>
      </w:r>
    </w:p>
    <w:p w14:paraId="591B46DE" w14:textId="77777777"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 xml:space="preserve">Changes from baseline in the ratio of </w:t>
      </w:r>
      <w:proofErr w:type="spellStart"/>
      <w:r w:rsidRPr="00F16A5E">
        <w:rPr>
          <w:rFonts w:ascii="Times New Roman" w:hAnsi="Times New Roman"/>
          <w:sz w:val="24"/>
        </w:rPr>
        <w:t>B</w:t>
      </w:r>
      <w:r w:rsidRPr="00F16A5E">
        <w:rPr>
          <w:rFonts w:ascii="Times New Roman" w:hAnsi="Times New Roman"/>
          <w:sz w:val="24"/>
          <w:vertAlign w:val="subscript"/>
        </w:rPr>
        <w:t>regs</w:t>
      </w:r>
      <w:proofErr w:type="spellEnd"/>
      <w:r w:rsidRPr="00F16A5E">
        <w:rPr>
          <w:rFonts w:ascii="Times New Roman" w:hAnsi="Times New Roman"/>
          <w:sz w:val="24"/>
        </w:rPr>
        <w:t xml:space="preserve"> to </w:t>
      </w:r>
      <w:proofErr w:type="spellStart"/>
      <w:r w:rsidRPr="00F16A5E">
        <w:rPr>
          <w:rFonts w:ascii="Times New Roman" w:hAnsi="Times New Roman"/>
          <w:sz w:val="24"/>
        </w:rPr>
        <w:t>B</w:t>
      </w:r>
      <w:r w:rsidRPr="00F16A5E">
        <w:rPr>
          <w:rFonts w:ascii="Times New Roman" w:hAnsi="Times New Roman"/>
          <w:sz w:val="24"/>
          <w:vertAlign w:val="subscript"/>
        </w:rPr>
        <w:t>effs</w:t>
      </w:r>
      <w:proofErr w:type="spellEnd"/>
      <w:r w:rsidRPr="00F16A5E">
        <w:rPr>
          <w:rFonts w:ascii="Times New Roman" w:hAnsi="Times New Roman"/>
          <w:sz w:val="24"/>
        </w:rPr>
        <w:t xml:space="preserve"> (</w:t>
      </w:r>
      <w:proofErr w:type="spellStart"/>
      <w:r w:rsidRPr="00F16A5E">
        <w:rPr>
          <w:rFonts w:ascii="Times New Roman" w:hAnsi="Times New Roman"/>
          <w:sz w:val="24"/>
        </w:rPr>
        <w:t>B</w:t>
      </w:r>
      <w:r w:rsidRPr="00F16A5E">
        <w:rPr>
          <w:rFonts w:ascii="Times New Roman" w:hAnsi="Times New Roman"/>
          <w:sz w:val="24"/>
          <w:vertAlign w:val="subscript"/>
        </w:rPr>
        <w:t>regs</w:t>
      </w:r>
      <w:proofErr w:type="spellEnd"/>
      <w:r w:rsidRPr="00F16A5E">
        <w:rPr>
          <w:rFonts w:ascii="Times New Roman" w:hAnsi="Times New Roman"/>
          <w:sz w:val="24"/>
        </w:rPr>
        <w:t>/</w:t>
      </w:r>
      <w:proofErr w:type="spellStart"/>
      <w:r w:rsidRPr="00F16A5E">
        <w:rPr>
          <w:rFonts w:ascii="Times New Roman" w:hAnsi="Times New Roman"/>
          <w:sz w:val="24"/>
        </w:rPr>
        <w:t>B</w:t>
      </w:r>
      <w:r w:rsidRPr="00F16A5E">
        <w:rPr>
          <w:rFonts w:ascii="Times New Roman" w:hAnsi="Times New Roman"/>
          <w:sz w:val="24"/>
          <w:vertAlign w:val="subscript"/>
        </w:rPr>
        <w:t>effs</w:t>
      </w:r>
      <w:proofErr w:type="spellEnd"/>
      <w:r w:rsidRPr="00F16A5E">
        <w:rPr>
          <w:rFonts w:ascii="Times New Roman" w:hAnsi="Times New Roman"/>
          <w:sz w:val="24"/>
        </w:rPr>
        <w:t>) at Days 28 and 84;</w:t>
      </w:r>
    </w:p>
    <w:p w14:paraId="302284BB" w14:textId="067AA358"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lastRenderedPageBreak/>
        <w:t>Changes from baseline in erythrocyte sedimentation rate at Days 28 and 84.</w:t>
      </w:r>
    </w:p>
    <w:p w14:paraId="5F7A8495" w14:textId="2F3CAFB9" w:rsidR="006E18E9" w:rsidRPr="00F16A5E" w:rsidRDefault="0069719E" w:rsidP="00CC5D6D">
      <w:pPr>
        <w:spacing w:before="50" w:line="300" w:lineRule="auto"/>
        <w:ind w:left="360" w:hangingChars="150" w:hanging="360"/>
        <w:rPr>
          <w:sz w:val="24"/>
        </w:rPr>
      </w:pPr>
      <w:r w:rsidRPr="00F16A5E">
        <w:rPr>
          <w:sz w:val="24"/>
        </w:rPr>
        <w:t>3)</w:t>
      </w:r>
      <w:r w:rsidRPr="00F16A5E">
        <w:rPr>
          <w:sz w:val="24"/>
        </w:rPr>
        <w:tab/>
        <w:t>Pharmacokinetics: To evaluate the pharmacokinetic characteristics through the plasma concentration-time curve and pharmacokinetic parameters after administration of orelabrutinib, including: maximum concentration (</w:t>
      </w:r>
      <w:proofErr w:type="spellStart"/>
      <w:r w:rsidRPr="00F16A5E">
        <w:rPr>
          <w:sz w:val="24"/>
        </w:rPr>
        <w:t>C</w:t>
      </w:r>
      <w:r w:rsidRPr="00F16A5E">
        <w:rPr>
          <w:sz w:val="24"/>
          <w:vertAlign w:val="subscript"/>
        </w:rPr>
        <w:t>max</w:t>
      </w:r>
      <w:proofErr w:type="spellEnd"/>
      <w:r w:rsidRPr="00F16A5E">
        <w:rPr>
          <w:sz w:val="24"/>
        </w:rPr>
        <w:t>); time to maximum concentration (</w:t>
      </w:r>
      <w:proofErr w:type="spellStart"/>
      <w:r w:rsidRPr="00F16A5E">
        <w:rPr>
          <w:sz w:val="24"/>
        </w:rPr>
        <w:t>T</w:t>
      </w:r>
      <w:r w:rsidRPr="00F16A5E">
        <w:rPr>
          <w:sz w:val="24"/>
          <w:vertAlign w:val="subscript"/>
        </w:rPr>
        <w:t>max</w:t>
      </w:r>
      <w:proofErr w:type="spellEnd"/>
      <w:r w:rsidRPr="00F16A5E">
        <w:rPr>
          <w:sz w:val="24"/>
        </w:rPr>
        <w:t>); half-life (T</w:t>
      </w:r>
      <w:r w:rsidRPr="00F16A5E">
        <w:rPr>
          <w:sz w:val="24"/>
          <w:vertAlign w:val="subscript"/>
        </w:rPr>
        <w:t>1/2</w:t>
      </w:r>
      <w:r w:rsidRPr="00F16A5E">
        <w:rPr>
          <w:sz w:val="24"/>
        </w:rPr>
        <w:t>); area under the drug concentration-time curve (AUC); apparent clearance (CL/F); terminal apparent volume of distribution (</w:t>
      </w:r>
      <w:proofErr w:type="spellStart"/>
      <w:r w:rsidRPr="00F16A5E">
        <w:rPr>
          <w:sz w:val="24"/>
        </w:rPr>
        <w:t>Vz</w:t>
      </w:r>
      <w:proofErr w:type="spellEnd"/>
      <w:r w:rsidRPr="00F16A5E">
        <w:rPr>
          <w:sz w:val="24"/>
        </w:rPr>
        <w:t>/F); accumulation factor (R), etc.</w:t>
      </w:r>
    </w:p>
    <w:p w14:paraId="462E20F4" w14:textId="1A204BCB" w:rsidR="0069719E" w:rsidRPr="00F16A5E" w:rsidRDefault="0069719E" w:rsidP="00CC5D6D">
      <w:pPr>
        <w:spacing w:before="50" w:line="300" w:lineRule="auto"/>
        <w:ind w:left="360" w:hangingChars="150" w:hanging="360"/>
        <w:rPr>
          <w:sz w:val="24"/>
        </w:rPr>
      </w:pPr>
      <w:r w:rsidRPr="00F16A5E">
        <w:rPr>
          <w:sz w:val="24"/>
        </w:rPr>
        <w:t>4)</w:t>
      </w:r>
      <w:r w:rsidRPr="00F16A5E">
        <w:rPr>
          <w:sz w:val="24"/>
        </w:rPr>
        <w:tab/>
        <w:t>Efficacy</w:t>
      </w:r>
    </w:p>
    <w:p w14:paraId="1EAE1A16" w14:textId="77777777"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 xml:space="preserve">The </w:t>
      </w:r>
      <w:proofErr w:type="spellStart"/>
      <w:r w:rsidRPr="00F16A5E">
        <w:rPr>
          <w:rFonts w:ascii="Times New Roman" w:hAnsi="Times New Roman"/>
          <w:sz w:val="24"/>
        </w:rPr>
        <w:t>responser</w:t>
      </w:r>
      <w:proofErr w:type="spellEnd"/>
      <w:r w:rsidRPr="00F16A5E">
        <w:rPr>
          <w:rFonts w:ascii="Times New Roman" w:hAnsi="Times New Roman"/>
          <w:sz w:val="24"/>
        </w:rPr>
        <w:t xml:space="preserve"> ratio, as measured by SLE Responder Index-4 (SRI-4) at Days 28 and 84;</w:t>
      </w:r>
    </w:p>
    <w:p w14:paraId="182B8926" w14:textId="317FEDDF"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 xml:space="preserve">The </w:t>
      </w:r>
      <w:proofErr w:type="spellStart"/>
      <w:r w:rsidRPr="00F16A5E">
        <w:rPr>
          <w:rFonts w:ascii="Times New Roman" w:hAnsi="Times New Roman"/>
          <w:sz w:val="24"/>
        </w:rPr>
        <w:t>responser</w:t>
      </w:r>
      <w:proofErr w:type="spellEnd"/>
      <w:r w:rsidRPr="00F16A5E">
        <w:rPr>
          <w:rFonts w:ascii="Times New Roman" w:hAnsi="Times New Roman"/>
          <w:sz w:val="24"/>
        </w:rPr>
        <w:t xml:space="preserve"> ratio, as measured by SRI-6, between Days 28 and 84;</w:t>
      </w:r>
    </w:p>
    <w:p w14:paraId="59393166" w14:textId="77777777"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The rates of the SLE disease activity index-2000 (SLEDAI-2K) score at Days 28 and 84 decreased by 4 points from the baseline;</w:t>
      </w:r>
    </w:p>
    <w:p w14:paraId="0228F18C" w14:textId="130F2F76"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 xml:space="preserve">Change in the proportion of subjects </w:t>
      </w:r>
      <w:r w:rsidR="00F62D2B" w:rsidRPr="00F16A5E">
        <w:rPr>
          <w:rFonts w:ascii="Times New Roman" w:hAnsi="Times New Roman"/>
          <w:sz w:val="24"/>
        </w:rPr>
        <w:t xml:space="preserve">at Day 84 </w:t>
      </w:r>
      <w:r w:rsidRPr="00F16A5E">
        <w:rPr>
          <w:rFonts w:ascii="Times New Roman" w:hAnsi="Times New Roman"/>
          <w:sz w:val="24"/>
        </w:rPr>
        <w:t xml:space="preserve">whose arthritis and/or rash have resolved </w:t>
      </w:r>
      <w:r w:rsidR="00F62D2B" w:rsidRPr="00F16A5E">
        <w:rPr>
          <w:rFonts w:ascii="Times New Roman" w:hAnsi="Times New Roman"/>
          <w:sz w:val="24"/>
        </w:rPr>
        <w:t>relative to</w:t>
      </w:r>
      <w:r w:rsidRPr="00F16A5E">
        <w:rPr>
          <w:rFonts w:ascii="Times New Roman" w:hAnsi="Times New Roman"/>
          <w:sz w:val="24"/>
        </w:rPr>
        <w:t xml:space="preserve"> baseline (as </w:t>
      </w:r>
      <w:r w:rsidR="00F62D2B" w:rsidRPr="00F16A5E">
        <w:rPr>
          <w:rFonts w:ascii="Times New Roman" w:hAnsi="Times New Roman"/>
          <w:sz w:val="24"/>
        </w:rPr>
        <w:t>measured</w:t>
      </w:r>
      <w:r w:rsidRPr="00F16A5E">
        <w:rPr>
          <w:rFonts w:ascii="Times New Roman" w:hAnsi="Times New Roman"/>
          <w:sz w:val="24"/>
        </w:rPr>
        <w:t xml:space="preserve"> by SLEDAI-2K);</w:t>
      </w:r>
    </w:p>
    <w:p w14:paraId="77C73304" w14:textId="14CE82A3" w:rsidR="0069719E"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The change from baseline in counts of painful joints, tender joints, and swollen joints (66/88 joint counts) at Days 28 and 84, in subjects with arthritis at baseline;</w:t>
      </w:r>
    </w:p>
    <w:p w14:paraId="5816CD6F" w14:textId="794361E5" w:rsidR="00DB2073" w:rsidRPr="00F16A5E" w:rsidRDefault="0069719E" w:rsidP="00CC5D6D">
      <w:pPr>
        <w:pStyle w:val="SynopsisText"/>
        <w:numPr>
          <w:ilvl w:val="0"/>
          <w:numId w:val="8"/>
        </w:numPr>
        <w:spacing w:before="50" w:after="0" w:line="300" w:lineRule="auto"/>
        <w:ind w:leftChars="300" w:left="1110" w:right="0" w:hangingChars="200" w:hanging="480"/>
        <w:jc w:val="both"/>
        <w:rPr>
          <w:rFonts w:ascii="Times New Roman" w:hAnsi="Times New Roman"/>
          <w:sz w:val="24"/>
        </w:rPr>
      </w:pPr>
      <w:r w:rsidRPr="00F16A5E">
        <w:rPr>
          <w:rFonts w:ascii="Times New Roman" w:hAnsi="Times New Roman"/>
          <w:sz w:val="24"/>
        </w:rPr>
        <w:t>The proportion of subjects with proteinuria ≤0.5 g/24 h or a decrease of ≥25% from baseline at Day 84, in subjects with baseline proteinuria &gt;0.5 g/24 h.</w:t>
      </w:r>
    </w:p>
    <w:p w14:paraId="7A3D215E" w14:textId="501C754C" w:rsidR="006E18E9" w:rsidRPr="00F16A5E" w:rsidRDefault="006E18E9" w:rsidP="006E18E9">
      <w:pPr>
        <w:pStyle w:val="1"/>
        <w:pageBreakBefore/>
        <w:spacing w:beforeLines="0" w:before="120" w:line="360" w:lineRule="auto"/>
        <w:jc w:val="both"/>
        <w:rPr>
          <w:rFonts w:eastAsia="宋体"/>
          <w:sz w:val="24"/>
          <w:lang w:eastAsia="zh-CN"/>
        </w:rPr>
      </w:pPr>
      <w:bookmarkStart w:id="62" w:name="_Toc20224842"/>
      <w:bookmarkStart w:id="63" w:name="_Toc71149145"/>
      <w:r w:rsidRPr="00F16A5E">
        <w:rPr>
          <w:rFonts w:eastAsia="宋体"/>
          <w:sz w:val="24"/>
          <w:lang w:eastAsia="zh-CN"/>
        </w:rPr>
        <w:lastRenderedPageBreak/>
        <w:t>3</w:t>
      </w:r>
      <w:bookmarkEnd w:id="62"/>
      <w:r w:rsidR="00CC5D6D" w:rsidRPr="00F16A5E">
        <w:rPr>
          <w:rFonts w:eastAsia="宋体"/>
          <w:sz w:val="24"/>
          <w:lang w:eastAsia="zh-CN"/>
        </w:rPr>
        <w:tab/>
        <w:t>Study Design</w:t>
      </w:r>
      <w:bookmarkEnd w:id="63"/>
    </w:p>
    <w:p w14:paraId="1635F9CE" w14:textId="0A26D230" w:rsidR="006E18E9" w:rsidRPr="00F16A5E" w:rsidRDefault="006E18E9" w:rsidP="006E18E9">
      <w:pPr>
        <w:pStyle w:val="2"/>
        <w:keepLines w:val="0"/>
        <w:spacing w:before="60" w:after="60" w:line="360" w:lineRule="auto"/>
        <w:rPr>
          <w:rFonts w:ascii="Times New Roman" w:eastAsia="宋体" w:hAnsi="Times New Roman"/>
          <w:sz w:val="24"/>
        </w:rPr>
      </w:pPr>
      <w:bookmarkStart w:id="64" w:name="_Toc7170219"/>
      <w:bookmarkStart w:id="65" w:name="_Toc9456166"/>
      <w:bookmarkStart w:id="66" w:name="_Toc20224843"/>
      <w:bookmarkStart w:id="67" w:name="_Toc71149146"/>
      <w:r w:rsidRPr="00F16A5E">
        <w:rPr>
          <w:rFonts w:ascii="Times New Roman" w:eastAsia="宋体" w:hAnsi="Times New Roman"/>
          <w:sz w:val="24"/>
        </w:rPr>
        <w:t>3.1</w:t>
      </w:r>
      <w:bookmarkEnd w:id="64"/>
      <w:bookmarkEnd w:id="65"/>
      <w:bookmarkEnd w:id="66"/>
      <w:r w:rsidR="00CC5D6D" w:rsidRPr="00F16A5E">
        <w:rPr>
          <w:rFonts w:ascii="Times New Roman" w:eastAsia="宋体" w:hAnsi="Times New Roman"/>
          <w:sz w:val="24"/>
        </w:rPr>
        <w:tab/>
        <w:t>Overall Design of the Study</w:t>
      </w:r>
      <w:bookmarkEnd w:id="67"/>
    </w:p>
    <w:p w14:paraId="2FBD019E" w14:textId="46B0002B" w:rsidR="006E18E9" w:rsidRPr="00F16A5E" w:rsidRDefault="00CC5D6D" w:rsidP="00CC5D6D">
      <w:pPr>
        <w:spacing w:beforeLines="50" w:before="156" w:line="300" w:lineRule="auto"/>
        <w:rPr>
          <w:kern w:val="0"/>
          <w:sz w:val="24"/>
        </w:rPr>
      </w:pPr>
      <w:r w:rsidRPr="00F16A5E">
        <w:rPr>
          <w:kern w:val="0"/>
          <w:sz w:val="24"/>
        </w:rPr>
        <w:t xml:space="preserve">This study is designed as a randomized, double-blind, placebo-controlled trial. It includes </w:t>
      </w:r>
      <w:r w:rsidR="000364A6" w:rsidRPr="00F16A5E">
        <w:rPr>
          <w:kern w:val="0"/>
          <w:sz w:val="24"/>
        </w:rPr>
        <w:t>a</w:t>
      </w:r>
      <w:r w:rsidRPr="00F16A5E">
        <w:rPr>
          <w:kern w:val="0"/>
          <w:sz w:val="24"/>
        </w:rPr>
        <w:t xml:space="preserve"> screening period (no more than 28 days after the subject signs the informed consent to the first dose), </w:t>
      </w:r>
      <w:r w:rsidR="000364A6" w:rsidRPr="00F16A5E">
        <w:rPr>
          <w:kern w:val="0"/>
          <w:sz w:val="24"/>
        </w:rPr>
        <w:t>a</w:t>
      </w:r>
      <w:r w:rsidRPr="00F16A5E">
        <w:rPr>
          <w:kern w:val="0"/>
          <w:sz w:val="24"/>
        </w:rPr>
        <w:t xml:space="preserve"> treatment period (12 consecutive weeks after the first dose), and </w:t>
      </w:r>
      <w:r w:rsidR="000364A6" w:rsidRPr="00F16A5E">
        <w:rPr>
          <w:kern w:val="0"/>
          <w:sz w:val="24"/>
        </w:rPr>
        <w:t>a</w:t>
      </w:r>
      <w:r w:rsidRPr="00F16A5E">
        <w:rPr>
          <w:kern w:val="0"/>
          <w:sz w:val="24"/>
        </w:rPr>
        <w:t xml:space="preserve"> follow-up period (28 days after the last dose). The schematic diagram of the overall design of the study is as follows:</w:t>
      </w:r>
    </w:p>
    <w:p w14:paraId="3FCACCF7" w14:textId="36839951" w:rsidR="00CA4F9C" w:rsidRPr="00F16A5E" w:rsidRDefault="00F63230" w:rsidP="00CC5D6D">
      <w:pPr>
        <w:spacing w:beforeLines="50" w:before="156" w:line="300" w:lineRule="auto"/>
        <w:rPr>
          <w:kern w:val="0"/>
          <w:sz w:val="24"/>
        </w:rPr>
      </w:pPr>
      <w:r w:rsidRPr="00F16A5E">
        <w:rPr>
          <w:noProof/>
          <w:kern w:val="0"/>
          <w:sz w:val="24"/>
        </w:rPr>
        <mc:AlternateContent>
          <mc:Choice Requires="wps">
            <w:drawing>
              <wp:anchor distT="0" distB="0" distL="114300" distR="114300" simplePos="0" relativeHeight="251678720" behindDoc="0" locked="0" layoutInCell="1" allowOverlap="1" wp14:anchorId="0D88BF6E" wp14:editId="17B98B3E">
                <wp:simplePos x="0" y="0"/>
                <wp:positionH relativeFrom="column">
                  <wp:posOffset>2773556</wp:posOffset>
                </wp:positionH>
                <wp:positionV relativeFrom="paragraph">
                  <wp:posOffset>53217</wp:posOffset>
                </wp:positionV>
                <wp:extent cx="250963" cy="1593850"/>
                <wp:effectExtent l="0" t="80962" r="11112" b="11113"/>
                <wp:wrapNone/>
                <wp:docPr id="14" name="右大括号 14"/>
                <wp:cNvGraphicFramePr/>
                <a:graphic xmlns:a="http://schemas.openxmlformats.org/drawingml/2006/main">
                  <a:graphicData uri="http://schemas.microsoft.com/office/word/2010/wordprocessingShape">
                    <wps:wsp>
                      <wps:cNvSpPr/>
                      <wps:spPr>
                        <a:xfrm rot="16200000">
                          <a:off x="0" y="0"/>
                          <a:ext cx="250963" cy="15938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28E4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14" o:spid="_x0000_s1026" type="#_x0000_t88" style="position:absolute;left:0;text-align:left;margin-left:218.4pt;margin-top:4.2pt;width:19.75pt;height:125.5pt;rotation:-9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" adj="283" strokecolor="#4472c4 [3204]" strokeweight=".5pt">
                <v:stroke joinstyle="miter"/>
              </v:shape>
            </w:pict>
          </mc:Fallback>
        </mc:AlternateContent>
      </w:r>
      <w:r w:rsidR="005E607E" w:rsidRPr="00F16A5E">
        <w:rPr>
          <w:noProof/>
          <w:kern w:val="0"/>
          <w:sz w:val="24"/>
        </w:rPr>
        <mc:AlternateContent>
          <mc:Choice Requires="wps">
            <w:drawing>
              <wp:anchor distT="0" distB="0" distL="114300" distR="114300" simplePos="0" relativeHeight="251668480" behindDoc="0" locked="0" layoutInCell="1" allowOverlap="1" wp14:anchorId="4294D7D3" wp14:editId="1B286BC8">
                <wp:simplePos x="0" y="0"/>
                <wp:positionH relativeFrom="column">
                  <wp:posOffset>1967092</wp:posOffset>
                </wp:positionH>
                <wp:positionV relativeFrom="paragraph">
                  <wp:posOffset>263939</wp:posOffset>
                </wp:positionV>
                <wp:extent cx="1924216" cy="417443"/>
                <wp:effectExtent l="0" t="0" r="0" b="1905"/>
                <wp:wrapNone/>
                <wp:docPr id="7" name="矩形 7"/>
                <wp:cNvGraphicFramePr/>
                <a:graphic xmlns:a="http://schemas.openxmlformats.org/drawingml/2006/main">
                  <a:graphicData uri="http://schemas.microsoft.com/office/word/2010/wordprocessingShape">
                    <wps:wsp>
                      <wps:cNvSpPr/>
                      <wps:spPr>
                        <a:xfrm>
                          <a:off x="0" y="0"/>
                          <a:ext cx="1924216" cy="417443"/>
                        </a:xfrm>
                        <a:prstGeom prst="rect">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83ACC6" w14:textId="77777777" w:rsidR="00173798" w:rsidRPr="005E607E" w:rsidRDefault="00173798" w:rsidP="005E607E">
                            <w:pPr>
                              <w:spacing w:line="240" w:lineRule="exact"/>
                              <w:ind w:leftChars="-50" w:left="-105" w:rightChars="-50" w:right="-105"/>
                              <w:jc w:val="center"/>
                              <w:rPr>
                                <w:b/>
                                <w:bCs/>
                              </w:rPr>
                            </w:pPr>
                            <w:r w:rsidRPr="005E607E">
                              <w:rPr>
                                <w:rFonts w:hint="eastAsia"/>
                                <w:b/>
                                <w:bCs/>
                              </w:rPr>
                              <w:t>T</w:t>
                            </w:r>
                            <w:r w:rsidRPr="005E607E">
                              <w:rPr>
                                <w:b/>
                                <w:bCs/>
                              </w:rPr>
                              <w:t>reatment period</w:t>
                            </w:r>
                          </w:p>
                          <w:p w14:paraId="52880151" w14:textId="77777777" w:rsidR="00173798" w:rsidRPr="005E607E" w:rsidRDefault="00173798" w:rsidP="005E607E">
                            <w:pPr>
                              <w:spacing w:line="240" w:lineRule="exact"/>
                              <w:ind w:leftChars="-50" w:left="-105" w:rightChars="-50" w:right="-105"/>
                              <w:jc w:val="center"/>
                              <w:rPr>
                                <w:b/>
                                <w:bCs/>
                              </w:rPr>
                            </w:pPr>
                            <w:r w:rsidRPr="005E607E">
                              <w:rPr>
                                <w:b/>
                                <w:bCs/>
                              </w:rPr>
                              <w:t>Once daily PO for 12 weeks</w:t>
                            </w:r>
                          </w:p>
                          <w:p w14:paraId="75778EFE" w14:textId="77777777" w:rsidR="00173798" w:rsidRDefault="00173798" w:rsidP="005E6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4D7D3" id="矩形 7" o:spid="_x0000_s1026" style="position:absolute;left:0;text-align:left;margin-left:154.9pt;margin-top:20.8pt;width:151.5pt;height:3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" fillcolor="#f90" stroked="f" strokeweight="1pt">
                <v:textbox>
                  <w:txbxContent>
                    <w:p w14:paraId="2C83ACC6" w14:textId="77777777" w:rsidR="00173798" w:rsidRPr="005E607E" w:rsidRDefault="00173798" w:rsidP="005E607E">
                      <w:pPr>
                        <w:spacing w:line="240" w:lineRule="exact"/>
                        <w:ind w:leftChars="-50" w:left="-105" w:rightChars="-50" w:right="-105"/>
                        <w:jc w:val="center"/>
                        <w:rPr>
                          <w:b/>
                          <w:bCs/>
                        </w:rPr>
                      </w:pPr>
                      <w:r w:rsidRPr="005E607E">
                        <w:rPr>
                          <w:rFonts w:hint="eastAsia"/>
                          <w:b/>
                          <w:bCs/>
                        </w:rPr>
                        <w:t>T</w:t>
                      </w:r>
                      <w:r w:rsidRPr="005E607E">
                        <w:rPr>
                          <w:b/>
                          <w:bCs/>
                        </w:rPr>
                        <w:t>reatment period</w:t>
                      </w:r>
                    </w:p>
                    <w:p w14:paraId="52880151" w14:textId="77777777" w:rsidR="00173798" w:rsidRPr="005E607E" w:rsidRDefault="00173798" w:rsidP="005E607E">
                      <w:pPr>
                        <w:spacing w:line="240" w:lineRule="exact"/>
                        <w:ind w:leftChars="-50" w:left="-105" w:rightChars="-50" w:right="-105"/>
                        <w:jc w:val="center"/>
                        <w:rPr>
                          <w:b/>
                          <w:bCs/>
                        </w:rPr>
                      </w:pPr>
                      <w:r w:rsidRPr="005E607E">
                        <w:rPr>
                          <w:b/>
                          <w:bCs/>
                        </w:rPr>
                        <w:t>Once daily PO for 12 weeks</w:t>
                      </w:r>
                    </w:p>
                    <w:p w14:paraId="75778EFE" w14:textId="77777777" w:rsidR="00173798" w:rsidRDefault="00173798" w:rsidP="005E607E">
                      <w:pPr>
                        <w:jc w:val="center"/>
                      </w:pPr>
                    </w:p>
                  </w:txbxContent>
                </v:textbox>
              </v:rect>
            </w:pict>
          </mc:Fallback>
        </mc:AlternateContent>
      </w:r>
    </w:p>
    <w:p w14:paraId="67D85135" w14:textId="7F2E0016" w:rsidR="00CA4F9C" w:rsidRPr="00F16A5E" w:rsidRDefault="00CA4F9C" w:rsidP="00CC5D6D">
      <w:pPr>
        <w:spacing w:beforeLines="50" w:before="156" w:line="300" w:lineRule="auto"/>
        <w:rPr>
          <w:kern w:val="0"/>
          <w:sz w:val="24"/>
        </w:rPr>
      </w:pPr>
    </w:p>
    <w:p w14:paraId="3519AEBC" w14:textId="058A9C31" w:rsidR="00CA4F9C" w:rsidRPr="00F16A5E" w:rsidRDefault="005E607E" w:rsidP="00CC5D6D">
      <w:pPr>
        <w:spacing w:beforeLines="50" w:before="156" w:line="300" w:lineRule="auto"/>
        <w:rPr>
          <w:kern w:val="0"/>
          <w:sz w:val="24"/>
        </w:rPr>
      </w:pPr>
      <w:r w:rsidRPr="00F16A5E">
        <w:rPr>
          <w:noProof/>
          <w:kern w:val="0"/>
          <w:sz w:val="24"/>
        </w:rPr>
        <mc:AlternateContent>
          <mc:Choice Requires="wps">
            <w:drawing>
              <wp:anchor distT="0" distB="0" distL="114300" distR="114300" simplePos="0" relativeHeight="251677696" behindDoc="0" locked="0" layoutInCell="1" allowOverlap="1" wp14:anchorId="7EE3E2B2" wp14:editId="1A086A30">
                <wp:simplePos x="0" y="0"/>
                <wp:positionH relativeFrom="column">
                  <wp:posOffset>1872035</wp:posOffset>
                </wp:positionH>
                <wp:positionV relativeFrom="paragraph">
                  <wp:posOffset>318466</wp:posOffset>
                </wp:positionV>
                <wp:extent cx="385252" cy="1629603"/>
                <wp:effectExtent l="0" t="0" r="0" b="8890"/>
                <wp:wrapNone/>
                <wp:docPr id="12" name="矩形 12"/>
                <wp:cNvGraphicFramePr/>
                <a:graphic xmlns:a="http://schemas.openxmlformats.org/drawingml/2006/main">
                  <a:graphicData uri="http://schemas.microsoft.com/office/word/2010/wordprocessingShape">
                    <wps:wsp>
                      <wps:cNvSpPr/>
                      <wps:spPr>
                        <a:xfrm>
                          <a:off x="0" y="0"/>
                          <a:ext cx="385252" cy="1629603"/>
                        </a:xfrm>
                        <a:prstGeom prst="rect">
                          <a:avLst/>
                        </a:prstGeom>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6A032C54" w14:textId="6E474322" w:rsidR="00173798" w:rsidRDefault="00173798" w:rsidP="005E607E">
                            <w:pPr>
                              <w:jc w:val="center"/>
                            </w:pPr>
                            <w:r>
                              <w:rPr>
                                <w:rFonts w:hint="eastAsia"/>
                              </w:rPr>
                              <w:t>R</w:t>
                            </w:r>
                            <w:r>
                              <w:t>andomization at D1</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3E2B2" id="矩形 12" o:spid="_x0000_s1027" style="position:absolute;left:0;text-align:left;margin-left:147.4pt;margin-top:25.1pt;width:30.35pt;height:12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" fillcolor="#5b9bd5 [3208]" stroked="f" strokeweight="1pt">
                <v:textbox style="layout-flow:vertical;mso-layout-flow-alt:bottom-to-top">
                  <w:txbxContent>
                    <w:p w14:paraId="6A032C54" w14:textId="6E474322" w:rsidR="00173798" w:rsidRDefault="00173798" w:rsidP="005E607E">
                      <w:pPr>
                        <w:jc w:val="center"/>
                      </w:pPr>
                      <w:r>
                        <w:rPr>
                          <w:rFonts w:hint="eastAsia"/>
                        </w:rPr>
                        <w:t>R</w:t>
                      </w:r>
                      <w:r>
                        <w:t>andomization at D1</w:t>
                      </w:r>
                    </w:p>
                  </w:txbxContent>
                </v:textbox>
              </v:rect>
            </w:pict>
          </mc:Fallback>
        </mc:AlternateContent>
      </w:r>
      <w:r w:rsidRPr="00F16A5E">
        <w:rPr>
          <w:noProof/>
          <w:kern w:val="0"/>
          <w:sz w:val="24"/>
        </w:rPr>
        <mc:AlternateContent>
          <mc:Choice Requires="wps">
            <w:drawing>
              <wp:anchor distT="0" distB="0" distL="114300" distR="114300" simplePos="0" relativeHeight="251670528" behindDoc="0" locked="0" layoutInCell="1" allowOverlap="1" wp14:anchorId="3B4BE171" wp14:editId="43BAAB8E">
                <wp:simplePos x="0" y="0"/>
                <wp:positionH relativeFrom="column">
                  <wp:posOffset>2365016</wp:posOffset>
                </wp:positionH>
                <wp:positionV relativeFrom="paragraph">
                  <wp:posOffset>318466</wp:posOffset>
                </wp:positionV>
                <wp:extent cx="1582310" cy="317804"/>
                <wp:effectExtent l="0" t="0" r="0" b="6350"/>
                <wp:wrapNone/>
                <wp:docPr id="8" name="矩形 8"/>
                <wp:cNvGraphicFramePr/>
                <a:graphic xmlns:a="http://schemas.openxmlformats.org/drawingml/2006/main">
                  <a:graphicData uri="http://schemas.microsoft.com/office/word/2010/wordprocessingShape">
                    <wps:wsp>
                      <wps:cNvSpPr/>
                      <wps:spPr>
                        <a:xfrm>
                          <a:off x="0" y="0"/>
                          <a:ext cx="1582310" cy="317804"/>
                        </a:xfrm>
                        <a:prstGeom prst="rect">
                          <a:avLst/>
                        </a:prstGeom>
                        <a:solidFill>
                          <a:srgbClr val="FFC000"/>
                        </a:solidFill>
                        <a:ln w="12700" cap="flat" cmpd="sng" algn="ctr">
                          <a:noFill/>
                          <a:prstDash val="solid"/>
                          <a:miter lim="800000"/>
                        </a:ln>
                        <a:effectLst/>
                      </wps:spPr>
                      <wps:txbx>
                        <w:txbxContent>
                          <w:p w14:paraId="20EBD317" w14:textId="515F1F6A" w:rsidR="00173798" w:rsidRPr="005E607E" w:rsidRDefault="00173798" w:rsidP="005E607E">
                            <w:pPr>
                              <w:spacing w:line="240" w:lineRule="exact"/>
                              <w:ind w:leftChars="-50" w:left="-105" w:rightChars="-50" w:right="-105"/>
                              <w:jc w:val="center"/>
                              <w:rPr>
                                <w:b/>
                                <w:bCs/>
                                <w:color w:val="FFFFFF" w:themeColor="background1"/>
                              </w:rPr>
                            </w:pPr>
                            <w:r w:rsidRPr="005E607E">
                              <w:rPr>
                                <w:b/>
                                <w:bCs/>
                                <w:color w:val="FFFFFF" w:themeColor="background1"/>
                              </w:rPr>
                              <w:t>Placebo (n=15)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BE171" id="矩形 8" o:spid="_x0000_s1028" style="position:absolute;left:0;text-align:left;margin-left:186.2pt;margin-top:25.1pt;width:124.6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" fillcolor="#ffc000" stroked="f" strokeweight="1pt">
                <v:textbox>
                  <w:txbxContent>
                    <w:p w14:paraId="20EBD317" w14:textId="515F1F6A" w:rsidR="00173798" w:rsidRPr="005E607E" w:rsidRDefault="00173798" w:rsidP="005E607E">
                      <w:pPr>
                        <w:spacing w:line="240" w:lineRule="exact"/>
                        <w:ind w:leftChars="-50" w:left="-105" w:rightChars="-50" w:right="-105"/>
                        <w:jc w:val="center"/>
                        <w:rPr>
                          <w:b/>
                          <w:bCs/>
                          <w:color w:val="FFFFFF" w:themeColor="background1"/>
                        </w:rPr>
                      </w:pPr>
                      <w:r w:rsidRPr="005E607E">
                        <w:rPr>
                          <w:b/>
                          <w:bCs/>
                          <w:color w:val="FFFFFF" w:themeColor="background1"/>
                        </w:rPr>
                        <w:t>Placebo (n=15)</w:t>
                      </w:r>
                    </w:p>
                  </w:txbxContent>
                </v:textbox>
              </v:rect>
            </w:pict>
          </mc:Fallback>
        </mc:AlternateContent>
      </w:r>
    </w:p>
    <w:p w14:paraId="6FAC0CD7" w14:textId="477E24C8" w:rsidR="005E607E" w:rsidRPr="00F16A5E" w:rsidRDefault="005E607E" w:rsidP="00CC5D6D">
      <w:pPr>
        <w:spacing w:beforeLines="50" w:before="156" w:line="300" w:lineRule="auto"/>
        <w:rPr>
          <w:kern w:val="0"/>
          <w:sz w:val="24"/>
        </w:rPr>
      </w:pPr>
    </w:p>
    <w:p w14:paraId="56297F11" w14:textId="4D55FA5A" w:rsidR="005E607E" w:rsidRPr="00F16A5E" w:rsidRDefault="00F63230" w:rsidP="00CC5D6D">
      <w:pPr>
        <w:spacing w:beforeLines="50" w:before="156" w:line="300" w:lineRule="auto"/>
        <w:rPr>
          <w:kern w:val="0"/>
          <w:sz w:val="24"/>
        </w:rPr>
      </w:pPr>
      <w:r w:rsidRPr="00F16A5E">
        <w:rPr>
          <w:noProof/>
          <w:kern w:val="0"/>
          <w:sz w:val="24"/>
        </w:rPr>
        <mc:AlternateContent>
          <mc:Choice Requires="wps">
            <w:drawing>
              <wp:anchor distT="0" distB="0" distL="114300" distR="114300" simplePos="0" relativeHeight="251681792" behindDoc="0" locked="0" layoutInCell="1" allowOverlap="1" wp14:anchorId="2ACB2F31" wp14:editId="2920E285">
                <wp:simplePos x="0" y="0"/>
                <wp:positionH relativeFrom="column">
                  <wp:posOffset>528320</wp:posOffset>
                </wp:positionH>
                <wp:positionV relativeFrom="paragraph">
                  <wp:posOffset>72694</wp:posOffset>
                </wp:positionV>
                <wp:extent cx="1041620" cy="703690"/>
                <wp:effectExtent l="0" t="0" r="6350" b="1270"/>
                <wp:wrapNone/>
                <wp:docPr id="16" name="矩形 16"/>
                <wp:cNvGraphicFramePr/>
                <a:graphic xmlns:a="http://schemas.openxmlformats.org/drawingml/2006/main">
                  <a:graphicData uri="http://schemas.microsoft.com/office/word/2010/wordprocessingShape">
                    <wps:wsp>
                      <wps:cNvSpPr/>
                      <wps:spPr>
                        <a:xfrm>
                          <a:off x="0" y="0"/>
                          <a:ext cx="1041620" cy="703690"/>
                        </a:xfrm>
                        <a:prstGeom prst="rect">
                          <a:avLst/>
                        </a:prstGeom>
                        <a:solidFill>
                          <a:srgbClr val="FF0066"/>
                        </a:solidFill>
                        <a:ln w="12700" cap="flat" cmpd="sng" algn="ctr">
                          <a:noFill/>
                          <a:prstDash val="solid"/>
                          <a:miter lim="800000"/>
                        </a:ln>
                        <a:effectLst/>
                      </wps:spPr>
                      <wps:txbx>
                        <w:txbxContent>
                          <w:p w14:paraId="2F9A511B" w14:textId="25FB0808" w:rsidR="00173798" w:rsidRPr="00F63230" w:rsidRDefault="00173798" w:rsidP="00F63230">
                            <w:pPr>
                              <w:jc w:val="center"/>
                              <w:rPr>
                                <w:b/>
                                <w:bCs/>
                                <w:color w:val="FFFFFF" w:themeColor="background1"/>
                              </w:rPr>
                            </w:pPr>
                            <w:r w:rsidRPr="00F63230">
                              <w:rPr>
                                <w:b/>
                                <w:bCs/>
                                <w:color w:val="FFFFFF" w:themeColor="background1"/>
                              </w:rPr>
                              <w:t>Screening period</w:t>
                            </w:r>
                          </w:p>
                          <w:p w14:paraId="2A6FE743" w14:textId="43644055" w:rsidR="00173798" w:rsidRPr="00F63230" w:rsidRDefault="00173798" w:rsidP="00F63230">
                            <w:pPr>
                              <w:jc w:val="center"/>
                              <w:rPr>
                                <w:b/>
                                <w:bCs/>
                                <w:color w:val="FFFFFF" w:themeColor="background1"/>
                              </w:rPr>
                            </w:pPr>
                            <w:r w:rsidRPr="00F63230">
                              <w:rPr>
                                <w:rFonts w:hint="eastAsia"/>
                                <w:b/>
                                <w:bCs/>
                                <w:color w:val="FFFFFF" w:themeColor="background1"/>
                              </w:rPr>
                              <w:t>D</w:t>
                            </w:r>
                            <w:r w:rsidRPr="00F63230">
                              <w:rPr>
                                <w:b/>
                                <w:bCs/>
                                <w:color w:val="FFFFFF" w:themeColor="background1"/>
                              </w:rPr>
                              <w:t>ay -28 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CB2F31" id="矩形 16" o:spid="_x0000_s1029" style="position:absolute;left:0;text-align:left;margin-left:41.6pt;margin-top:5.7pt;width:82pt;height:55.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" fillcolor="#f06" stroked="f" strokeweight="1pt">
                <v:textbox>
                  <w:txbxContent>
                    <w:p w14:paraId="2F9A511B" w14:textId="25FB0808" w:rsidR="00173798" w:rsidRPr="00F63230" w:rsidRDefault="00173798" w:rsidP="00F63230">
                      <w:pPr>
                        <w:jc w:val="center"/>
                        <w:rPr>
                          <w:b/>
                          <w:bCs/>
                          <w:color w:val="FFFFFF" w:themeColor="background1"/>
                        </w:rPr>
                      </w:pPr>
                      <w:r w:rsidRPr="00F63230">
                        <w:rPr>
                          <w:b/>
                          <w:bCs/>
                          <w:color w:val="FFFFFF" w:themeColor="background1"/>
                        </w:rPr>
                        <w:t>Screening period</w:t>
                      </w:r>
                    </w:p>
                    <w:p w14:paraId="2A6FE743" w14:textId="43644055" w:rsidR="00173798" w:rsidRPr="00F63230" w:rsidRDefault="00173798" w:rsidP="00F63230">
                      <w:pPr>
                        <w:jc w:val="center"/>
                        <w:rPr>
                          <w:b/>
                          <w:bCs/>
                          <w:color w:val="FFFFFF" w:themeColor="background1"/>
                        </w:rPr>
                      </w:pPr>
                      <w:r w:rsidRPr="00F63230">
                        <w:rPr>
                          <w:rFonts w:hint="eastAsia"/>
                          <w:b/>
                          <w:bCs/>
                          <w:color w:val="FFFFFF" w:themeColor="background1"/>
                        </w:rPr>
                        <w:t>D</w:t>
                      </w:r>
                      <w:r w:rsidRPr="00F63230">
                        <w:rPr>
                          <w:b/>
                          <w:bCs/>
                          <w:color w:val="FFFFFF" w:themeColor="background1"/>
                        </w:rPr>
                        <w:t>ay -28 to -1</w:t>
                      </w:r>
                    </w:p>
                  </w:txbxContent>
                </v:textbox>
              </v:rect>
            </w:pict>
          </mc:Fallback>
        </mc:AlternateContent>
      </w:r>
      <w:r w:rsidRPr="00F16A5E">
        <w:rPr>
          <w:noProof/>
          <w:kern w:val="0"/>
          <w:sz w:val="24"/>
        </w:rPr>
        <mc:AlternateContent>
          <mc:Choice Requires="wps">
            <w:drawing>
              <wp:anchor distT="0" distB="0" distL="114300" distR="114300" simplePos="0" relativeHeight="251679744" behindDoc="0" locked="0" layoutInCell="1" allowOverlap="1" wp14:anchorId="60689F4A" wp14:editId="1BE46C4B">
                <wp:simplePos x="0" y="0"/>
                <wp:positionH relativeFrom="column">
                  <wp:posOffset>4257040</wp:posOffset>
                </wp:positionH>
                <wp:positionV relativeFrom="paragraph">
                  <wp:posOffset>46245</wp:posOffset>
                </wp:positionV>
                <wp:extent cx="1041620" cy="703690"/>
                <wp:effectExtent l="0" t="0" r="6350" b="1270"/>
                <wp:wrapNone/>
                <wp:docPr id="15" name="矩形 15"/>
                <wp:cNvGraphicFramePr/>
                <a:graphic xmlns:a="http://schemas.openxmlformats.org/drawingml/2006/main">
                  <a:graphicData uri="http://schemas.microsoft.com/office/word/2010/wordprocessingShape">
                    <wps:wsp>
                      <wps:cNvSpPr/>
                      <wps:spPr>
                        <a:xfrm>
                          <a:off x="0" y="0"/>
                          <a:ext cx="1041620" cy="70369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9455A8" w14:textId="519D0C70" w:rsidR="00173798" w:rsidRPr="00F63230" w:rsidRDefault="00173798" w:rsidP="00F63230">
                            <w:pPr>
                              <w:jc w:val="center"/>
                              <w:rPr>
                                <w:b/>
                                <w:bCs/>
                              </w:rPr>
                            </w:pPr>
                            <w:r w:rsidRPr="00F63230">
                              <w:rPr>
                                <w:rFonts w:hint="eastAsia"/>
                                <w:b/>
                                <w:bCs/>
                              </w:rPr>
                              <w:t>F</w:t>
                            </w:r>
                            <w:r w:rsidRPr="00F63230">
                              <w:rPr>
                                <w:b/>
                                <w:bCs/>
                              </w:rPr>
                              <w:t xml:space="preserve">ollow-up </w:t>
                            </w:r>
                          </w:p>
                          <w:p w14:paraId="10F2F5B0" w14:textId="3BFBC2CC" w:rsidR="00173798" w:rsidRPr="00F63230" w:rsidRDefault="00173798" w:rsidP="00F63230">
                            <w:pPr>
                              <w:jc w:val="center"/>
                              <w:rPr>
                                <w:b/>
                                <w:bCs/>
                              </w:rPr>
                            </w:pPr>
                            <w:r w:rsidRPr="00F63230">
                              <w:rPr>
                                <w:rFonts w:hint="eastAsia"/>
                                <w:b/>
                                <w:bCs/>
                              </w:rPr>
                              <w:t>2</w:t>
                            </w:r>
                            <w:r w:rsidRPr="00F63230">
                              <w:rPr>
                                <w:b/>
                                <w:bCs/>
                              </w:rPr>
                              <w:t>8days after last dose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689F4A" id="矩形 15" o:spid="_x0000_s1030" style="position:absolute;left:0;text-align:left;margin-left:335.2pt;margin-top:3.65pt;width:82pt;height:55.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" fillcolor="#7030a0" stroked="f" strokeweight="1pt">
                <v:textbox>
                  <w:txbxContent>
                    <w:p w14:paraId="579455A8" w14:textId="519D0C70" w:rsidR="00173798" w:rsidRPr="00F63230" w:rsidRDefault="00173798" w:rsidP="00F63230">
                      <w:pPr>
                        <w:jc w:val="center"/>
                        <w:rPr>
                          <w:b/>
                          <w:bCs/>
                        </w:rPr>
                      </w:pPr>
                      <w:r w:rsidRPr="00F63230">
                        <w:rPr>
                          <w:rFonts w:hint="eastAsia"/>
                          <w:b/>
                          <w:bCs/>
                        </w:rPr>
                        <w:t>F</w:t>
                      </w:r>
                      <w:r w:rsidRPr="00F63230">
                        <w:rPr>
                          <w:b/>
                          <w:bCs/>
                        </w:rPr>
                        <w:t xml:space="preserve">ollow-up </w:t>
                      </w:r>
                    </w:p>
                    <w:p w14:paraId="10F2F5B0" w14:textId="3BFBC2CC" w:rsidR="00173798" w:rsidRPr="00F63230" w:rsidRDefault="00173798" w:rsidP="00F63230">
                      <w:pPr>
                        <w:jc w:val="center"/>
                        <w:rPr>
                          <w:b/>
                          <w:bCs/>
                        </w:rPr>
                      </w:pPr>
                      <w:r w:rsidRPr="00F63230">
                        <w:rPr>
                          <w:rFonts w:hint="eastAsia"/>
                          <w:b/>
                          <w:bCs/>
                        </w:rPr>
                        <w:t>2</w:t>
                      </w:r>
                      <w:r w:rsidRPr="00F63230">
                        <w:rPr>
                          <w:b/>
                          <w:bCs/>
                        </w:rPr>
                        <w:t>8days after last dose</w:t>
                      </w:r>
                    </w:p>
                  </w:txbxContent>
                </v:textbox>
              </v:rect>
            </w:pict>
          </mc:Fallback>
        </mc:AlternateContent>
      </w:r>
      <w:r w:rsidR="005E607E" w:rsidRPr="00F16A5E">
        <w:rPr>
          <w:noProof/>
          <w:kern w:val="0"/>
          <w:sz w:val="24"/>
        </w:rPr>
        <mc:AlternateContent>
          <mc:Choice Requires="wps">
            <w:drawing>
              <wp:anchor distT="0" distB="0" distL="114300" distR="114300" simplePos="0" relativeHeight="251672576" behindDoc="0" locked="0" layoutInCell="1" allowOverlap="1" wp14:anchorId="0E6731FD" wp14:editId="0DE33AC3">
                <wp:simplePos x="0" y="0"/>
                <wp:positionH relativeFrom="column">
                  <wp:posOffset>2364933</wp:posOffset>
                </wp:positionH>
                <wp:positionV relativeFrom="paragraph">
                  <wp:posOffset>90805</wp:posOffset>
                </wp:positionV>
                <wp:extent cx="1582310" cy="317804"/>
                <wp:effectExtent l="0" t="0" r="0" b="6350"/>
                <wp:wrapNone/>
                <wp:docPr id="9" name="矩形 9"/>
                <wp:cNvGraphicFramePr/>
                <a:graphic xmlns:a="http://schemas.openxmlformats.org/drawingml/2006/main">
                  <a:graphicData uri="http://schemas.microsoft.com/office/word/2010/wordprocessingShape">
                    <wps:wsp>
                      <wps:cNvSpPr/>
                      <wps:spPr>
                        <a:xfrm>
                          <a:off x="0" y="0"/>
                          <a:ext cx="1582310" cy="317804"/>
                        </a:xfrm>
                        <a:prstGeom prst="rect">
                          <a:avLst/>
                        </a:prstGeom>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466BC4CE" w14:textId="74A6AA18" w:rsidR="00173798" w:rsidRPr="005E607E" w:rsidRDefault="00173798" w:rsidP="005E607E">
                            <w:pPr>
                              <w:spacing w:line="240" w:lineRule="exact"/>
                              <w:ind w:leftChars="-50" w:left="-105" w:rightChars="-50" w:right="-105"/>
                              <w:jc w:val="center"/>
                              <w:rPr>
                                <w:b/>
                                <w:bCs/>
                                <w:color w:val="8EAADB" w:themeColor="accent1" w:themeTint="99"/>
                              </w:rPr>
                            </w:pPr>
                            <w:r>
                              <w:rPr>
                                <w:b/>
                                <w:bCs/>
                                <w:color w:val="FFFFFF" w:themeColor="background1"/>
                              </w:rPr>
                              <w:t>ICP-022 50mg</w:t>
                            </w:r>
                            <w:r w:rsidRPr="005E607E">
                              <w:rPr>
                                <w:b/>
                                <w:bCs/>
                                <w:color w:val="FFFFFF" w:themeColor="background1"/>
                              </w:rPr>
                              <w:t xml:space="preserve"> (n=15)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731FD" id="矩形 9" o:spid="_x0000_s1031" style="position:absolute;left:0;text-align:left;margin-left:186.2pt;margin-top:7.15pt;width:124.6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" fillcolor="#5b9bd5 [3208]" stroked="f" strokeweight="1pt">
                <v:textbox>
                  <w:txbxContent>
                    <w:p w14:paraId="466BC4CE" w14:textId="74A6AA18" w:rsidR="00173798" w:rsidRPr="005E607E" w:rsidRDefault="00173798" w:rsidP="005E607E">
                      <w:pPr>
                        <w:spacing w:line="240" w:lineRule="exact"/>
                        <w:ind w:leftChars="-50" w:left="-105" w:rightChars="-50" w:right="-105"/>
                        <w:jc w:val="center"/>
                        <w:rPr>
                          <w:b/>
                          <w:bCs/>
                          <w:color w:val="8EAADB" w:themeColor="accent1" w:themeTint="99"/>
                        </w:rPr>
                      </w:pPr>
                      <w:r>
                        <w:rPr>
                          <w:b/>
                          <w:bCs/>
                          <w:color w:val="FFFFFF" w:themeColor="background1"/>
                        </w:rPr>
                        <w:t>ICP-022 50mg</w:t>
                      </w:r>
                      <w:r w:rsidRPr="005E607E">
                        <w:rPr>
                          <w:b/>
                          <w:bCs/>
                          <w:color w:val="FFFFFF" w:themeColor="background1"/>
                        </w:rPr>
                        <w:t xml:space="preserve"> (n=15)</w:t>
                      </w:r>
                    </w:p>
                  </w:txbxContent>
                </v:textbox>
              </v:rect>
            </w:pict>
          </mc:Fallback>
        </mc:AlternateContent>
      </w:r>
    </w:p>
    <w:p w14:paraId="46CD25D6" w14:textId="1D49C771" w:rsidR="005E607E" w:rsidRPr="00F16A5E" w:rsidRDefault="005E607E" w:rsidP="00CC5D6D">
      <w:pPr>
        <w:spacing w:beforeLines="50" w:before="156" w:line="300" w:lineRule="auto"/>
        <w:rPr>
          <w:kern w:val="0"/>
          <w:sz w:val="24"/>
        </w:rPr>
      </w:pPr>
      <w:r w:rsidRPr="00F16A5E">
        <w:rPr>
          <w:noProof/>
          <w:kern w:val="0"/>
          <w:sz w:val="24"/>
        </w:rPr>
        <mc:AlternateContent>
          <mc:Choice Requires="wps">
            <w:drawing>
              <wp:anchor distT="0" distB="0" distL="114300" distR="114300" simplePos="0" relativeHeight="251674624" behindDoc="0" locked="0" layoutInCell="1" allowOverlap="1" wp14:anchorId="3C32D78F" wp14:editId="3112B847">
                <wp:simplePos x="0" y="0"/>
                <wp:positionH relativeFrom="column">
                  <wp:posOffset>2365513</wp:posOffset>
                </wp:positionH>
                <wp:positionV relativeFrom="paragraph">
                  <wp:posOffset>167171</wp:posOffset>
                </wp:positionV>
                <wp:extent cx="1582310" cy="317804"/>
                <wp:effectExtent l="0" t="0" r="0" b="6350"/>
                <wp:wrapNone/>
                <wp:docPr id="10" name="矩形 10"/>
                <wp:cNvGraphicFramePr/>
                <a:graphic xmlns:a="http://schemas.openxmlformats.org/drawingml/2006/main">
                  <a:graphicData uri="http://schemas.microsoft.com/office/word/2010/wordprocessingShape">
                    <wps:wsp>
                      <wps:cNvSpPr/>
                      <wps:spPr>
                        <a:xfrm>
                          <a:off x="0" y="0"/>
                          <a:ext cx="1582310" cy="317804"/>
                        </a:xfrm>
                        <a:prstGeom prst="rect">
                          <a:avLst/>
                        </a:prstGeom>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59CBB965" w14:textId="4E297929" w:rsidR="00173798" w:rsidRPr="005E607E" w:rsidRDefault="00173798" w:rsidP="005E607E">
                            <w:pPr>
                              <w:spacing w:line="240" w:lineRule="exact"/>
                              <w:ind w:leftChars="-50" w:left="-105" w:rightChars="-50" w:right="-105"/>
                              <w:jc w:val="center"/>
                              <w:rPr>
                                <w:b/>
                                <w:bCs/>
                                <w:color w:val="8EAADB" w:themeColor="accent1" w:themeTint="99"/>
                              </w:rPr>
                            </w:pPr>
                            <w:r>
                              <w:rPr>
                                <w:b/>
                                <w:bCs/>
                                <w:color w:val="FFFFFF" w:themeColor="background1"/>
                              </w:rPr>
                              <w:t>ICP-022 80mg</w:t>
                            </w:r>
                            <w:r w:rsidRPr="005E607E">
                              <w:rPr>
                                <w:b/>
                                <w:bCs/>
                                <w:color w:val="FFFFFF" w:themeColor="background1"/>
                              </w:rPr>
                              <w:t xml:space="preserve"> (n=15)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2D78F" id="矩形 10" o:spid="_x0000_s1032" style="position:absolute;left:0;text-align:left;margin-left:186.25pt;margin-top:13.15pt;width:124.6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" fillcolor="#5b9bd5 [3208]" stroked="f" strokeweight="1pt">
                <v:textbox>
                  <w:txbxContent>
                    <w:p w14:paraId="59CBB965" w14:textId="4E297929" w:rsidR="00173798" w:rsidRPr="005E607E" w:rsidRDefault="00173798" w:rsidP="005E607E">
                      <w:pPr>
                        <w:spacing w:line="240" w:lineRule="exact"/>
                        <w:ind w:leftChars="-50" w:left="-105" w:rightChars="-50" w:right="-105"/>
                        <w:jc w:val="center"/>
                        <w:rPr>
                          <w:b/>
                          <w:bCs/>
                          <w:color w:val="8EAADB" w:themeColor="accent1" w:themeTint="99"/>
                        </w:rPr>
                      </w:pPr>
                      <w:r>
                        <w:rPr>
                          <w:b/>
                          <w:bCs/>
                          <w:color w:val="FFFFFF" w:themeColor="background1"/>
                        </w:rPr>
                        <w:t>ICP-022 80mg</w:t>
                      </w:r>
                      <w:r w:rsidRPr="005E607E">
                        <w:rPr>
                          <w:b/>
                          <w:bCs/>
                          <w:color w:val="FFFFFF" w:themeColor="background1"/>
                        </w:rPr>
                        <w:t xml:space="preserve"> (n=15)</w:t>
                      </w:r>
                    </w:p>
                  </w:txbxContent>
                </v:textbox>
              </v:rect>
            </w:pict>
          </mc:Fallback>
        </mc:AlternateContent>
      </w:r>
    </w:p>
    <w:p w14:paraId="4AED7AFC" w14:textId="0C51043E" w:rsidR="005E607E" w:rsidRPr="00F16A5E" w:rsidRDefault="005E607E" w:rsidP="00CC5D6D">
      <w:pPr>
        <w:spacing w:beforeLines="50" w:before="156" w:line="300" w:lineRule="auto"/>
        <w:rPr>
          <w:kern w:val="0"/>
          <w:sz w:val="24"/>
        </w:rPr>
      </w:pPr>
      <w:r w:rsidRPr="00F16A5E">
        <w:rPr>
          <w:noProof/>
          <w:kern w:val="0"/>
          <w:sz w:val="24"/>
        </w:rPr>
        <mc:AlternateContent>
          <mc:Choice Requires="wps">
            <w:drawing>
              <wp:anchor distT="0" distB="0" distL="114300" distR="114300" simplePos="0" relativeHeight="251676672" behindDoc="0" locked="0" layoutInCell="1" allowOverlap="1" wp14:anchorId="7927F365" wp14:editId="0712F552">
                <wp:simplePos x="0" y="0"/>
                <wp:positionH relativeFrom="column">
                  <wp:posOffset>2365513</wp:posOffset>
                </wp:positionH>
                <wp:positionV relativeFrom="paragraph">
                  <wp:posOffset>250660</wp:posOffset>
                </wp:positionV>
                <wp:extent cx="1582310" cy="317804"/>
                <wp:effectExtent l="0" t="0" r="0" b="6350"/>
                <wp:wrapNone/>
                <wp:docPr id="11" name="矩形 11"/>
                <wp:cNvGraphicFramePr/>
                <a:graphic xmlns:a="http://schemas.openxmlformats.org/drawingml/2006/main">
                  <a:graphicData uri="http://schemas.microsoft.com/office/word/2010/wordprocessingShape">
                    <wps:wsp>
                      <wps:cNvSpPr/>
                      <wps:spPr>
                        <a:xfrm>
                          <a:off x="0" y="0"/>
                          <a:ext cx="1582310" cy="317804"/>
                        </a:xfrm>
                        <a:prstGeom prst="rect">
                          <a:avLst/>
                        </a:prstGeom>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281A075E" w14:textId="1F8CCA27" w:rsidR="00173798" w:rsidRPr="005E607E" w:rsidRDefault="00173798" w:rsidP="005E607E">
                            <w:pPr>
                              <w:spacing w:line="240" w:lineRule="exact"/>
                              <w:ind w:leftChars="-50" w:left="-105" w:rightChars="-50" w:right="-105"/>
                              <w:jc w:val="center"/>
                              <w:rPr>
                                <w:b/>
                                <w:bCs/>
                                <w:color w:val="8EAADB" w:themeColor="accent1" w:themeTint="99"/>
                              </w:rPr>
                            </w:pPr>
                            <w:r>
                              <w:rPr>
                                <w:b/>
                                <w:bCs/>
                                <w:color w:val="FFFFFF" w:themeColor="background1"/>
                              </w:rPr>
                              <w:t>ICP-022 100mg</w:t>
                            </w:r>
                            <w:r w:rsidRPr="005E607E">
                              <w:rPr>
                                <w:b/>
                                <w:bCs/>
                                <w:color w:val="FFFFFF" w:themeColor="background1"/>
                              </w:rPr>
                              <w:t xml:space="preserve"> (n=15)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7F365" id="矩形 11" o:spid="_x0000_s1033" style="position:absolute;left:0;text-align:left;margin-left:186.25pt;margin-top:19.75pt;width:124.6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" fillcolor="#5b9bd5 [3208]" stroked="f" strokeweight="1pt">
                <v:textbox>
                  <w:txbxContent>
                    <w:p w14:paraId="281A075E" w14:textId="1F8CCA27" w:rsidR="00173798" w:rsidRPr="005E607E" w:rsidRDefault="00173798" w:rsidP="005E607E">
                      <w:pPr>
                        <w:spacing w:line="240" w:lineRule="exact"/>
                        <w:ind w:leftChars="-50" w:left="-105" w:rightChars="-50" w:right="-105"/>
                        <w:jc w:val="center"/>
                        <w:rPr>
                          <w:b/>
                          <w:bCs/>
                          <w:color w:val="8EAADB" w:themeColor="accent1" w:themeTint="99"/>
                        </w:rPr>
                      </w:pPr>
                      <w:r>
                        <w:rPr>
                          <w:b/>
                          <w:bCs/>
                          <w:color w:val="FFFFFF" w:themeColor="background1"/>
                        </w:rPr>
                        <w:t>ICP-022 100mg</w:t>
                      </w:r>
                      <w:r w:rsidRPr="005E607E">
                        <w:rPr>
                          <w:b/>
                          <w:bCs/>
                          <w:color w:val="FFFFFF" w:themeColor="background1"/>
                        </w:rPr>
                        <w:t xml:space="preserve"> (n=15)</w:t>
                      </w:r>
                    </w:p>
                  </w:txbxContent>
                </v:textbox>
              </v:rect>
            </w:pict>
          </mc:Fallback>
        </mc:AlternateContent>
      </w:r>
    </w:p>
    <w:p w14:paraId="068E72A2" w14:textId="41189406" w:rsidR="00CA4F9C" w:rsidRPr="00F16A5E" w:rsidRDefault="00CA4F9C" w:rsidP="00CC5D6D">
      <w:pPr>
        <w:spacing w:beforeLines="50" w:before="156" w:line="300" w:lineRule="auto"/>
        <w:rPr>
          <w:kern w:val="0"/>
          <w:sz w:val="24"/>
        </w:rPr>
      </w:pPr>
    </w:p>
    <w:p w14:paraId="3EDD10C1" w14:textId="773D9A26" w:rsidR="006E18E9" w:rsidRPr="00F16A5E" w:rsidRDefault="00CC5D6D" w:rsidP="006E18E9">
      <w:pPr>
        <w:keepNext/>
        <w:autoSpaceDE w:val="0"/>
        <w:autoSpaceDN w:val="0"/>
        <w:spacing w:line="360" w:lineRule="auto"/>
        <w:jc w:val="center"/>
        <w:rPr>
          <w:b/>
          <w:sz w:val="24"/>
        </w:rPr>
      </w:pPr>
      <w:r w:rsidRPr="00F16A5E">
        <w:rPr>
          <w:b/>
          <w:sz w:val="24"/>
        </w:rPr>
        <w:t xml:space="preserve">Figure </w:t>
      </w:r>
      <w:r w:rsidR="006E18E9" w:rsidRPr="00F16A5E">
        <w:rPr>
          <w:b/>
          <w:sz w:val="24"/>
        </w:rPr>
        <w:t>1</w:t>
      </w:r>
      <w:r w:rsidR="006E18E9" w:rsidRPr="00F16A5E">
        <w:rPr>
          <w:b/>
          <w:sz w:val="24"/>
        </w:rPr>
        <w:t>：</w:t>
      </w:r>
      <w:r w:rsidRPr="00F16A5E">
        <w:rPr>
          <w:b/>
          <w:sz w:val="24"/>
        </w:rPr>
        <w:tab/>
        <w:t>Schematic Diagram of the Clinical Study Procedures</w:t>
      </w:r>
    </w:p>
    <w:p w14:paraId="41D89278" w14:textId="25CEA7D6" w:rsidR="006E18E9" w:rsidRPr="00F16A5E" w:rsidRDefault="00CC5D6D" w:rsidP="00CC5D6D">
      <w:pPr>
        <w:spacing w:beforeLines="50" w:before="156" w:line="300" w:lineRule="auto"/>
        <w:rPr>
          <w:kern w:val="0"/>
          <w:sz w:val="24"/>
        </w:rPr>
      </w:pPr>
      <w:r w:rsidRPr="00F16A5E">
        <w:rPr>
          <w:kern w:val="0"/>
          <w:sz w:val="24"/>
        </w:rPr>
        <w:t>The subjects to be included in this study should be patients undergoing standard treatment. These patients will be randomized into the placebo group (n=15) and the orelabrutinib group (n=45), of which the orelabrutinib group will be divided into three cohorts: 50 mg (n=15), 80 mg (n=15) and 100 mg (n=15). The study drug will be taken orally once a day for 12 weeks.</w:t>
      </w:r>
    </w:p>
    <w:p w14:paraId="2C77D95D" w14:textId="3293F80B"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68" w:name="_Toc7170221"/>
      <w:bookmarkStart w:id="69" w:name="_Toc9456167"/>
      <w:bookmarkStart w:id="70" w:name="_Toc20224844"/>
      <w:bookmarkStart w:id="71" w:name="_Toc71149147"/>
      <w:r w:rsidRPr="00F16A5E">
        <w:rPr>
          <w:rFonts w:ascii="Times New Roman" w:eastAsia="宋体" w:hAnsi="Times New Roman"/>
          <w:sz w:val="24"/>
        </w:rPr>
        <w:t>3.2</w:t>
      </w:r>
      <w:bookmarkEnd w:id="68"/>
      <w:bookmarkEnd w:id="69"/>
      <w:bookmarkEnd w:id="70"/>
      <w:r w:rsidR="00CC5D6D" w:rsidRPr="00F16A5E">
        <w:rPr>
          <w:rFonts w:ascii="Times New Roman" w:eastAsia="宋体" w:hAnsi="Times New Roman"/>
          <w:sz w:val="24"/>
        </w:rPr>
        <w:tab/>
        <w:t>Dose-selection Rationale</w:t>
      </w:r>
      <w:bookmarkEnd w:id="71"/>
    </w:p>
    <w:p w14:paraId="0CDAA17A" w14:textId="38FF27B5" w:rsidR="006E18E9" w:rsidRPr="00F16A5E" w:rsidRDefault="00CC5D6D" w:rsidP="00CC5D6D">
      <w:pPr>
        <w:spacing w:beforeLines="50" w:before="156" w:line="300" w:lineRule="auto"/>
        <w:rPr>
          <w:kern w:val="0"/>
          <w:sz w:val="24"/>
        </w:rPr>
      </w:pPr>
      <w:r w:rsidRPr="00F16A5E">
        <w:rPr>
          <w:kern w:val="0"/>
          <w:sz w:val="24"/>
        </w:rPr>
        <w:t>The Phase I clinical study (ICP-CL-001) in healthy subjects in Australia demonstrated that orelabrutinib was safe and well tolerated. At dose range of 20-400 mg (single dose) and 100-200 mg QD for two weeks, most adverse events (AEs) were mild or moderate. No DLT was observed and no drug-related SAE was reported. The maximum tolerated dose was not reached. The plasma exposure of orelabrutinib increased proportionally with the dose. At doses ≥50 mg, BTK occupancy lasted for 24 hours. Based on the data from the Phase I clinical study, the dose 50 mg QD selected for this study is justifi</w:t>
      </w:r>
      <w:r w:rsidR="000364A6" w:rsidRPr="00F16A5E">
        <w:rPr>
          <w:kern w:val="0"/>
          <w:sz w:val="24"/>
        </w:rPr>
        <w:t>able</w:t>
      </w:r>
      <w:r w:rsidRPr="00F16A5E">
        <w:rPr>
          <w:kern w:val="0"/>
          <w:sz w:val="24"/>
        </w:rPr>
        <w:t>.</w:t>
      </w:r>
    </w:p>
    <w:p w14:paraId="3A716CE2" w14:textId="17A73C2D"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72" w:name="_Toc9456168"/>
      <w:bookmarkStart w:id="73" w:name="_Toc20224845"/>
      <w:bookmarkStart w:id="74" w:name="_Toc7170226"/>
      <w:bookmarkStart w:id="75" w:name="_Toc9456169"/>
      <w:bookmarkStart w:id="76" w:name="_Toc71149148"/>
      <w:r w:rsidRPr="00F16A5E">
        <w:rPr>
          <w:rFonts w:ascii="Times New Roman" w:eastAsia="宋体" w:hAnsi="Times New Roman"/>
          <w:sz w:val="24"/>
        </w:rPr>
        <w:t>3.3</w:t>
      </w:r>
      <w:bookmarkEnd w:id="72"/>
      <w:bookmarkEnd w:id="73"/>
      <w:bookmarkEnd w:id="74"/>
      <w:bookmarkEnd w:id="75"/>
      <w:r w:rsidR="00CC5D6D" w:rsidRPr="00F16A5E">
        <w:rPr>
          <w:rFonts w:ascii="Times New Roman" w:eastAsia="宋体" w:hAnsi="Times New Roman"/>
          <w:sz w:val="24"/>
        </w:rPr>
        <w:tab/>
        <w:t>Definition of End of Study</w:t>
      </w:r>
      <w:bookmarkEnd w:id="76"/>
    </w:p>
    <w:p w14:paraId="486121CE" w14:textId="255D4224" w:rsidR="00CC5D6D" w:rsidRPr="00F16A5E" w:rsidRDefault="00CC5D6D" w:rsidP="00CC5D6D">
      <w:pPr>
        <w:spacing w:beforeLines="50" w:before="156" w:line="300" w:lineRule="auto"/>
        <w:rPr>
          <w:kern w:val="0"/>
          <w:sz w:val="24"/>
        </w:rPr>
      </w:pPr>
      <w:r w:rsidRPr="00F16A5E">
        <w:rPr>
          <w:kern w:val="0"/>
          <w:sz w:val="24"/>
        </w:rPr>
        <w:t xml:space="preserve">A subject will be considered </w:t>
      </w:r>
      <w:r w:rsidR="00F91956">
        <w:rPr>
          <w:kern w:val="0"/>
          <w:sz w:val="24"/>
        </w:rPr>
        <w:t>having</w:t>
      </w:r>
      <w:r w:rsidRPr="00F16A5E">
        <w:rPr>
          <w:kern w:val="0"/>
          <w:sz w:val="24"/>
        </w:rPr>
        <w:t xml:space="preserve"> completed the study if he/she has completed all periods of the </w:t>
      </w:r>
      <w:r w:rsidRPr="00F16A5E">
        <w:rPr>
          <w:kern w:val="0"/>
          <w:sz w:val="24"/>
        </w:rPr>
        <w:lastRenderedPageBreak/>
        <w:t>study, including the last visit or the last scheduled procedure listed in the study schedule.</w:t>
      </w:r>
    </w:p>
    <w:p w14:paraId="515ABB38" w14:textId="6A9BA62E" w:rsidR="00CC5D6D" w:rsidRPr="00F16A5E" w:rsidRDefault="00CC5D6D" w:rsidP="00CC5D6D">
      <w:pPr>
        <w:spacing w:beforeLines="50" w:before="156" w:line="300" w:lineRule="auto"/>
        <w:rPr>
          <w:kern w:val="0"/>
          <w:sz w:val="24"/>
        </w:rPr>
      </w:pPr>
      <w:r w:rsidRPr="00F16A5E">
        <w:rPr>
          <w:kern w:val="0"/>
          <w:sz w:val="24"/>
        </w:rPr>
        <w:t>The end of study is defined as the date of the last visit of the last subject in the study.</w:t>
      </w:r>
    </w:p>
    <w:p w14:paraId="34822758" w14:textId="2F8EC647" w:rsidR="006E18E9" w:rsidRPr="00F16A5E" w:rsidRDefault="00F91956" w:rsidP="00CC5D6D">
      <w:pPr>
        <w:spacing w:beforeLines="50" w:before="156" w:line="300" w:lineRule="auto"/>
        <w:rPr>
          <w:kern w:val="0"/>
          <w:sz w:val="24"/>
        </w:rPr>
      </w:pPr>
      <w:r w:rsidRPr="00F16A5E">
        <w:rPr>
          <w:kern w:val="0"/>
          <w:sz w:val="24"/>
        </w:rPr>
        <w:t>T</w:t>
      </w:r>
      <w:r w:rsidR="00CC5D6D" w:rsidRPr="00F16A5E">
        <w:rPr>
          <w:kern w:val="0"/>
          <w:sz w:val="24"/>
        </w:rPr>
        <w:t>his study can be ended early</w:t>
      </w:r>
      <w:r>
        <w:rPr>
          <w:kern w:val="0"/>
          <w:sz w:val="24"/>
        </w:rPr>
        <w:t xml:space="preserve"> i</w:t>
      </w:r>
      <w:r w:rsidRPr="00F16A5E">
        <w:rPr>
          <w:kern w:val="0"/>
          <w:sz w:val="24"/>
        </w:rPr>
        <w:t xml:space="preserve">f there is sufficient </w:t>
      </w:r>
      <w:r>
        <w:rPr>
          <w:kern w:val="0"/>
          <w:sz w:val="24"/>
        </w:rPr>
        <w:t>ground, such as</w:t>
      </w:r>
      <w:r w:rsidR="00CC5D6D" w:rsidRPr="00F16A5E">
        <w:rPr>
          <w:kern w:val="0"/>
          <w:sz w:val="24"/>
        </w:rPr>
        <w:t xml:space="preserve"> regulatory agency</w:t>
      </w:r>
      <w:r>
        <w:rPr>
          <w:kern w:val="0"/>
          <w:sz w:val="24"/>
        </w:rPr>
        <w:t>’s decision</w:t>
      </w:r>
      <w:r w:rsidR="00CC5D6D" w:rsidRPr="00F16A5E">
        <w:rPr>
          <w:kern w:val="0"/>
          <w:sz w:val="24"/>
        </w:rPr>
        <w:t>, change</w:t>
      </w:r>
      <w:r>
        <w:rPr>
          <w:kern w:val="0"/>
          <w:sz w:val="24"/>
        </w:rPr>
        <w:t>s</w:t>
      </w:r>
      <w:r w:rsidR="00CC5D6D" w:rsidRPr="00F16A5E">
        <w:rPr>
          <w:kern w:val="0"/>
          <w:sz w:val="24"/>
        </w:rPr>
        <w:t xml:space="preserve"> in the opinion of </w:t>
      </w:r>
      <w:r>
        <w:rPr>
          <w:kern w:val="0"/>
          <w:sz w:val="24"/>
        </w:rPr>
        <w:t>the</w:t>
      </w:r>
      <w:r w:rsidR="00CC5D6D" w:rsidRPr="00F16A5E">
        <w:rPr>
          <w:kern w:val="0"/>
          <w:sz w:val="24"/>
        </w:rPr>
        <w:t xml:space="preserve"> ethics committee, the safety of the study drug, or the judgment of the sponsor. In addition, the sponsor reserves the right to terminate the study at any time.</w:t>
      </w:r>
    </w:p>
    <w:p w14:paraId="002C3D94" w14:textId="23DEB51F" w:rsidR="006E18E9" w:rsidRPr="00F16A5E" w:rsidRDefault="006E18E9" w:rsidP="006E18E9">
      <w:pPr>
        <w:pStyle w:val="1"/>
        <w:pageBreakBefore/>
        <w:spacing w:beforeLines="0" w:before="120" w:line="360" w:lineRule="auto"/>
        <w:jc w:val="both"/>
        <w:rPr>
          <w:rFonts w:eastAsia="宋体"/>
          <w:sz w:val="24"/>
          <w:lang w:eastAsia="zh-CN"/>
        </w:rPr>
      </w:pPr>
      <w:bookmarkStart w:id="77" w:name="_Toc7170227"/>
      <w:bookmarkStart w:id="78" w:name="_Toc9456173"/>
      <w:bookmarkStart w:id="79" w:name="_Toc20224847"/>
      <w:bookmarkStart w:id="80" w:name="_Toc71149149"/>
      <w:r w:rsidRPr="00F16A5E">
        <w:rPr>
          <w:rFonts w:eastAsia="宋体"/>
          <w:sz w:val="24"/>
          <w:lang w:eastAsia="zh-CN"/>
        </w:rPr>
        <w:lastRenderedPageBreak/>
        <w:t>4</w:t>
      </w:r>
      <w:bookmarkEnd w:id="77"/>
      <w:bookmarkEnd w:id="78"/>
      <w:bookmarkEnd w:id="79"/>
      <w:r w:rsidR="003B7DD7" w:rsidRPr="00F16A5E">
        <w:rPr>
          <w:rFonts w:eastAsia="宋体"/>
          <w:sz w:val="24"/>
          <w:lang w:eastAsia="zh-CN"/>
        </w:rPr>
        <w:tab/>
        <w:t>Study Population</w:t>
      </w:r>
      <w:bookmarkEnd w:id="80"/>
    </w:p>
    <w:p w14:paraId="3C430BBE" w14:textId="287F0FB1" w:rsidR="006E18E9" w:rsidRPr="00F16A5E" w:rsidRDefault="006E18E9" w:rsidP="006E18E9">
      <w:pPr>
        <w:pStyle w:val="2"/>
        <w:keepLines w:val="0"/>
        <w:spacing w:before="60" w:after="60" w:line="360" w:lineRule="auto"/>
        <w:rPr>
          <w:rFonts w:ascii="Times New Roman" w:eastAsia="宋体" w:hAnsi="Times New Roman"/>
          <w:sz w:val="24"/>
        </w:rPr>
      </w:pPr>
      <w:bookmarkStart w:id="81" w:name="_Toc7170228"/>
      <w:bookmarkStart w:id="82" w:name="_Toc9456174"/>
      <w:bookmarkStart w:id="83" w:name="_Toc20224848"/>
      <w:bookmarkStart w:id="84" w:name="_Toc71149150"/>
      <w:r w:rsidRPr="00F16A5E">
        <w:rPr>
          <w:rFonts w:ascii="Times New Roman" w:eastAsia="宋体" w:hAnsi="Times New Roman"/>
          <w:sz w:val="24"/>
        </w:rPr>
        <w:t>4.1</w:t>
      </w:r>
      <w:bookmarkEnd w:id="81"/>
      <w:bookmarkEnd w:id="82"/>
      <w:bookmarkEnd w:id="83"/>
      <w:r w:rsidR="003B7DD7" w:rsidRPr="00F16A5E">
        <w:rPr>
          <w:rFonts w:ascii="Times New Roman" w:eastAsia="宋体" w:hAnsi="Times New Roman"/>
          <w:sz w:val="24"/>
        </w:rPr>
        <w:tab/>
        <w:t>Inclusion Criteria</w:t>
      </w:r>
      <w:bookmarkEnd w:id="84"/>
    </w:p>
    <w:p w14:paraId="135D73D1" w14:textId="1656B464" w:rsidR="001B716F" w:rsidRPr="00F16A5E" w:rsidRDefault="00CA4F9C" w:rsidP="00BE55C4">
      <w:pPr>
        <w:pStyle w:val="31"/>
        <w:spacing w:beforeLines="50" w:before="156" w:line="300" w:lineRule="auto"/>
        <w:ind w:firstLineChars="0" w:firstLine="0"/>
        <w:rPr>
          <w:rFonts w:ascii="Times New Roman" w:hAnsi="Times New Roman"/>
          <w:bCs/>
        </w:rPr>
      </w:pPr>
      <w:r w:rsidRPr="00F16A5E">
        <w:rPr>
          <w:rFonts w:ascii="Times New Roman" w:hAnsi="Times New Roman"/>
          <w:bCs/>
        </w:rPr>
        <w:t>Subjects eligible for the study must meet all of the following criteria:</w:t>
      </w:r>
    </w:p>
    <w:p w14:paraId="481CB3E9" w14:textId="6EB3E631" w:rsidR="00BE55C4" w:rsidRPr="00F16A5E" w:rsidRDefault="00892D81" w:rsidP="00EA5F3A">
      <w:pPr>
        <w:pStyle w:val="SynopsisBullet"/>
        <w:keepLines w:val="0"/>
        <w:widowControl w:val="0"/>
        <w:numPr>
          <w:ilvl w:val="0"/>
          <w:numId w:val="16"/>
        </w:numPr>
        <w:spacing w:before="50" w:after="0" w:line="300" w:lineRule="auto"/>
        <w:ind w:left="431" w:right="74" w:hanging="357"/>
        <w:jc w:val="both"/>
        <w:rPr>
          <w:rFonts w:ascii="Times New Roman" w:hAnsi="Times New Roman"/>
          <w:sz w:val="24"/>
          <w:szCs w:val="22"/>
        </w:rPr>
      </w:pPr>
      <w:r w:rsidRPr="00F16A5E">
        <w:rPr>
          <w:rFonts w:ascii="Times New Roman" w:hAnsi="Times New Roman"/>
          <w:sz w:val="24"/>
          <w:szCs w:val="22"/>
        </w:rPr>
        <w:t>Able to provide written informed consent</w:t>
      </w:r>
      <w:r w:rsidR="00BE55C4" w:rsidRPr="00F16A5E">
        <w:rPr>
          <w:rFonts w:ascii="Times New Roman" w:hAnsi="Times New Roman"/>
          <w:sz w:val="24"/>
          <w:szCs w:val="22"/>
        </w:rPr>
        <w:t>.</w:t>
      </w:r>
    </w:p>
    <w:p w14:paraId="102ED873" w14:textId="77777777" w:rsidR="00BE55C4" w:rsidRPr="00F16A5E" w:rsidRDefault="00BE55C4" w:rsidP="00EA5F3A">
      <w:pPr>
        <w:pStyle w:val="SynopsisBullet"/>
        <w:keepLines w:val="0"/>
        <w:widowControl w:val="0"/>
        <w:numPr>
          <w:ilvl w:val="0"/>
          <w:numId w:val="16"/>
        </w:numPr>
        <w:spacing w:before="50" w:after="0" w:line="300" w:lineRule="auto"/>
        <w:ind w:left="431" w:right="74" w:hanging="357"/>
        <w:jc w:val="both"/>
        <w:rPr>
          <w:rFonts w:ascii="Times New Roman" w:hAnsi="Times New Roman"/>
          <w:sz w:val="24"/>
          <w:szCs w:val="22"/>
        </w:rPr>
      </w:pPr>
      <w:r w:rsidRPr="00F16A5E">
        <w:rPr>
          <w:rFonts w:ascii="Times New Roman" w:hAnsi="Times New Roman"/>
          <w:sz w:val="24"/>
          <w:szCs w:val="22"/>
        </w:rPr>
        <w:t>Male or female subjects aged 18-75 years.</w:t>
      </w:r>
    </w:p>
    <w:p w14:paraId="70326F58" w14:textId="77777777" w:rsidR="00BE55C4" w:rsidRPr="00F16A5E" w:rsidRDefault="00BE55C4" w:rsidP="00EA5F3A">
      <w:pPr>
        <w:pStyle w:val="SynopsisBullet"/>
        <w:keepLines w:val="0"/>
        <w:widowControl w:val="0"/>
        <w:numPr>
          <w:ilvl w:val="0"/>
          <w:numId w:val="16"/>
        </w:numPr>
        <w:spacing w:before="50" w:after="0" w:line="300" w:lineRule="auto"/>
        <w:ind w:left="431" w:right="74" w:hanging="357"/>
        <w:jc w:val="both"/>
        <w:rPr>
          <w:rFonts w:ascii="Times New Roman" w:hAnsi="Times New Roman"/>
          <w:sz w:val="24"/>
          <w:szCs w:val="22"/>
        </w:rPr>
      </w:pPr>
      <w:r w:rsidRPr="00F16A5E">
        <w:rPr>
          <w:rFonts w:ascii="Times New Roman" w:hAnsi="Times New Roman"/>
          <w:sz w:val="24"/>
          <w:szCs w:val="22"/>
        </w:rPr>
        <w:t>Diagnosis of SLE at &gt;6 months before signing the informed consent, meeting at least 4 out of 11 criteria of American College of Rheumatology (ACR) classification criteria for SLE.</w:t>
      </w:r>
    </w:p>
    <w:p w14:paraId="59E66C51" w14:textId="77777777" w:rsidR="00BE55C4" w:rsidRPr="00F16A5E" w:rsidRDefault="00BE55C4" w:rsidP="00EA5F3A">
      <w:pPr>
        <w:pStyle w:val="SynopsisBullet"/>
        <w:keepLines w:val="0"/>
        <w:widowControl w:val="0"/>
        <w:numPr>
          <w:ilvl w:val="0"/>
          <w:numId w:val="16"/>
        </w:numPr>
        <w:spacing w:before="50" w:after="0" w:line="300" w:lineRule="auto"/>
        <w:ind w:left="431" w:right="74" w:hanging="357"/>
        <w:jc w:val="both"/>
        <w:rPr>
          <w:rFonts w:ascii="Times New Roman" w:hAnsi="Times New Roman"/>
          <w:sz w:val="24"/>
          <w:szCs w:val="22"/>
        </w:rPr>
      </w:pPr>
      <w:r w:rsidRPr="00F16A5E">
        <w:rPr>
          <w:rFonts w:ascii="Times New Roman" w:hAnsi="Times New Roman"/>
          <w:sz w:val="24"/>
          <w:szCs w:val="22"/>
        </w:rPr>
        <w:t>The total score of SLEDAI-2K at screening is 5-12 (including cut-off value).</w:t>
      </w:r>
    </w:p>
    <w:p w14:paraId="77D6483F" w14:textId="77777777" w:rsidR="00BE55C4" w:rsidRPr="00F16A5E" w:rsidRDefault="00BE55C4" w:rsidP="00EA5F3A">
      <w:pPr>
        <w:pStyle w:val="SynopsisBullet"/>
        <w:keepLines w:val="0"/>
        <w:widowControl w:val="0"/>
        <w:numPr>
          <w:ilvl w:val="0"/>
          <w:numId w:val="16"/>
        </w:numPr>
        <w:spacing w:before="50" w:after="0" w:line="300" w:lineRule="auto"/>
        <w:ind w:left="431" w:right="74" w:hanging="357"/>
        <w:jc w:val="both"/>
        <w:rPr>
          <w:rFonts w:ascii="Times New Roman" w:hAnsi="Times New Roman"/>
          <w:sz w:val="24"/>
          <w:szCs w:val="22"/>
        </w:rPr>
      </w:pPr>
      <w:r w:rsidRPr="00F16A5E">
        <w:rPr>
          <w:rFonts w:ascii="Times New Roman" w:hAnsi="Times New Roman"/>
          <w:sz w:val="24"/>
          <w:szCs w:val="22"/>
        </w:rPr>
        <w:t xml:space="preserve">Currently under standard treatment for SLE and has been treated for at least 3 months. The standard treatment for SLE can be corticosteroids, and/or antimalarials (such as chloroquine or hydroxychloroquine), and/or immunosuppressants (such as azathioprine, methotrexate, mycophenolate mofetil, or sodium mycophenolate, cyclosporine, leflunomide, tacrolimus, sirolimus, </w:t>
      </w:r>
      <w:proofErr w:type="spellStart"/>
      <w:r w:rsidRPr="00F16A5E">
        <w:rPr>
          <w:rFonts w:ascii="Times New Roman" w:hAnsi="Times New Roman"/>
          <w:sz w:val="24"/>
          <w:szCs w:val="22"/>
        </w:rPr>
        <w:t>mizoribine</w:t>
      </w:r>
      <w:proofErr w:type="spellEnd"/>
      <w:r w:rsidRPr="00F16A5E">
        <w:rPr>
          <w:rFonts w:ascii="Times New Roman" w:hAnsi="Times New Roman"/>
          <w:sz w:val="24"/>
          <w:szCs w:val="22"/>
        </w:rPr>
        <w:t xml:space="preserve">, 6-mercaptopurine, </w:t>
      </w:r>
      <w:proofErr w:type="spellStart"/>
      <w:r w:rsidRPr="00F16A5E">
        <w:rPr>
          <w:rFonts w:ascii="Times New Roman" w:hAnsi="Times New Roman"/>
          <w:sz w:val="24"/>
          <w:szCs w:val="22"/>
        </w:rPr>
        <w:t>iguratimod</w:t>
      </w:r>
      <w:proofErr w:type="spellEnd"/>
      <w:r w:rsidRPr="00F16A5E">
        <w:rPr>
          <w:rFonts w:ascii="Times New Roman" w:hAnsi="Times New Roman"/>
          <w:sz w:val="24"/>
          <w:szCs w:val="22"/>
        </w:rPr>
        <w:t xml:space="preserve"> or thalidomide).</w:t>
      </w:r>
    </w:p>
    <w:p w14:paraId="2EADB1EF" w14:textId="401B03F6" w:rsidR="00BE55C4" w:rsidRPr="00F16A5E" w:rsidRDefault="00BE55C4" w:rsidP="00EA5F3A">
      <w:pPr>
        <w:pStyle w:val="SynopsisBullet"/>
        <w:keepLines w:val="0"/>
        <w:widowControl w:val="0"/>
        <w:numPr>
          <w:ilvl w:val="0"/>
          <w:numId w:val="16"/>
        </w:numPr>
        <w:spacing w:before="50" w:after="0" w:line="300" w:lineRule="auto"/>
        <w:ind w:left="431" w:right="74" w:hanging="357"/>
        <w:jc w:val="both"/>
        <w:rPr>
          <w:rFonts w:ascii="Times New Roman" w:hAnsi="Times New Roman"/>
          <w:sz w:val="24"/>
          <w:szCs w:val="22"/>
        </w:rPr>
      </w:pPr>
      <w:r w:rsidRPr="00F16A5E">
        <w:rPr>
          <w:rFonts w:ascii="Times New Roman" w:hAnsi="Times New Roman"/>
          <w:sz w:val="24"/>
          <w:szCs w:val="22"/>
        </w:rPr>
        <w:t>Anti-dsDNA antibody positive and/or ANA positive and/or anti-Smith antibody positive, all based on the normal reference ranges provided by the local hospital.</w:t>
      </w:r>
    </w:p>
    <w:p w14:paraId="62B77EDF" w14:textId="34C7784B"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85" w:name="_Toc7170229"/>
      <w:bookmarkStart w:id="86" w:name="_Toc9456175"/>
      <w:bookmarkStart w:id="87" w:name="_Toc20224849"/>
      <w:bookmarkStart w:id="88" w:name="_Toc71149151"/>
      <w:r w:rsidRPr="00F16A5E">
        <w:rPr>
          <w:rFonts w:ascii="Times New Roman" w:eastAsia="宋体" w:hAnsi="Times New Roman"/>
          <w:sz w:val="24"/>
        </w:rPr>
        <w:t>4.2</w:t>
      </w:r>
      <w:bookmarkEnd w:id="85"/>
      <w:bookmarkEnd w:id="86"/>
      <w:bookmarkEnd w:id="87"/>
      <w:r w:rsidR="00E718EE" w:rsidRPr="00F16A5E">
        <w:rPr>
          <w:rFonts w:ascii="Times New Roman" w:eastAsia="宋体" w:hAnsi="Times New Roman"/>
          <w:sz w:val="24"/>
        </w:rPr>
        <w:tab/>
        <w:t>Exclusion Criteria</w:t>
      </w:r>
      <w:bookmarkEnd w:id="88"/>
    </w:p>
    <w:p w14:paraId="348B09F4" w14:textId="42705E2C" w:rsidR="006E18E9" w:rsidRPr="00F16A5E" w:rsidRDefault="00E718EE" w:rsidP="00BA4791">
      <w:pPr>
        <w:pStyle w:val="SynopsisText"/>
        <w:spacing w:beforeLines="50" w:before="156" w:after="0" w:line="300" w:lineRule="auto"/>
        <w:ind w:right="74"/>
        <w:jc w:val="both"/>
        <w:rPr>
          <w:rFonts w:ascii="Times New Roman" w:hAnsi="Times New Roman"/>
          <w:sz w:val="24"/>
        </w:rPr>
      </w:pPr>
      <w:r w:rsidRPr="00F16A5E">
        <w:rPr>
          <w:rFonts w:ascii="Times New Roman" w:hAnsi="Times New Roman"/>
          <w:sz w:val="24"/>
        </w:rPr>
        <w:t>Subjects who meet any of the following criteria will be excluded from this study:</w:t>
      </w:r>
    </w:p>
    <w:p w14:paraId="091D0081" w14:textId="77777777" w:rsidR="00BA4791" w:rsidRPr="00F16A5E" w:rsidRDefault="00BA4791" w:rsidP="00EA5F3A">
      <w:pPr>
        <w:pStyle w:val="SynopsisText"/>
        <w:numPr>
          <w:ilvl w:val="0"/>
          <w:numId w:val="23"/>
        </w:numPr>
        <w:spacing w:beforeLines="50" w:before="156" w:after="0" w:line="300" w:lineRule="auto"/>
        <w:rPr>
          <w:rFonts w:ascii="Times New Roman" w:hAnsi="Times New Roman"/>
          <w:sz w:val="24"/>
          <w:szCs w:val="22"/>
        </w:rPr>
      </w:pPr>
      <w:r w:rsidRPr="00F16A5E">
        <w:rPr>
          <w:rFonts w:ascii="Times New Roman" w:hAnsi="Times New Roman"/>
          <w:sz w:val="24"/>
          <w:szCs w:val="22"/>
        </w:rPr>
        <w:t>Not able to abide by the protocol requirements.</w:t>
      </w:r>
    </w:p>
    <w:p w14:paraId="38A8F95B" w14:textId="77777777"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Females who are pregnant or breastfeeding or intend to become pregnant during the study or male partners.</w:t>
      </w:r>
    </w:p>
    <w:p w14:paraId="4572DD24" w14:textId="77777777" w:rsidR="00BA4791" w:rsidRPr="00F16A5E" w:rsidRDefault="00BA4791" w:rsidP="00BA4791">
      <w:pPr>
        <w:pStyle w:val="aa"/>
        <w:keepLines/>
        <w:widowControl/>
        <w:numPr>
          <w:ilvl w:val="0"/>
          <w:numId w:val="1"/>
        </w:numPr>
        <w:spacing w:beforeLines="50" w:before="156" w:line="300" w:lineRule="auto"/>
        <w:ind w:left="817" w:firstLineChars="0"/>
        <w:rPr>
          <w:rFonts w:ascii="Times New Roman" w:hAnsi="Times New Roman"/>
          <w:sz w:val="24"/>
        </w:rPr>
      </w:pPr>
      <w:r w:rsidRPr="00F16A5E">
        <w:rPr>
          <w:rFonts w:ascii="Times New Roman" w:hAnsi="Times New Roman"/>
          <w:sz w:val="24"/>
        </w:rPr>
        <w:t>Pregnancy test is not required for women of non-childbearing potential who have been postmenopausal (at least 12 months of non-therapy-induced amenorrhea) or surgically sterilized (absence of ovaries and/or uterus).</w:t>
      </w:r>
    </w:p>
    <w:p w14:paraId="629A9A0C" w14:textId="4DE6D0E6" w:rsidR="00BA4791" w:rsidRPr="00F16A5E" w:rsidRDefault="002A1E41" w:rsidP="00EA5F3A">
      <w:pPr>
        <w:pStyle w:val="SynopsisText"/>
        <w:numPr>
          <w:ilvl w:val="0"/>
          <w:numId w:val="23"/>
        </w:numPr>
        <w:spacing w:beforeLines="50" w:before="156" w:after="0" w:line="300" w:lineRule="auto"/>
        <w:rPr>
          <w:rFonts w:ascii="Times New Roman" w:hAnsi="Times New Roman"/>
          <w:sz w:val="24"/>
          <w:szCs w:val="22"/>
        </w:rPr>
      </w:pPr>
      <w:r w:rsidRPr="00F16A5E">
        <w:rPr>
          <w:rFonts w:ascii="Times New Roman" w:hAnsi="Times New Roman"/>
          <w:sz w:val="24"/>
          <w:szCs w:val="22"/>
        </w:rPr>
        <w:t>Prior exposure to a BTK inhibitor.</w:t>
      </w:r>
    </w:p>
    <w:p w14:paraId="6014B4BF" w14:textId="77777777"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Suffering from Neuropsychiatric Systemic Lupus Erythematosus (NPSLE), manifested as mental confusion, organic encephalopathy syndrome, cranial nerve disease, lupus headache, or new cerebrovascular accident, etc.).</w:t>
      </w:r>
    </w:p>
    <w:p w14:paraId="1566DCEE" w14:textId="77777777"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Severe or rapidly progressive type III or IV glomerulitis, simple type V or VI lupus nephritis, or active nephritis that requires the use of drugs prohibited by the protocol, or active nephritis that requires hemodialysis treatment.</w:t>
      </w:r>
    </w:p>
    <w:p w14:paraId="26364C43" w14:textId="77777777"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lastRenderedPageBreak/>
        <w:t>Suffering from other autoimmune diseases except SLE (excluding secondary Sjogren’s syndrome).</w:t>
      </w:r>
    </w:p>
    <w:p w14:paraId="0C1869DB" w14:textId="77777777"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Subjects who intend to start or change anti-SLE treatment after the screening visit.</w:t>
      </w:r>
    </w:p>
    <w:p w14:paraId="1FA19CED" w14:textId="77777777"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Prior corticosteroids given in excess of prednisone 25 mg/day or its equivalent or previously changed the corticosteroid dose, within the 28 days before randomization.</w:t>
      </w:r>
    </w:p>
    <w:p w14:paraId="160DE394" w14:textId="3CC5BCE6"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Hav</w:t>
      </w:r>
      <w:r w:rsidR="00F15766" w:rsidRPr="00F16A5E">
        <w:rPr>
          <w:rFonts w:ascii="Times New Roman" w:hAnsi="Times New Roman"/>
          <w:sz w:val="24"/>
          <w:szCs w:val="22"/>
        </w:rPr>
        <w:t>e</w:t>
      </w:r>
      <w:r w:rsidRPr="00F16A5E">
        <w:rPr>
          <w:rFonts w:ascii="Times New Roman" w:hAnsi="Times New Roman"/>
          <w:sz w:val="24"/>
          <w:szCs w:val="22"/>
        </w:rPr>
        <w:t xml:space="preserve"> started any angiotensin-converting enzyme inhibitor or angiotensin receptor blocker, or nonsteroidal anti-inflammatory drug (NSAID) or changed their doses, within 1 week before screening or during screening.</w:t>
      </w:r>
    </w:p>
    <w:p w14:paraId="2DE05013" w14:textId="76B2B0A1"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Hav</w:t>
      </w:r>
      <w:r w:rsidR="00F15766" w:rsidRPr="00F16A5E">
        <w:rPr>
          <w:rFonts w:ascii="Times New Roman" w:hAnsi="Times New Roman"/>
          <w:sz w:val="24"/>
          <w:szCs w:val="22"/>
        </w:rPr>
        <w:t>e</w:t>
      </w:r>
      <w:r w:rsidRPr="00F16A5E">
        <w:rPr>
          <w:rFonts w:ascii="Times New Roman" w:hAnsi="Times New Roman"/>
          <w:sz w:val="24"/>
          <w:szCs w:val="22"/>
        </w:rPr>
        <w:t xml:space="preserve"> started the following antimalarials or immunosuppressants within 3 months before randomization, or changed their doses within 28 days before randomization:</w:t>
      </w:r>
    </w:p>
    <w:p w14:paraId="116CC24C" w14:textId="77777777" w:rsidR="00BA4791" w:rsidRPr="00F16A5E" w:rsidRDefault="00BA4791" w:rsidP="00BA4791">
      <w:pPr>
        <w:pStyle w:val="aa"/>
        <w:keepLines/>
        <w:widowControl/>
        <w:numPr>
          <w:ilvl w:val="0"/>
          <w:numId w:val="1"/>
        </w:numPr>
        <w:spacing w:beforeLines="50" w:before="156" w:line="300" w:lineRule="auto"/>
        <w:ind w:firstLineChars="0"/>
        <w:rPr>
          <w:rFonts w:ascii="Times New Roman" w:hAnsi="Times New Roman"/>
          <w:sz w:val="24"/>
        </w:rPr>
      </w:pPr>
      <w:r w:rsidRPr="00F16A5E">
        <w:rPr>
          <w:rFonts w:ascii="Times New Roman" w:hAnsi="Times New Roman"/>
          <w:sz w:val="24"/>
        </w:rPr>
        <w:t>Antimalarial drugs, including chloroquine or hydroxychloroquine;</w:t>
      </w:r>
    </w:p>
    <w:p w14:paraId="14668579" w14:textId="77777777" w:rsidR="00BA4791" w:rsidRPr="00F16A5E" w:rsidRDefault="00BA4791" w:rsidP="00BA4791">
      <w:pPr>
        <w:pStyle w:val="aa"/>
        <w:keepLines/>
        <w:widowControl/>
        <w:numPr>
          <w:ilvl w:val="0"/>
          <w:numId w:val="1"/>
        </w:numPr>
        <w:spacing w:beforeLines="50" w:before="156" w:line="300" w:lineRule="auto"/>
        <w:ind w:firstLineChars="0"/>
        <w:rPr>
          <w:rFonts w:ascii="Times New Roman" w:hAnsi="Times New Roman"/>
          <w:sz w:val="24"/>
        </w:rPr>
      </w:pPr>
      <w:r w:rsidRPr="00F16A5E">
        <w:rPr>
          <w:rFonts w:ascii="Times New Roman" w:hAnsi="Times New Roman"/>
          <w:sz w:val="24"/>
        </w:rPr>
        <w:t xml:space="preserve">Immunosuppressants, including methotrexate, azathioprine, mycophenolate mofetil or sodium mycophenolate, cyclosporine, tacrolimus, sirolimus, leflunomide, </w:t>
      </w:r>
      <w:proofErr w:type="spellStart"/>
      <w:r w:rsidRPr="00F16A5E">
        <w:rPr>
          <w:rFonts w:ascii="Times New Roman" w:hAnsi="Times New Roman"/>
          <w:sz w:val="24"/>
        </w:rPr>
        <w:t>mizoribine</w:t>
      </w:r>
      <w:proofErr w:type="spellEnd"/>
      <w:r w:rsidRPr="00F16A5E">
        <w:rPr>
          <w:rFonts w:ascii="Times New Roman" w:hAnsi="Times New Roman"/>
          <w:sz w:val="24"/>
        </w:rPr>
        <w:t xml:space="preserve">, 6-mercaptopurine, </w:t>
      </w:r>
      <w:proofErr w:type="spellStart"/>
      <w:r w:rsidRPr="00F16A5E">
        <w:rPr>
          <w:rFonts w:ascii="Times New Roman" w:hAnsi="Times New Roman"/>
          <w:sz w:val="24"/>
        </w:rPr>
        <w:t>iguratimod</w:t>
      </w:r>
      <w:proofErr w:type="spellEnd"/>
      <w:r w:rsidRPr="00F16A5E">
        <w:rPr>
          <w:rFonts w:ascii="Times New Roman" w:hAnsi="Times New Roman"/>
          <w:sz w:val="24"/>
        </w:rPr>
        <w:t xml:space="preserve"> or thalidomide.</w:t>
      </w:r>
    </w:p>
    <w:p w14:paraId="3C1B3EB6" w14:textId="6897885C"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Hav</w:t>
      </w:r>
      <w:r w:rsidR="00F15766" w:rsidRPr="00F16A5E">
        <w:rPr>
          <w:rFonts w:ascii="Times New Roman" w:hAnsi="Times New Roman"/>
          <w:sz w:val="24"/>
          <w:szCs w:val="22"/>
        </w:rPr>
        <w:t>e</w:t>
      </w:r>
      <w:r w:rsidRPr="00F16A5E">
        <w:rPr>
          <w:rFonts w:ascii="Times New Roman" w:hAnsi="Times New Roman"/>
          <w:sz w:val="24"/>
          <w:szCs w:val="22"/>
        </w:rPr>
        <w:t xml:space="preserve"> used rituximab, epratuzumab, or any other B-cell depletion treatment within 12 months before randomization.</w:t>
      </w:r>
    </w:p>
    <w:p w14:paraId="7C419817" w14:textId="6020E672"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Hav</w:t>
      </w:r>
      <w:r w:rsidR="00F15766" w:rsidRPr="00F16A5E">
        <w:rPr>
          <w:rFonts w:ascii="Times New Roman" w:hAnsi="Times New Roman"/>
          <w:sz w:val="24"/>
          <w:szCs w:val="22"/>
        </w:rPr>
        <w:t>e</w:t>
      </w:r>
      <w:r w:rsidRPr="00F16A5E">
        <w:rPr>
          <w:rFonts w:ascii="Times New Roman" w:hAnsi="Times New Roman"/>
          <w:sz w:val="24"/>
          <w:szCs w:val="22"/>
        </w:rPr>
        <w:t xml:space="preserve"> used cyclophosphamide and chlorambucil within 6 months before randomization.</w:t>
      </w:r>
    </w:p>
    <w:p w14:paraId="7B74B199" w14:textId="494B9C26" w:rsidR="00BA4791" w:rsidRPr="00F16A5E" w:rsidRDefault="00BA4791" w:rsidP="00EA5F3A">
      <w:pPr>
        <w:pStyle w:val="SynopsisText"/>
        <w:numPr>
          <w:ilvl w:val="0"/>
          <w:numId w:val="23"/>
        </w:numPr>
        <w:spacing w:beforeLines="50" w:before="156" w:after="0" w:line="300" w:lineRule="auto"/>
        <w:rPr>
          <w:rFonts w:ascii="Times New Roman" w:hAnsi="Times New Roman"/>
          <w:sz w:val="24"/>
          <w:szCs w:val="22"/>
        </w:rPr>
      </w:pPr>
      <w:r w:rsidRPr="00F16A5E">
        <w:rPr>
          <w:rFonts w:ascii="Times New Roman" w:hAnsi="Times New Roman"/>
          <w:sz w:val="24"/>
          <w:szCs w:val="22"/>
        </w:rPr>
        <w:t>Hav</w:t>
      </w:r>
      <w:r w:rsidR="00F15766" w:rsidRPr="00F16A5E">
        <w:rPr>
          <w:rFonts w:ascii="Times New Roman" w:hAnsi="Times New Roman"/>
          <w:sz w:val="24"/>
          <w:szCs w:val="22"/>
        </w:rPr>
        <w:t>e</w:t>
      </w:r>
      <w:r w:rsidRPr="00F16A5E">
        <w:rPr>
          <w:rFonts w:ascii="Times New Roman" w:hAnsi="Times New Roman"/>
          <w:sz w:val="24"/>
          <w:szCs w:val="22"/>
        </w:rPr>
        <w:t xml:space="preserve"> received belimumab, tumor necrosis factor (TNF) blockers, interleukin receptor blockers or other biological agents, intravenous immunoglobulin, or plasma exchange therapy, within 3 months before randomization (or 5 half-lives, whichever is longer).</w:t>
      </w:r>
    </w:p>
    <w:p w14:paraId="46CE358A" w14:textId="110D8BDB" w:rsidR="00BA4791" w:rsidRPr="00F16A5E" w:rsidRDefault="00BA4791" w:rsidP="00EA5F3A">
      <w:pPr>
        <w:pStyle w:val="SynopsisText"/>
        <w:numPr>
          <w:ilvl w:val="0"/>
          <w:numId w:val="23"/>
        </w:numPr>
        <w:spacing w:beforeLines="50" w:before="156" w:after="0" w:line="300" w:lineRule="auto"/>
        <w:rPr>
          <w:rFonts w:ascii="Times New Roman" w:hAnsi="Times New Roman"/>
          <w:sz w:val="24"/>
          <w:szCs w:val="22"/>
        </w:rPr>
      </w:pPr>
      <w:r w:rsidRPr="00F16A5E">
        <w:rPr>
          <w:rFonts w:ascii="Times New Roman" w:hAnsi="Times New Roman"/>
          <w:sz w:val="24"/>
          <w:szCs w:val="22"/>
        </w:rPr>
        <w:t>Hav</w:t>
      </w:r>
      <w:r w:rsidR="00F15766" w:rsidRPr="00F16A5E">
        <w:rPr>
          <w:rFonts w:ascii="Times New Roman" w:hAnsi="Times New Roman"/>
          <w:sz w:val="24"/>
          <w:szCs w:val="22"/>
        </w:rPr>
        <w:t>e</w:t>
      </w:r>
      <w:r w:rsidRPr="00F16A5E">
        <w:rPr>
          <w:rFonts w:ascii="Times New Roman" w:hAnsi="Times New Roman"/>
          <w:sz w:val="24"/>
          <w:szCs w:val="22"/>
        </w:rPr>
        <w:t xml:space="preserve"> participated in any other clinical trial or hav</w:t>
      </w:r>
      <w:r w:rsidR="00F15766" w:rsidRPr="00F16A5E">
        <w:rPr>
          <w:rFonts w:ascii="Times New Roman" w:hAnsi="Times New Roman"/>
          <w:sz w:val="24"/>
          <w:szCs w:val="22"/>
        </w:rPr>
        <w:t>e</w:t>
      </w:r>
      <w:r w:rsidRPr="00F16A5E">
        <w:rPr>
          <w:rFonts w:ascii="Times New Roman" w:hAnsi="Times New Roman"/>
          <w:sz w:val="24"/>
          <w:szCs w:val="22"/>
        </w:rPr>
        <w:t xml:space="preserve"> used </w:t>
      </w:r>
      <w:r w:rsidR="00F15766" w:rsidRPr="00F16A5E">
        <w:rPr>
          <w:rFonts w:ascii="Times New Roman" w:hAnsi="Times New Roman"/>
          <w:sz w:val="24"/>
          <w:szCs w:val="22"/>
        </w:rPr>
        <w:t xml:space="preserve">any </w:t>
      </w:r>
      <w:r w:rsidRPr="00F16A5E">
        <w:rPr>
          <w:rFonts w:ascii="Times New Roman" w:hAnsi="Times New Roman"/>
          <w:sz w:val="24"/>
          <w:szCs w:val="22"/>
        </w:rPr>
        <w:t>investigational drug or other immunosuppressants/modulators (unless approved by the medical monitor) within 28 days before the screening period (or 5 half-lives, whichever is longer).</w:t>
      </w:r>
    </w:p>
    <w:p w14:paraId="6FE8CBD1" w14:textId="30CD0D9F"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Hav</w:t>
      </w:r>
      <w:r w:rsidR="00F15766" w:rsidRPr="00F16A5E">
        <w:rPr>
          <w:rFonts w:ascii="Times New Roman" w:hAnsi="Times New Roman"/>
          <w:sz w:val="24"/>
          <w:szCs w:val="22"/>
        </w:rPr>
        <w:t>e</w:t>
      </w:r>
      <w:r w:rsidRPr="00F16A5E">
        <w:rPr>
          <w:rFonts w:ascii="Times New Roman" w:hAnsi="Times New Roman"/>
          <w:sz w:val="24"/>
          <w:szCs w:val="22"/>
        </w:rPr>
        <w:t xml:space="preserve"> received cyclosporine A topical cream/ointment preparations (except ophthalmic drugs), strong topical glucocorticoids (as per World Health Organization coding dictionary) or other local immunomodulators (such as tacrolimus, pimecrolimus) withing 28 days before randomization.</w:t>
      </w:r>
    </w:p>
    <w:p w14:paraId="50E00537" w14:textId="77777777"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Vaccination with live or live-attenuated virus vaccine within 1 month before screening or during screening.</w:t>
      </w:r>
    </w:p>
    <w:p w14:paraId="3D34E539" w14:textId="77777777" w:rsidR="00BA4791" w:rsidRPr="00F16A5E" w:rsidRDefault="00BA4791" w:rsidP="00BA4791">
      <w:pPr>
        <w:pStyle w:val="aa"/>
        <w:numPr>
          <w:ilvl w:val="0"/>
          <w:numId w:val="1"/>
        </w:numPr>
        <w:spacing w:beforeLines="50" w:before="156" w:line="300" w:lineRule="auto"/>
        <w:ind w:left="817" w:firstLineChars="0"/>
        <w:rPr>
          <w:rFonts w:ascii="Times New Roman" w:hAnsi="Times New Roman"/>
          <w:sz w:val="24"/>
        </w:rPr>
      </w:pPr>
      <w:r w:rsidRPr="00F16A5E">
        <w:rPr>
          <w:rFonts w:ascii="Times New Roman" w:hAnsi="Times New Roman"/>
          <w:sz w:val="24"/>
        </w:rPr>
        <w:t xml:space="preserve">Patients who have been vaccinated against Streptococcus pneumoniae vaccine (23-valent pneumococcal polysaccharide vaccine or 13-valent pneumococcal conjugate vaccine) as per </w:t>
      </w:r>
      <w:r w:rsidRPr="00F16A5E">
        <w:rPr>
          <w:rFonts w:ascii="Times New Roman" w:hAnsi="Times New Roman"/>
          <w:sz w:val="24"/>
        </w:rPr>
        <w:lastRenderedPageBreak/>
        <w:t>local guidelines are allowed;</w:t>
      </w:r>
    </w:p>
    <w:p w14:paraId="314A982B" w14:textId="77777777" w:rsidR="00BA4791" w:rsidRPr="00F16A5E" w:rsidRDefault="00BA4791" w:rsidP="00BA4791">
      <w:pPr>
        <w:pStyle w:val="aa"/>
        <w:keepLines/>
        <w:widowControl/>
        <w:numPr>
          <w:ilvl w:val="0"/>
          <w:numId w:val="1"/>
        </w:numPr>
        <w:spacing w:beforeLines="50" w:before="156" w:line="300" w:lineRule="auto"/>
        <w:ind w:left="817" w:firstLineChars="0"/>
        <w:rPr>
          <w:rFonts w:ascii="Times New Roman" w:hAnsi="Times New Roman"/>
          <w:sz w:val="24"/>
        </w:rPr>
      </w:pPr>
      <w:r w:rsidRPr="00F16A5E">
        <w:rPr>
          <w:rFonts w:ascii="Times New Roman" w:hAnsi="Times New Roman"/>
          <w:sz w:val="24"/>
        </w:rPr>
        <w:t>For subjects who have received one or more influenza vaccines during screening, an interval of at least 2 weeks from the date of vaccination to the first administration of the study drug is required.</w:t>
      </w:r>
    </w:p>
    <w:p w14:paraId="15BC8902" w14:textId="4F8935F2"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Active and uncontrolled infection (clinically significant viral, bacterial or fungal infection, etc.), or any severe infection that requires hospitalization in the past 6 months; or hav</w:t>
      </w:r>
      <w:r w:rsidR="00F15766" w:rsidRPr="00F16A5E">
        <w:rPr>
          <w:rFonts w:ascii="Times New Roman" w:hAnsi="Times New Roman"/>
          <w:sz w:val="24"/>
          <w:szCs w:val="22"/>
        </w:rPr>
        <w:t>e</w:t>
      </w:r>
      <w:r w:rsidRPr="00F16A5E">
        <w:rPr>
          <w:rFonts w:ascii="Times New Roman" w:hAnsi="Times New Roman"/>
          <w:sz w:val="24"/>
          <w:szCs w:val="22"/>
        </w:rPr>
        <w:t xml:space="preserve"> received anti-infective treatment recently (within 14 days before the first dose).</w:t>
      </w:r>
    </w:p>
    <w:p w14:paraId="7CE0CDF7" w14:textId="77777777"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Herpes zoster infection within 12 weeks prior to screening, or a history of disseminated/complex herpes zoster (</w:t>
      </w:r>
      <w:proofErr w:type="spellStart"/>
      <w:r w:rsidRPr="00F16A5E">
        <w:rPr>
          <w:rFonts w:ascii="Times New Roman" w:hAnsi="Times New Roman"/>
          <w:sz w:val="24"/>
          <w:szCs w:val="22"/>
        </w:rPr>
        <w:t>eg</w:t>
      </w:r>
      <w:proofErr w:type="spellEnd"/>
      <w:r w:rsidRPr="00F16A5E">
        <w:rPr>
          <w:rFonts w:ascii="Times New Roman" w:hAnsi="Times New Roman"/>
          <w:sz w:val="24"/>
          <w:szCs w:val="22"/>
        </w:rPr>
        <w:t>: multiple skin involvement, ocular herpes zoster, central nervous system involvement, or postherpetic neuralgia).</w:t>
      </w:r>
    </w:p>
    <w:p w14:paraId="574A7E6E" w14:textId="77777777"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Positive tuberculosis screening during the screening period (as per the interferon-γ release assay for the diagnosis of tuberculosis, including T-SPOT</w:t>
      </w:r>
      <w:r w:rsidRPr="00F16A5E">
        <w:rPr>
          <w:rFonts w:ascii="Times New Roman" w:hAnsi="Times New Roman"/>
          <w:sz w:val="24"/>
          <w:szCs w:val="22"/>
          <w:vertAlign w:val="superscript"/>
        </w:rPr>
        <w:t>®</w:t>
      </w:r>
      <w:r w:rsidRPr="00F16A5E">
        <w:rPr>
          <w:rFonts w:ascii="Times New Roman" w:hAnsi="Times New Roman"/>
          <w:sz w:val="24"/>
          <w:szCs w:val="22"/>
        </w:rPr>
        <w:t>, etc.), or patients with active or latent tuberculosis, or tuberculosis patients who have not completed the appropriate standard treatment.</w:t>
      </w:r>
    </w:p>
    <w:p w14:paraId="5FE12BFC" w14:textId="2D5BC8F2"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 xml:space="preserve">The interval between the last dose of the CYP3A4 inhibitor and the first dose of </w:t>
      </w:r>
      <w:r w:rsidR="00C8602B" w:rsidRPr="00F16A5E">
        <w:rPr>
          <w:rFonts w:ascii="Times New Roman" w:hAnsi="Times New Roman"/>
          <w:sz w:val="24"/>
          <w:szCs w:val="22"/>
        </w:rPr>
        <w:t>investigational</w:t>
      </w:r>
      <w:r w:rsidRPr="00F16A5E">
        <w:rPr>
          <w:rFonts w:ascii="Times New Roman" w:hAnsi="Times New Roman"/>
          <w:sz w:val="24"/>
          <w:szCs w:val="22"/>
        </w:rPr>
        <w:t xml:space="preserve"> drug is less than 5 half-lives of CYP3A4 inhibitor.</w:t>
      </w:r>
    </w:p>
    <w:p w14:paraId="5C613D35" w14:textId="77777777"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Known human immunodeficiency virus (Human Immunodeficiency Virus, HIV) infection, as evidenced by positive serological test.</w:t>
      </w:r>
    </w:p>
    <w:p w14:paraId="19761237" w14:textId="779D49FA" w:rsidR="00BA4791" w:rsidRPr="00F16A5E" w:rsidRDefault="00612400" w:rsidP="00EA5F3A">
      <w:pPr>
        <w:pStyle w:val="SynopsisText"/>
        <w:numPr>
          <w:ilvl w:val="0"/>
          <w:numId w:val="23"/>
        </w:numPr>
        <w:spacing w:beforeLines="50" w:before="156" w:after="0" w:line="300" w:lineRule="auto"/>
        <w:jc w:val="both"/>
        <w:rPr>
          <w:rFonts w:ascii="Times New Roman" w:hAnsi="Times New Roman"/>
          <w:sz w:val="24"/>
        </w:rPr>
      </w:pPr>
      <w:r>
        <w:rPr>
          <w:rFonts w:ascii="Times New Roman" w:hAnsi="Times New Roman"/>
          <w:sz w:val="24"/>
        </w:rPr>
        <w:t>C</w:t>
      </w:r>
      <w:r w:rsidR="00BA4791" w:rsidRPr="00F16A5E">
        <w:rPr>
          <w:rFonts w:ascii="Times New Roman" w:hAnsi="Times New Roman"/>
          <w:sz w:val="24"/>
        </w:rPr>
        <w:t xml:space="preserve">urrent </w:t>
      </w:r>
      <w:r>
        <w:rPr>
          <w:rFonts w:ascii="Times New Roman" w:hAnsi="Times New Roman"/>
          <w:sz w:val="24"/>
        </w:rPr>
        <w:t xml:space="preserve">or history of </w:t>
      </w:r>
      <w:r w:rsidR="00BA4791" w:rsidRPr="00F16A5E">
        <w:rPr>
          <w:rFonts w:ascii="Times New Roman" w:hAnsi="Times New Roman"/>
          <w:sz w:val="24"/>
        </w:rPr>
        <w:t>Central Nervous System (CNS) diseases, such as epilepsy, CNS vasculitis or neurodegenerative diseases, patients with a history of stroke who have had a stroke or transient ischemic attack within 2 years before screening, or have residual neurological defects as judged by the investigator.</w:t>
      </w:r>
    </w:p>
    <w:p w14:paraId="61A59A66" w14:textId="77777777" w:rsidR="00BA4791" w:rsidRPr="00F16A5E" w:rsidRDefault="00BA4791" w:rsidP="00EA5F3A">
      <w:pPr>
        <w:pStyle w:val="SynopsisText"/>
        <w:numPr>
          <w:ilvl w:val="0"/>
          <w:numId w:val="23"/>
        </w:numPr>
        <w:spacing w:beforeLines="50" w:before="156" w:after="0" w:line="300" w:lineRule="auto"/>
        <w:ind w:left="431" w:right="0" w:hanging="357"/>
        <w:jc w:val="both"/>
        <w:rPr>
          <w:rFonts w:ascii="Times New Roman" w:hAnsi="Times New Roman"/>
          <w:sz w:val="24"/>
          <w:szCs w:val="22"/>
        </w:rPr>
      </w:pPr>
      <w:r w:rsidRPr="00F16A5E">
        <w:rPr>
          <w:rFonts w:ascii="Times New Roman" w:hAnsi="Times New Roman"/>
          <w:sz w:val="24"/>
          <w:szCs w:val="22"/>
        </w:rPr>
        <w:t>Major and uncontrolled concomitant diseases (including poorly controlled diabetes and related medical history) that may affect compliance with the protocol or the interpretation of study results.</w:t>
      </w:r>
    </w:p>
    <w:p w14:paraId="292133C4" w14:textId="5E5C1899" w:rsidR="00BA4791" w:rsidRPr="00F16A5E" w:rsidRDefault="00BA4791" w:rsidP="00EA5F3A">
      <w:pPr>
        <w:pStyle w:val="SynopsisText"/>
        <w:numPr>
          <w:ilvl w:val="0"/>
          <w:numId w:val="23"/>
        </w:numPr>
        <w:spacing w:beforeLines="50" w:before="156" w:after="0" w:line="300" w:lineRule="auto"/>
        <w:jc w:val="both"/>
        <w:rPr>
          <w:rFonts w:ascii="Times New Roman" w:hAnsi="Times New Roman"/>
          <w:sz w:val="24"/>
          <w:szCs w:val="22"/>
        </w:rPr>
      </w:pPr>
      <w:r w:rsidRPr="00F16A5E">
        <w:rPr>
          <w:rFonts w:ascii="Times New Roman" w:hAnsi="Times New Roman"/>
          <w:sz w:val="24"/>
          <w:szCs w:val="22"/>
        </w:rPr>
        <w:t xml:space="preserve">Major surgery or major traumatic injury (excluding biopsy) </w:t>
      </w:r>
      <w:r w:rsidR="003169DF">
        <w:rPr>
          <w:rFonts w:ascii="Times New Roman" w:hAnsi="Times New Roman"/>
          <w:sz w:val="24"/>
          <w:szCs w:val="22"/>
        </w:rPr>
        <w:t xml:space="preserve">within </w:t>
      </w:r>
      <w:r w:rsidRPr="00F16A5E">
        <w:rPr>
          <w:rFonts w:ascii="Times New Roman" w:hAnsi="Times New Roman"/>
          <w:sz w:val="24"/>
          <w:szCs w:val="22"/>
        </w:rPr>
        <w:t>28 days before the first administration, or major surgery is expected during the study treatment period.</w:t>
      </w:r>
    </w:p>
    <w:p w14:paraId="79CBB194" w14:textId="77777777" w:rsidR="00BA4791" w:rsidRPr="00F16A5E" w:rsidRDefault="00BA4791" w:rsidP="00EA5F3A">
      <w:pPr>
        <w:pStyle w:val="SynopsisText"/>
        <w:numPr>
          <w:ilvl w:val="0"/>
          <w:numId w:val="23"/>
        </w:numPr>
        <w:spacing w:beforeLines="50" w:before="156" w:after="0" w:line="300" w:lineRule="auto"/>
        <w:ind w:left="431" w:right="74" w:hanging="357"/>
        <w:jc w:val="both"/>
        <w:rPr>
          <w:rFonts w:ascii="Times New Roman" w:hAnsi="Times New Roman"/>
          <w:sz w:val="24"/>
          <w:szCs w:val="22"/>
        </w:rPr>
      </w:pPr>
      <w:r w:rsidRPr="00F16A5E">
        <w:rPr>
          <w:rFonts w:ascii="Times New Roman" w:hAnsi="Times New Roman"/>
          <w:sz w:val="24"/>
          <w:szCs w:val="22"/>
        </w:rPr>
        <w:t>Clinically documented cardiovascular diseases that are obviously unstable or not effectively treated, such as heart disease class III or IV according to the New York Heart Association (NYHA) classification (see Appendix 3 for details), or have had myocardial infarction, malignant arrhythmia, unstable angina pectoris in the past 6 months, or hypertension that cannot be controlled by medication.</w:t>
      </w:r>
    </w:p>
    <w:p w14:paraId="166870A1" w14:textId="77777777" w:rsidR="00BA4791" w:rsidRPr="00F16A5E" w:rsidRDefault="00BA4791" w:rsidP="00EA5F3A">
      <w:pPr>
        <w:pStyle w:val="SynopsisText"/>
        <w:numPr>
          <w:ilvl w:val="0"/>
          <w:numId w:val="23"/>
        </w:numPr>
        <w:spacing w:beforeLines="50" w:before="156" w:after="0" w:line="300" w:lineRule="auto"/>
        <w:ind w:left="431" w:right="74" w:hanging="357"/>
        <w:jc w:val="both"/>
        <w:rPr>
          <w:rFonts w:ascii="Times New Roman" w:hAnsi="Times New Roman"/>
          <w:sz w:val="24"/>
        </w:rPr>
      </w:pPr>
      <w:r w:rsidRPr="00F16A5E">
        <w:rPr>
          <w:rFonts w:ascii="Times New Roman" w:hAnsi="Times New Roman"/>
          <w:sz w:val="24"/>
          <w:szCs w:val="22"/>
        </w:rPr>
        <w:lastRenderedPageBreak/>
        <w:t>Significant active lung disease (such as interstitial lung disease and/or obstructive lung disease, etc.).</w:t>
      </w:r>
    </w:p>
    <w:p w14:paraId="3FB59FB0" w14:textId="77777777" w:rsidR="00BA4791" w:rsidRPr="00F16A5E" w:rsidRDefault="00BA4791" w:rsidP="00EA5F3A">
      <w:pPr>
        <w:pStyle w:val="SynopsisText"/>
        <w:numPr>
          <w:ilvl w:val="0"/>
          <w:numId w:val="23"/>
        </w:numPr>
        <w:spacing w:beforeLines="50" w:before="156" w:after="0" w:line="300" w:lineRule="auto"/>
        <w:ind w:left="431" w:right="74" w:hanging="357"/>
        <w:jc w:val="both"/>
        <w:rPr>
          <w:rFonts w:ascii="Times New Roman" w:hAnsi="Times New Roman"/>
          <w:sz w:val="24"/>
        </w:rPr>
      </w:pPr>
      <w:r w:rsidRPr="00F16A5E">
        <w:rPr>
          <w:rFonts w:ascii="Times New Roman" w:hAnsi="Times New Roman"/>
          <w:sz w:val="24"/>
          <w:szCs w:val="22"/>
        </w:rPr>
        <w:t>Any other disease, metabolic dysfunction, physical examination findings, or clinical laboratory findings that may be contraindicated to use the study drug.</w:t>
      </w:r>
    </w:p>
    <w:p w14:paraId="35BBFC8D" w14:textId="77777777" w:rsidR="00BA4791" w:rsidRPr="00F16A5E" w:rsidRDefault="00BA4791" w:rsidP="00EA5F3A">
      <w:pPr>
        <w:pStyle w:val="SynopsisText"/>
        <w:numPr>
          <w:ilvl w:val="0"/>
          <w:numId w:val="23"/>
        </w:numPr>
        <w:spacing w:beforeLines="50" w:before="156" w:after="0" w:line="300" w:lineRule="auto"/>
        <w:ind w:left="431" w:right="74" w:hanging="357"/>
        <w:jc w:val="both"/>
        <w:rPr>
          <w:rFonts w:ascii="Times New Roman" w:hAnsi="Times New Roman"/>
          <w:sz w:val="24"/>
        </w:rPr>
      </w:pPr>
      <w:r w:rsidRPr="00F16A5E">
        <w:rPr>
          <w:rFonts w:ascii="Times New Roman" w:hAnsi="Times New Roman"/>
          <w:sz w:val="24"/>
        </w:rPr>
        <w:t>HBV [Hepatitis B Surface Antigen (HBsAg)] or HCV antibody positive, or the HBV DNA positive by Polymerase Chain Reaction (PCR) test for patients with Hepatitis B Core Antibody (</w:t>
      </w:r>
      <w:proofErr w:type="spellStart"/>
      <w:r w:rsidRPr="00F16A5E">
        <w:rPr>
          <w:rFonts w:ascii="Times New Roman" w:hAnsi="Times New Roman"/>
          <w:sz w:val="24"/>
        </w:rPr>
        <w:t>HbcAb</w:t>
      </w:r>
      <w:proofErr w:type="spellEnd"/>
      <w:r w:rsidRPr="00F16A5E">
        <w:rPr>
          <w:rFonts w:ascii="Times New Roman" w:hAnsi="Times New Roman"/>
          <w:sz w:val="24"/>
        </w:rPr>
        <w:t>) positive.</w:t>
      </w:r>
    </w:p>
    <w:p w14:paraId="07D4905B" w14:textId="77777777" w:rsidR="00BA4791" w:rsidRPr="00F16A5E" w:rsidRDefault="00BA4791" w:rsidP="00EA5F3A">
      <w:pPr>
        <w:pStyle w:val="SynopsisText"/>
        <w:numPr>
          <w:ilvl w:val="0"/>
          <w:numId w:val="23"/>
        </w:numPr>
        <w:spacing w:beforeLines="50" w:before="156" w:after="0" w:line="300" w:lineRule="auto"/>
        <w:ind w:left="431" w:right="74" w:hanging="357"/>
        <w:jc w:val="both"/>
        <w:rPr>
          <w:rFonts w:ascii="Times New Roman" w:hAnsi="Times New Roman"/>
          <w:sz w:val="24"/>
        </w:rPr>
      </w:pPr>
      <w:r w:rsidRPr="00F16A5E">
        <w:rPr>
          <w:rFonts w:ascii="Times New Roman" w:hAnsi="Times New Roman"/>
          <w:sz w:val="24"/>
        </w:rPr>
        <w:t>Abnormal tissue or organ functions, as evidenced by the following laboratory tests before randomization:</w:t>
      </w:r>
    </w:p>
    <w:p w14:paraId="00B2B274" w14:textId="77777777" w:rsidR="00BA4791" w:rsidRPr="00F16A5E" w:rsidRDefault="00BA4791" w:rsidP="00EA5F3A">
      <w:pPr>
        <w:pStyle w:val="SynopsisText"/>
        <w:numPr>
          <w:ilvl w:val="0"/>
          <w:numId w:val="17"/>
        </w:numPr>
        <w:spacing w:beforeLines="50" w:before="156" w:after="0" w:line="300" w:lineRule="auto"/>
        <w:ind w:left="817" w:right="0"/>
        <w:jc w:val="both"/>
        <w:rPr>
          <w:rFonts w:ascii="Times New Roman" w:hAnsi="Times New Roman"/>
          <w:sz w:val="24"/>
        </w:rPr>
      </w:pPr>
      <w:r w:rsidRPr="00F16A5E">
        <w:rPr>
          <w:rFonts w:ascii="Times New Roman" w:hAnsi="Times New Roman"/>
          <w:sz w:val="24"/>
        </w:rPr>
        <w:t>Absolute neutrophil count (ANC) &lt; 1.5 x 10</w:t>
      </w:r>
      <w:r w:rsidRPr="00F16A5E">
        <w:rPr>
          <w:rFonts w:ascii="Times New Roman" w:hAnsi="Times New Roman"/>
          <w:sz w:val="24"/>
          <w:vertAlign w:val="superscript"/>
        </w:rPr>
        <w:t>9</w:t>
      </w:r>
      <w:r w:rsidRPr="00F16A5E">
        <w:rPr>
          <w:rFonts w:ascii="Times New Roman" w:hAnsi="Times New Roman"/>
          <w:sz w:val="24"/>
        </w:rPr>
        <w:t>/L; platelet &lt; 75 x 10</w:t>
      </w:r>
      <w:r w:rsidRPr="00F16A5E">
        <w:rPr>
          <w:rFonts w:ascii="Times New Roman" w:hAnsi="Times New Roman"/>
          <w:sz w:val="24"/>
          <w:vertAlign w:val="superscript"/>
        </w:rPr>
        <w:t>9</w:t>
      </w:r>
      <w:r w:rsidRPr="00F16A5E">
        <w:rPr>
          <w:rFonts w:ascii="Times New Roman" w:hAnsi="Times New Roman"/>
          <w:sz w:val="24"/>
        </w:rPr>
        <w:t>/L; hemoglobin&lt;90 g/L; lymphocyte count&lt;0.8 x 10</w:t>
      </w:r>
      <w:r w:rsidRPr="00F16A5E">
        <w:rPr>
          <w:rFonts w:ascii="Times New Roman" w:hAnsi="Times New Roman"/>
          <w:sz w:val="24"/>
          <w:vertAlign w:val="superscript"/>
        </w:rPr>
        <w:t>9</w:t>
      </w:r>
      <w:r w:rsidRPr="00F16A5E">
        <w:rPr>
          <w:rFonts w:ascii="Times New Roman" w:hAnsi="Times New Roman"/>
          <w:sz w:val="24"/>
        </w:rPr>
        <w:t>/L;</w:t>
      </w:r>
    </w:p>
    <w:p w14:paraId="6274B2E0" w14:textId="77777777" w:rsidR="00BA4791" w:rsidRPr="00F16A5E" w:rsidRDefault="00BA4791" w:rsidP="00EA5F3A">
      <w:pPr>
        <w:pStyle w:val="SynopsisText"/>
        <w:numPr>
          <w:ilvl w:val="0"/>
          <w:numId w:val="17"/>
        </w:numPr>
        <w:spacing w:beforeLines="50" w:before="156" w:after="0" w:line="300" w:lineRule="auto"/>
        <w:ind w:left="817" w:right="0"/>
        <w:jc w:val="both"/>
        <w:rPr>
          <w:rFonts w:ascii="Times New Roman" w:hAnsi="Times New Roman"/>
          <w:sz w:val="24"/>
        </w:rPr>
      </w:pPr>
      <w:r w:rsidRPr="00F16A5E">
        <w:rPr>
          <w:rFonts w:ascii="Times New Roman" w:hAnsi="Times New Roman"/>
          <w:sz w:val="24"/>
        </w:rPr>
        <w:t>Total bilirubin&gt;1.5 x Upper Limit of Normal (ULN) (for subjects with history of Gilbert syndrome, &gt;3 x ULN); aspartate aminotransferase (AST) or alanine aminotransferase (ALT)&gt;2 x ULN;</w:t>
      </w:r>
    </w:p>
    <w:p w14:paraId="31FF380F" w14:textId="77777777" w:rsidR="00BA4791" w:rsidRPr="00F16A5E" w:rsidRDefault="00BA4791" w:rsidP="00EA5F3A">
      <w:pPr>
        <w:pStyle w:val="SynopsisText"/>
        <w:numPr>
          <w:ilvl w:val="0"/>
          <w:numId w:val="17"/>
        </w:numPr>
        <w:spacing w:beforeLines="50" w:before="156" w:after="0" w:line="300" w:lineRule="auto"/>
        <w:ind w:left="817" w:right="0"/>
        <w:jc w:val="both"/>
        <w:rPr>
          <w:rFonts w:ascii="Times New Roman" w:hAnsi="Times New Roman"/>
          <w:sz w:val="24"/>
        </w:rPr>
      </w:pPr>
      <w:r w:rsidRPr="00F16A5E">
        <w:rPr>
          <w:rFonts w:ascii="Times New Roman" w:hAnsi="Times New Roman"/>
          <w:sz w:val="24"/>
        </w:rPr>
        <w:t>Estimated glomerular filtration rate &lt; 40 ml/min/1.73m</w:t>
      </w:r>
      <w:r w:rsidRPr="00F16A5E">
        <w:rPr>
          <w:rFonts w:ascii="Times New Roman" w:hAnsi="Times New Roman"/>
          <w:sz w:val="24"/>
          <w:vertAlign w:val="superscript"/>
        </w:rPr>
        <w:t>2</w:t>
      </w:r>
      <w:r w:rsidRPr="00F16A5E">
        <w:rPr>
          <w:rFonts w:ascii="Times New Roman" w:hAnsi="Times New Roman"/>
          <w:sz w:val="24"/>
        </w:rPr>
        <w:t xml:space="preserve"> from the Modification of Diet in Renal Disease (MDRD) formula;</w:t>
      </w:r>
    </w:p>
    <w:p w14:paraId="6BD99739" w14:textId="27165FFB" w:rsidR="00BA4791" w:rsidRPr="00F16A5E" w:rsidRDefault="00BA4791" w:rsidP="00EA5F3A">
      <w:pPr>
        <w:pStyle w:val="SynopsisText"/>
        <w:numPr>
          <w:ilvl w:val="0"/>
          <w:numId w:val="17"/>
        </w:numPr>
        <w:spacing w:beforeLines="50" w:before="156" w:after="0" w:line="300" w:lineRule="auto"/>
        <w:ind w:left="817" w:right="0"/>
        <w:jc w:val="both"/>
        <w:rPr>
          <w:rFonts w:ascii="Times New Roman" w:hAnsi="Times New Roman"/>
          <w:sz w:val="24"/>
        </w:rPr>
      </w:pPr>
      <w:r w:rsidRPr="00F16A5E">
        <w:rPr>
          <w:rFonts w:ascii="Times New Roman" w:hAnsi="Times New Roman"/>
          <w:kern w:val="2"/>
          <w:sz w:val="24"/>
        </w:rPr>
        <w:t>Protein urine in 24 hours ≥3.5 g.</w:t>
      </w:r>
    </w:p>
    <w:p w14:paraId="75A57FBC" w14:textId="1A4F3408"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89" w:name="_Toc7170230"/>
      <w:bookmarkStart w:id="90" w:name="_Toc9456176"/>
      <w:bookmarkStart w:id="91" w:name="_Toc20224850"/>
      <w:bookmarkStart w:id="92" w:name="_Toc71149152"/>
      <w:r w:rsidRPr="00F16A5E">
        <w:rPr>
          <w:rFonts w:ascii="Times New Roman" w:eastAsia="宋体" w:hAnsi="Times New Roman"/>
          <w:sz w:val="24"/>
        </w:rPr>
        <w:t>4.3</w:t>
      </w:r>
      <w:bookmarkEnd w:id="89"/>
      <w:bookmarkEnd w:id="90"/>
      <w:bookmarkEnd w:id="91"/>
      <w:r w:rsidR="00BA4791" w:rsidRPr="00F16A5E">
        <w:rPr>
          <w:rFonts w:ascii="Times New Roman" w:eastAsia="宋体" w:hAnsi="Times New Roman"/>
          <w:sz w:val="24"/>
        </w:rPr>
        <w:tab/>
        <w:t>Lifestyle Considerations</w:t>
      </w:r>
      <w:bookmarkEnd w:id="92"/>
    </w:p>
    <w:p w14:paraId="692249A7" w14:textId="71BD25DE" w:rsidR="006E18E9" w:rsidRPr="00F16A5E" w:rsidRDefault="006E18E9" w:rsidP="006E18E9">
      <w:pPr>
        <w:pStyle w:val="3"/>
        <w:keepLines w:val="0"/>
        <w:spacing w:before="60" w:after="60" w:line="360" w:lineRule="auto"/>
        <w:rPr>
          <w:sz w:val="24"/>
          <w:szCs w:val="24"/>
        </w:rPr>
      </w:pPr>
      <w:bookmarkStart w:id="93" w:name="_Toc20224851"/>
      <w:bookmarkStart w:id="94" w:name="_Toc71149153"/>
      <w:r w:rsidRPr="00F16A5E">
        <w:rPr>
          <w:sz w:val="24"/>
          <w:szCs w:val="24"/>
        </w:rPr>
        <w:t>4.3.1</w:t>
      </w:r>
      <w:bookmarkEnd w:id="93"/>
      <w:r w:rsidR="00BA4791" w:rsidRPr="00F16A5E">
        <w:rPr>
          <w:sz w:val="24"/>
          <w:szCs w:val="24"/>
        </w:rPr>
        <w:tab/>
        <w:t>Contraception</w:t>
      </w:r>
      <w:bookmarkEnd w:id="94"/>
    </w:p>
    <w:p w14:paraId="63707D55" w14:textId="3B7BD1A8" w:rsidR="006E18E9" w:rsidRPr="00F16A5E" w:rsidRDefault="00924932" w:rsidP="00924932">
      <w:pPr>
        <w:spacing w:beforeLines="50" w:before="156" w:line="300" w:lineRule="auto"/>
        <w:rPr>
          <w:sz w:val="24"/>
        </w:rPr>
      </w:pPr>
      <w:r w:rsidRPr="00F16A5E">
        <w:rPr>
          <w:sz w:val="24"/>
        </w:rPr>
        <w:t>Female and male subjects with fertility must use effective contraceptive measures during the entire study period. The investigator or his/her designated personnel shall inform and instruct the subjects on continuous and correct contraception.</w:t>
      </w:r>
    </w:p>
    <w:p w14:paraId="1826DF1E" w14:textId="084E4C40" w:rsidR="00924932" w:rsidRPr="00F16A5E" w:rsidRDefault="00924932" w:rsidP="00924932">
      <w:pPr>
        <w:spacing w:beforeLines="50" w:before="156" w:line="300" w:lineRule="auto"/>
        <w:rPr>
          <w:sz w:val="24"/>
        </w:rPr>
      </w:pPr>
      <w:r w:rsidRPr="00F16A5E">
        <w:rPr>
          <w:sz w:val="24"/>
        </w:rPr>
        <w:t>Effective contraceptive measures include but are not limited to the following:</w:t>
      </w:r>
    </w:p>
    <w:p w14:paraId="0F662A36" w14:textId="77777777" w:rsidR="00924932" w:rsidRPr="00F16A5E" w:rsidRDefault="00924932" w:rsidP="00EA5F3A">
      <w:pPr>
        <w:pStyle w:val="aa"/>
        <w:numPr>
          <w:ilvl w:val="0"/>
          <w:numId w:val="24"/>
        </w:numPr>
        <w:spacing w:beforeLines="50" w:before="156" w:line="300" w:lineRule="auto"/>
        <w:ind w:leftChars="200" w:left="840" w:firstLineChars="0"/>
        <w:rPr>
          <w:rFonts w:ascii="Times New Roman" w:hAnsi="Times New Roman"/>
          <w:sz w:val="24"/>
        </w:rPr>
      </w:pPr>
      <w:r w:rsidRPr="00F16A5E">
        <w:rPr>
          <w:rFonts w:ascii="Times New Roman" w:hAnsi="Times New Roman"/>
          <w:sz w:val="24"/>
        </w:rPr>
        <w:t>Abstinence</w:t>
      </w:r>
    </w:p>
    <w:p w14:paraId="5D6E1A94" w14:textId="7BB2F441" w:rsidR="00924932" w:rsidRPr="00F16A5E" w:rsidRDefault="00924932" w:rsidP="00EA5F3A">
      <w:pPr>
        <w:pStyle w:val="aa"/>
        <w:numPr>
          <w:ilvl w:val="0"/>
          <w:numId w:val="24"/>
        </w:numPr>
        <w:spacing w:beforeLines="50" w:before="156" w:line="300" w:lineRule="auto"/>
        <w:ind w:leftChars="200" w:left="840" w:firstLineChars="0"/>
        <w:rPr>
          <w:rFonts w:ascii="Times New Roman" w:hAnsi="Times New Roman"/>
          <w:sz w:val="24"/>
        </w:rPr>
      </w:pPr>
      <w:r w:rsidRPr="00F16A5E">
        <w:rPr>
          <w:rFonts w:ascii="Times New Roman" w:hAnsi="Times New Roman"/>
          <w:sz w:val="24"/>
        </w:rPr>
        <w:t>Intrauterine device</w:t>
      </w:r>
    </w:p>
    <w:p w14:paraId="63FE8C1C" w14:textId="3E201B9F" w:rsidR="00924932" w:rsidRPr="00F16A5E" w:rsidRDefault="00924932" w:rsidP="00EA5F3A">
      <w:pPr>
        <w:pStyle w:val="aa"/>
        <w:numPr>
          <w:ilvl w:val="0"/>
          <w:numId w:val="24"/>
        </w:numPr>
        <w:spacing w:beforeLines="50" w:before="156" w:line="300" w:lineRule="auto"/>
        <w:ind w:leftChars="200" w:left="840" w:firstLineChars="0"/>
        <w:rPr>
          <w:rFonts w:ascii="Times New Roman" w:hAnsi="Times New Roman"/>
          <w:sz w:val="24"/>
        </w:rPr>
      </w:pPr>
      <w:r w:rsidRPr="00F16A5E">
        <w:rPr>
          <w:rFonts w:ascii="Times New Roman" w:hAnsi="Times New Roman"/>
          <w:sz w:val="24"/>
        </w:rPr>
        <w:t>Barrier contraceptives (contraceptive diaphragm with spermicide, or cervical cap with spermicide, or male condom)</w:t>
      </w:r>
    </w:p>
    <w:p w14:paraId="3752010A" w14:textId="13E5FCBE" w:rsidR="00924932" w:rsidRPr="00F16A5E" w:rsidRDefault="00924932" w:rsidP="00EA5F3A">
      <w:pPr>
        <w:pStyle w:val="aa"/>
        <w:numPr>
          <w:ilvl w:val="0"/>
          <w:numId w:val="24"/>
        </w:numPr>
        <w:spacing w:beforeLines="50" w:before="156" w:line="300" w:lineRule="auto"/>
        <w:ind w:leftChars="200" w:left="840" w:firstLineChars="0"/>
        <w:rPr>
          <w:rFonts w:ascii="Times New Roman" w:hAnsi="Times New Roman"/>
          <w:sz w:val="24"/>
        </w:rPr>
      </w:pPr>
      <w:r w:rsidRPr="00F16A5E">
        <w:rPr>
          <w:rFonts w:ascii="Times New Roman" w:hAnsi="Times New Roman"/>
          <w:sz w:val="24"/>
        </w:rPr>
        <w:t>Vasectomy</w:t>
      </w:r>
    </w:p>
    <w:p w14:paraId="5FFEA191" w14:textId="634EA01F" w:rsidR="00924932" w:rsidRPr="00F16A5E" w:rsidRDefault="00924932" w:rsidP="00EA5F3A">
      <w:pPr>
        <w:pStyle w:val="aa"/>
        <w:numPr>
          <w:ilvl w:val="0"/>
          <w:numId w:val="24"/>
        </w:numPr>
        <w:spacing w:beforeLines="50" w:before="156" w:line="300" w:lineRule="auto"/>
        <w:ind w:leftChars="200" w:left="840" w:firstLineChars="0"/>
        <w:rPr>
          <w:rFonts w:ascii="Times New Roman" w:hAnsi="Times New Roman"/>
          <w:sz w:val="24"/>
        </w:rPr>
      </w:pPr>
      <w:r w:rsidRPr="00F16A5E">
        <w:rPr>
          <w:rFonts w:ascii="Times New Roman" w:hAnsi="Times New Roman"/>
          <w:sz w:val="24"/>
        </w:rPr>
        <w:t>Fallopian tube ligation or hysterectomy</w:t>
      </w:r>
    </w:p>
    <w:p w14:paraId="3ECFE168" w14:textId="2E6D9671" w:rsidR="00924932" w:rsidRPr="00F16A5E" w:rsidRDefault="00924932" w:rsidP="00EA5F3A">
      <w:pPr>
        <w:pStyle w:val="aa"/>
        <w:numPr>
          <w:ilvl w:val="0"/>
          <w:numId w:val="24"/>
        </w:numPr>
        <w:spacing w:beforeLines="50" w:before="156" w:line="300" w:lineRule="auto"/>
        <w:ind w:leftChars="200" w:left="840" w:firstLineChars="0"/>
        <w:rPr>
          <w:rFonts w:ascii="Times New Roman" w:hAnsi="Times New Roman"/>
          <w:sz w:val="24"/>
        </w:rPr>
      </w:pPr>
      <w:r w:rsidRPr="00F16A5E">
        <w:rPr>
          <w:rFonts w:ascii="Times New Roman" w:hAnsi="Times New Roman"/>
          <w:sz w:val="24"/>
        </w:rPr>
        <w:lastRenderedPageBreak/>
        <w:t>Other methods of contraception approved by the investigator</w:t>
      </w:r>
    </w:p>
    <w:p w14:paraId="67F6A247" w14:textId="3CBAA605" w:rsidR="006E18E9" w:rsidRPr="00F16A5E" w:rsidRDefault="006E18E9" w:rsidP="006E18E9">
      <w:pPr>
        <w:pStyle w:val="3"/>
        <w:keepLines w:val="0"/>
        <w:spacing w:before="60" w:after="60" w:line="360" w:lineRule="auto"/>
        <w:rPr>
          <w:sz w:val="24"/>
        </w:rPr>
      </w:pPr>
      <w:bookmarkStart w:id="95" w:name="_Toc20224852"/>
      <w:bookmarkStart w:id="96" w:name="_Toc71149154"/>
      <w:r w:rsidRPr="00F16A5E">
        <w:rPr>
          <w:sz w:val="24"/>
          <w:szCs w:val="24"/>
        </w:rPr>
        <w:t>4.3.2</w:t>
      </w:r>
      <w:bookmarkEnd w:id="95"/>
      <w:r w:rsidR="00924932" w:rsidRPr="00F16A5E">
        <w:rPr>
          <w:sz w:val="24"/>
          <w:szCs w:val="24"/>
        </w:rPr>
        <w:tab/>
        <w:t>Visit Requirements</w:t>
      </w:r>
      <w:bookmarkEnd w:id="96"/>
    </w:p>
    <w:p w14:paraId="7BBC6318" w14:textId="729FD555" w:rsidR="006E18E9" w:rsidRPr="00F16A5E" w:rsidRDefault="00924932" w:rsidP="00924932">
      <w:pPr>
        <w:spacing w:beforeLines="50" w:before="156" w:line="300" w:lineRule="auto"/>
        <w:rPr>
          <w:sz w:val="24"/>
        </w:rPr>
      </w:pPr>
      <w:r w:rsidRPr="00F16A5E">
        <w:rPr>
          <w:sz w:val="24"/>
        </w:rPr>
        <w:t>During the treatment period, a subject is not allowed to leave the study center if the visit schedule specified in the protocol has not been completed and without the permission of the investigator.</w:t>
      </w:r>
    </w:p>
    <w:p w14:paraId="05327FBE" w14:textId="7A4B813C"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97" w:name="_Toc7170231"/>
      <w:bookmarkStart w:id="98" w:name="_Toc9456177"/>
      <w:bookmarkStart w:id="99" w:name="_Toc20224853"/>
      <w:bookmarkStart w:id="100" w:name="_Toc71149155"/>
      <w:r w:rsidRPr="00F16A5E">
        <w:rPr>
          <w:rFonts w:ascii="Times New Roman" w:eastAsia="宋体" w:hAnsi="Times New Roman"/>
          <w:sz w:val="24"/>
        </w:rPr>
        <w:t>4.4</w:t>
      </w:r>
      <w:bookmarkEnd w:id="97"/>
      <w:bookmarkEnd w:id="98"/>
      <w:bookmarkEnd w:id="99"/>
      <w:r w:rsidR="00924932" w:rsidRPr="00F16A5E">
        <w:rPr>
          <w:rFonts w:ascii="Times New Roman" w:eastAsia="宋体" w:hAnsi="Times New Roman"/>
          <w:sz w:val="24"/>
        </w:rPr>
        <w:tab/>
        <w:t>Screen</w:t>
      </w:r>
      <w:r w:rsidR="00FD508E" w:rsidRPr="00F16A5E">
        <w:rPr>
          <w:rFonts w:ascii="Times New Roman" w:eastAsia="宋体" w:hAnsi="Times New Roman"/>
          <w:sz w:val="24"/>
        </w:rPr>
        <w:t>ing</w:t>
      </w:r>
      <w:r w:rsidR="00924932" w:rsidRPr="00F16A5E">
        <w:rPr>
          <w:rFonts w:ascii="Times New Roman" w:eastAsia="宋体" w:hAnsi="Times New Roman"/>
          <w:sz w:val="24"/>
        </w:rPr>
        <w:t xml:space="preserve"> Failure</w:t>
      </w:r>
      <w:bookmarkEnd w:id="100"/>
    </w:p>
    <w:p w14:paraId="37BAE788" w14:textId="75836A3C" w:rsidR="00924932" w:rsidRPr="00F16A5E" w:rsidRDefault="00924932" w:rsidP="00924932">
      <w:pPr>
        <w:spacing w:beforeLines="50" w:before="156" w:line="300" w:lineRule="auto"/>
        <w:rPr>
          <w:sz w:val="24"/>
          <w:lang w:val="x-none"/>
        </w:rPr>
      </w:pPr>
      <w:bookmarkStart w:id="101" w:name="_Toc433698024"/>
      <w:bookmarkStart w:id="102" w:name="_Toc485390236"/>
      <w:r w:rsidRPr="00F16A5E">
        <w:rPr>
          <w:sz w:val="24"/>
          <w:lang w:val="x-none"/>
        </w:rPr>
        <w:t>Screening failure is defined as withdrawal from the study after signing the informed consent form but prior to randomization. Subjects who fail the screening should be recorded in the source documents as well as Electronic Case Report Forms (eCRFs), but no further follow-up is required.</w:t>
      </w:r>
    </w:p>
    <w:p w14:paraId="2A30D15C" w14:textId="12964F8D" w:rsidR="00924932" w:rsidRPr="00F16A5E" w:rsidRDefault="00924932" w:rsidP="00924932">
      <w:pPr>
        <w:spacing w:beforeLines="50" w:before="156" w:line="300" w:lineRule="auto"/>
        <w:rPr>
          <w:sz w:val="24"/>
          <w:lang w:val="x-none"/>
        </w:rPr>
      </w:pPr>
      <w:r w:rsidRPr="00F16A5E">
        <w:rPr>
          <w:sz w:val="24"/>
          <w:lang w:val="x-none"/>
        </w:rPr>
        <w:t>Subjects who fail the screening can be re-screened. Subjects will be given a new screening number at re-screening.</w:t>
      </w:r>
    </w:p>
    <w:p w14:paraId="46012974" w14:textId="3BCA9EC5" w:rsidR="006E18E9" w:rsidRPr="00F16A5E" w:rsidRDefault="006E18E9" w:rsidP="006E18E9">
      <w:pPr>
        <w:pStyle w:val="1"/>
        <w:pageBreakBefore/>
        <w:spacing w:beforeLines="0" w:before="120" w:line="360" w:lineRule="auto"/>
        <w:jc w:val="both"/>
        <w:rPr>
          <w:rFonts w:eastAsia="宋体"/>
          <w:sz w:val="24"/>
          <w:lang w:eastAsia="zh-CN"/>
        </w:rPr>
      </w:pPr>
      <w:bookmarkStart w:id="103" w:name="_Toc7170233"/>
      <w:bookmarkStart w:id="104" w:name="_Toc9456178"/>
      <w:bookmarkStart w:id="105" w:name="_Toc20224854"/>
      <w:bookmarkStart w:id="106" w:name="_Toc71149156"/>
      <w:bookmarkEnd w:id="101"/>
      <w:bookmarkEnd w:id="102"/>
      <w:r w:rsidRPr="00F16A5E">
        <w:rPr>
          <w:rFonts w:eastAsia="宋体"/>
          <w:sz w:val="24"/>
          <w:lang w:eastAsia="zh-CN"/>
        </w:rPr>
        <w:lastRenderedPageBreak/>
        <w:t>5</w:t>
      </w:r>
      <w:bookmarkEnd w:id="103"/>
      <w:bookmarkEnd w:id="104"/>
      <w:bookmarkEnd w:id="105"/>
      <w:r w:rsidR="00721180" w:rsidRPr="00F16A5E">
        <w:rPr>
          <w:rFonts w:eastAsia="宋体"/>
          <w:sz w:val="24"/>
          <w:lang w:eastAsia="zh-CN"/>
        </w:rPr>
        <w:tab/>
      </w:r>
      <w:r w:rsidR="00152A66" w:rsidRPr="00F16A5E">
        <w:rPr>
          <w:rFonts w:eastAsia="宋体"/>
          <w:sz w:val="24"/>
          <w:lang w:eastAsia="zh-CN"/>
        </w:rPr>
        <w:t>Investigational Drugs</w:t>
      </w:r>
      <w:bookmarkEnd w:id="106"/>
    </w:p>
    <w:p w14:paraId="35A01A9D" w14:textId="0810C22E" w:rsidR="006E18E9" w:rsidRPr="00F16A5E" w:rsidRDefault="006E18E9" w:rsidP="006E18E9">
      <w:pPr>
        <w:pStyle w:val="2"/>
        <w:keepLines w:val="0"/>
        <w:spacing w:before="60" w:after="60" w:line="360" w:lineRule="auto"/>
        <w:rPr>
          <w:rFonts w:ascii="Times New Roman" w:eastAsia="宋体" w:hAnsi="Times New Roman"/>
          <w:sz w:val="24"/>
        </w:rPr>
      </w:pPr>
      <w:bookmarkStart w:id="107" w:name="_Toc7170234"/>
      <w:bookmarkStart w:id="108" w:name="_Toc9456179"/>
      <w:bookmarkStart w:id="109" w:name="_Toc20224855"/>
      <w:bookmarkStart w:id="110" w:name="_Toc71149157"/>
      <w:r w:rsidRPr="00F16A5E">
        <w:rPr>
          <w:rFonts w:ascii="Times New Roman" w:eastAsia="宋体" w:hAnsi="Times New Roman"/>
          <w:sz w:val="24"/>
        </w:rPr>
        <w:t>5.1</w:t>
      </w:r>
      <w:bookmarkEnd w:id="107"/>
      <w:bookmarkEnd w:id="108"/>
      <w:bookmarkEnd w:id="109"/>
      <w:r w:rsidR="00721180" w:rsidRPr="00F16A5E">
        <w:rPr>
          <w:rFonts w:ascii="Times New Roman" w:eastAsia="宋体" w:hAnsi="Times New Roman"/>
          <w:sz w:val="24"/>
        </w:rPr>
        <w:tab/>
      </w:r>
      <w:r w:rsidR="00152A66" w:rsidRPr="00F16A5E">
        <w:rPr>
          <w:rFonts w:ascii="Times New Roman" w:eastAsia="宋体" w:hAnsi="Times New Roman"/>
          <w:sz w:val="24"/>
        </w:rPr>
        <w:t>Investigational</w:t>
      </w:r>
      <w:r w:rsidR="00721180" w:rsidRPr="00F16A5E">
        <w:rPr>
          <w:rFonts w:ascii="Times New Roman" w:eastAsia="宋体" w:hAnsi="Times New Roman"/>
          <w:sz w:val="24"/>
        </w:rPr>
        <w:t xml:space="preserve"> Drug</w:t>
      </w:r>
      <w:r w:rsidR="00152A66" w:rsidRPr="00F16A5E">
        <w:rPr>
          <w:rFonts w:ascii="Times New Roman" w:eastAsia="宋体" w:hAnsi="Times New Roman"/>
          <w:sz w:val="24"/>
        </w:rPr>
        <w:t>s</w:t>
      </w:r>
      <w:r w:rsidR="00721180" w:rsidRPr="00F16A5E">
        <w:rPr>
          <w:rFonts w:ascii="Times New Roman" w:eastAsia="宋体" w:hAnsi="Times New Roman"/>
          <w:sz w:val="24"/>
        </w:rPr>
        <w:t xml:space="preserve"> and Administration</w:t>
      </w:r>
      <w:bookmarkEnd w:id="110"/>
    </w:p>
    <w:p w14:paraId="5A29B9D9" w14:textId="5BDC71CA" w:rsidR="006E18E9" w:rsidRPr="00F16A5E" w:rsidRDefault="006E18E9" w:rsidP="006E18E9">
      <w:pPr>
        <w:pStyle w:val="3"/>
        <w:keepLines w:val="0"/>
        <w:spacing w:before="60" w:after="60" w:line="360" w:lineRule="auto"/>
        <w:rPr>
          <w:sz w:val="24"/>
          <w:szCs w:val="24"/>
        </w:rPr>
      </w:pPr>
      <w:bookmarkStart w:id="111" w:name="_Toc7170235"/>
      <w:bookmarkStart w:id="112" w:name="_Toc9456180"/>
      <w:bookmarkStart w:id="113" w:name="_Toc20224856"/>
      <w:bookmarkStart w:id="114" w:name="_Toc71149158"/>
      <w:r w:rsidRPr="00F16A5E">
        <w:rPr>
          <w:sz w:val="24"/>
          <w:szCs w:val="24"/>
        </w:rPr>
        <w:t>5.1.1</w:t>
      </w:r>
      <w:bookmarkEnd w:id="111"/>
      <w:bookmarkEnd w:id="112"/>
      <w:bookmarkEnd w:id="113"/>
      <w:r w:rsidR="000A783D" w:rsidRPr="00F16A5E">
        <w:rPr>
          <w:sz w:val="24"/>
          <w:szCs w:val="24"/>
        </w:rPr>
        <w:tab/>
        <w:t xml:space="preserve">Basic Information for the </w:t>
      </w:r>
      <w:r w:rsidR="00152A66" w:rsidRPr="00F16A5E">
        <w:rPr>
          <w:sz w:val="24"/>
          <w:szCs w:val="24"/>
        </w:rPr>
        <w:t>Investigational Drugs</w:t>
      </w:r>
      <w:bookmarkEnd w:id="114"/>
    </w:p>
    <w:tbl>
      <w:tblPr>
        <w:tblW w:w="0" w:type="auto"/>
        <w:tblLook w:val="04A0" w:firstRow="1" w:lastRow="0" w:firstColumn="1" w:lastColumn="0" w:noHBand="0" w:noVBand="1"/>
      </w:tblPr>
      <w:tblGrid>
        <w:gridCol w:w="1560"/>
        <w:gridCol w:w="3769"/>
        <w:gridCol w:w="3741"/>
      </w:tblGrid>
      <w:tr w:rsidR="006E18E9" w:rsidRPr="00F16A5E" w14:paraId="36789A54" w14:textId="77777777" w:rsidTr="000A783D">
        <w:tc>
          <w:tcPr>
            <w:tcW w:w="1560" w:type="dxa"/>
            <w:tcBorders>
              <w:top w:val="single" w:sz="4" w:space="0" w:color="auto"/>
              <w:bottom w:val="single" w:sz="4" w:space="0" w:color="auto"/>
            </w:tcBorders>
            <w:shd w:val="clear" w:color="auto" w:fill="E7E6E6"/>
            <w:vAlign w:val="center"/>
          </w:tcPr>
          <w:p w14:paraId="0DCB983F" w14:textId="77777777" w:rsidR="006E18E9" w:rsidRPr="00F16A5E" w:rsidRDefault="006E18E9" w:rsidP="00880C9B">
            <w:pPr>
              <w:spacing w:line="300" w:lineRule="exact"/>
              <w:jc w:val="center"/>
              <w:rPr>
                <w:b/>
                <w:kern w:val="0"/>
                <w:sz w:val="20"/>
              </w:rPr>
            </w:pPr>
          </w:p>
        </w:tc>
        <w:tc>
          <w:tcPr>
            <w:tcW w:w="3769" w:type="dxa"/>
            <w:tcBorders>
              <w:top w:val="single" w:sz="4" w:space="0" w:color="auto"/>
              <w:bottom w:val="single" w:sz="4" w:space="0" w:color="auto"/>
            </w:tcBorders>
            <w:shd w:val="clear" w:color="auto" w:fill="E7E6E6"/>
          </w:tcPr>
          <w:p w14:paraId="569C5744" w14:textId="66489E8E" w:rsidR="006E18E9" w:rsidRPr="00F16A5E" w:rsidRDefault="000A783D" w:rsidP="00880C9B">
            <w:pPr>
              <w:spacing w:line="300" w:lineRule="exact"/>
              <w:jc w:val="center"/>
              <w:rPr>
                <w:b/>
                <w:kern w:val="0"/>
                <w:sz w:val="20"/>
              </w:rPr>
            </w:pPr>
            <w:r w:rsidRPr="00F16A5E">
              <w:rPr>
                <w:b/>
                <w:kern w:val="0"/>
                <w:sz w:val="20"/>
              </w:rPr>
              <w:t>Study Drug</w:t>
            </w:r>
          </w:p>
        </w:tc>
        <w:tc>
          <w:tcPr>
            <w:tcW w:w="3741" w:type="dxa"/>
            <w:tcBorders>
              <w:top w:val="single" w:sz="4" w:space="0" w:color="auto"/>
              <w:bottom w:val="single" w:sz="4" w:space="0" w:color="auto"/>
            </w:tcBorders>
            <w:shd w:val="clear" w:color="auto" w:fill="E7E6E6"/>
            <w:vAlign w:val="center"/>
          </w:tcPr>
          <w:p w14:paraId="46CCB640" w14:textId="2018316D" w:rsidR="006E18E9" w:rsidRPr="00F16A5E" w:rsidRDefault="000A783D" w:rsidP="00880C9B">
            <w:pPr>
              <w:spacing w:line="300" w:lineRule="exact"/>
              <w:jc w:val="center"/>
              <w:rPr>
                <w:b/>
                <w:kern w:val="0"/>
                <w:sz w:val="20"/>
              </w:rPr>
            </w:pPr>
            <w:r w:rsidRPr="00F16A5E">
              <w:rPr>
                <w:b/>
                <w:kern w:val="0"/>
                <w:sz w:val="20"/>
              </w:rPr>
              <w:t>Placebo</w:t>
            </w:r>
          </w:p>
        </w:tc>
      </w:tr>
      <w:tr w:rsidR="006E18E9" w:rsidRPr="00F16A5E" w14:paraId="12F192FA" w14:textId="77777777" w:rsidTr="000A783D">
        <w:tc>
          <w:tcPr>
            <w:tcW w:w="1560" w:type="dxa"/>
            <w:tcBorders>
              <w:top w:val="single" w:sz="4" w:space="0" w:color="auto"/>
            </w:tcBorders>
            <w:shd w:val="clear" w:color="auto" w:fill="auto"/>
            <w:vAlign w:val="center"/>
          </w:tcPr>
          <w:p w14:paraId="4BC563A1" w14:textId="724FEEB8" w:rsidR="006E18E9" w:rsidRPr="00F16A5E" w:rsidRDefault="000A783D" w:rsidP="00880C9B">
            <w:pPr>
              <w:spacing w:line="300" w:lineRule="exact"/>
              <w:jc w:val="center"/>
              <w:rPr>
                <w:kern w:val="0"/>
              </w:rPr>
            </w:pPr>
            <w:r w:rsidRPr="00F16A5E">
              <w:rPr>
                <w:kern w:val="0"/>
              </w:rPr>
              <w:t>Name</w:t>
            </w:r>
          </w:p>
        </w:tc>
        <w:tc>
          <w:tcPr>
            <w:tcW w:w="3769" w:type="dxa"/>
            <w:tcBorders>
              <w:top w:val="single" w:sz="4" w:space="0" w:color="auto"/>
            </w:tcBorders>
            <w:shd w:val="clear" w:color="auto" w:fill="auto"/>
          </w:tcPr>
          <w:p w14:paraId="6E8BEC88" w14:textId="1AC67FB3" w:rsidR="006E18E9" w:rsidRPr="00F16A5E" w:rsidRDefault="000A783D" w:rsidP="00880C9B">
            <w:pPr>
              <w:spacing w:line="300" w:lineRule="exact"/>
              <w:jc w:val="center"/>
              <w:rPr>
                <w:kern w:val="0"/>
              </w:rPr>
            </w:pPr>
            <w:r w:rsidRPr="00F16A5E">
              <w:rPr>
                <w:kern w:val="0"/>
              </w:rPr>
              <w:t>Orelabrutinib</w:t>
            </w:r>
          </w:p>
        </w:tc>
        <w:tc>
          <w:tcPr>
            <w:tcW w:w="3741" w:type="dxa"/>
            <w:tcBorders>
              <w:top w:val="single" w:sz="4" w:space="0" w:color="auto"/>
            </w:tcBorders>
            <w:shd w:val="clear" w:color="auto" w:fill="auto"/>
          </w:tcPr>
          <w:p w14:paraId="08FDFD78" w14:textId="0BD51707" w:rsidR="006E18E9" w:rsidRPr="00F16A5E" w:rsidRDefault="000A783D" w:rsidP="00880C9B">
            <w:pPr>
              <w:spacing w:line="300" w:lineRule="exact"/>
              <w:jc w:val="center"/>
              <w:rPr>
                <w:kern w:val="0"/>
              </w:rPr>
            </w:pPr>
            <w:r w:rsidRPr="00F16A5E">
              <w:rPr>
                <w:kern w:val="0"/>
              </w:rPr>
              <w:t>Orelabrutinib simulant</w:t>
            </w:r>
          </w:p>
        </w:tc>
      </w:tr>
      <w:tr w:rsidR="006E18E9" w:rsidRPr="00F16A5E" w14:paraId="44477E4D" w14:textId="77777777" w:rsidTr="000A783D">
        <w:tc>
          <w:tcPr>
            <w:tcW w:w="1560" w:type="dxa"/>
            <w:shd w:val="clear" w:color="auto" w:fill="auto"/>
            <w:vAlign w:val="center"/>
          </w:tcPr>
          <w:p w14:paraId="58A04501" w14:textId="1A2E4789" w:rsidR="006E18E9" w:rsidRPr="00F16A5E" w:rsidRDefault="000A783D" w:rsidP="00880C9B">
            <w:pPr>
              <w:spacing w:line="300" w:lineRule="exact"/>
              <w:jc w:val="center"/>
              <w:rPr>
                <w:kern w:val="0"/>
              </w:rPr>
            </w:pPr>
            <w:r w:rsidRPr="00F16A5E">
              <w:rPr>
                <w:kern w:val="0"/>
              </w:rPr>
              <w:t>Dosage Form</w:t>
            </w:r>
          </w:p>
        </w:tc>
        <w:tc>
          <w:tcPr>
            <w:tcW w:w="3769" w:type="dxa"/>
            <w:shd w:val="clear" w:color="auto" w:fill="auto"/>
          </w:tcPr>
          <w:p w14:paraId="17841C72" w14:textId="18C244C3" w:rsidR="006E18E9" w:rsidRPr="00F16A5E" w:rsidRDefault="000A783D" w:rsidP="00880C9B">
            <w:pPr>
              <w:spacing w:line="300" w:lineRule="exact"/>
              <w:jc w:val="center"/>
              <w:rPr>
                <w:kern w:val="0"/>
              </w:rPr>
            </w:pPr>
            <w:r w:rsidRPr="00F16A5E">
              <w:rPr>
                <w:kern w:val="0"/>
              </w:rPr>
              <w:t>Tablets</w:t>
            </w:r>
          </w:p>
        </w:tc>
        <w:tc>
          <w:tcPr>
            <w:tcW w:w="3741" w:type="dxa"/>
            <w:shd w:val="clear" w:color="auto" w:fill="auto"/>
          </w:tcPr>
          <w:p w14:paraId="4243F62A" w14:textId="0B45BC8A" w:rsidR="006E18E9" w:rsidRPr="00F16A5E" w:rsidRDefault="000A783D" w:rsidP="00880C9B">
            <w:pPr>
              <w:spacing w:line="300" w:lineRule="exact"/>
              <w:jc w:val="center"/>
              <w:rPr>
                <w:kern w:val="0"/>
              </w:rPr>
            </w:pPr>
            <w:r w:rsidRPr="00F16A5E">
              <w:rPr>
                <w:kern w:val="0"/>
              </w:rPr>
              <w:t>Tablets</w:t>
            </w:r>
          </w:p>
        </w:tc>
      </w:tr>
      <w:tr w:rsidR="006E18E9" w:rsidRPr="00F16A5E" w14:paraId="43DF8D7E" w14:textId="77777777" w:rsidTr="000A783D">
        <w:tc>
          <w:tcPr>
            <w:tcW w:w="1560" w:type="dxa"/>
            <w:shd w:val="clear" w:color="auto" w:fill="auto"/>
            <w:vAlign w:val="center"/>
          </w:tcPr>
          <w:p w14:paraId="05C53009" w14:textId="2D002AEE" w:rsidR="006E18E9" w:rsidRPr="00F16A5E" w:rsidRDefault="000A783D" w:rsidP="00880C9B">
            <w:pPr>
              <w:spacing w:line="300" w:lineRule="exact"/>
              <w:jc w:val="center"/>
              <w:rPr>
                <w:kern w:val="0"/>
              </w:rPr>
            </w:pPr>
            <w:r w:rsidRPr="00F16A5E">
              <w:rPr>
                <w:kern w:val="0"/>
              </w:rPr>
              <w:t>Strength</w:t>
            </w:r>
          </w:p>
        </w:tc>
        <w:tc>
          <w:tcPr>
            <w:tcW w:w="3769" w:type="dxa"/>
            <w:shd w:val="clear" w:color="auto" w:fill="auto"/>
          </w:tcPr>
          <w:p w14:paraId="78D0777F" w14:textId="77777777" w:rsidR="006E18E9" w:rsidRPr="00F16A5E" w:rsidRDefault="006E18E9" w:rsidP="00880C9B">
            <w:pPr>
              <w:spacing w:line="300" w:lineRule="exact"/>
              <w:jc w:val="center"/>
              <w:rPr>
                <w:kern w:val="0"/>
              </w:rPr>
            </w:pPr>
            <w:r w:rsidRPr="00F16A5E">
              <w:rPr>
                <w:kern w:val="0"/>
              </w:rPr>
              <w:t>10 mg</w:t>
            </w:r>
            <w:r w:rsidRPr="00F16A5E">
              <w:rPr>
                <w:kern w:val="0"/>
              </w:rPr>
              <w:t>；</w:t>
            </w:r>
            <w:r w:rsidRPr="00F16A5E">
              <w:rPr>
                <w:kern w:val="0"/>
              </w:rPr>
              <w:t>50 mg</w:t>
            </w:r>
          </w:p>
        </w:tc>
        <w:tc>
          <w:tcPr>
            <w:tcW w:w="3741" w:type="dxa"/>
            <w:shd w:val="clear" w:color="auto" w:fill="auto"/>
          </w:tcPr>
          <w:p w14:paraId="7085461C" w14:textId="7820E3C4" w:rsidR="006E18E9" w:rsidRPr="00F16A5E" w:rsidRDefault="0036006F" w:rsidP="00880C9B">
            <w:pPr>
              <w:spacing w:line="300" w:lineRule="exact"/>
              <w:jc w:val="center"/>
              <w:rPr>
                <w:kern w:val="0"/>
              </w:rPr>
            </w:pPr>
            <w:r w:rsidRPr="00F16A5E">
              <w:rPr>
                <w:kern w:val="0"/>
              </w:rPr>
              <w:t>/</w:t>
            </w:r>
          </w:p>
        </w:tc>
      </w:tr>
      <w:tr w:rsidR="006E18E9" w:rsidRPr="00F16A5E" w14:paraId="3C6AEC08" w14:textId="77777777" w:rsidTr="000A783D">
        <w:tc>
          <w:tcPr>
            <w:tcW w:w="1560" w:type="dxa"/>
            <w:tcBorders>
              <w:bottom w:val="single" w:sz="4" w:space="0" w:color="auto"/>
            </w:tcBorders>
            <w:shd w:val="clear" w:color="auto" w:fill="auto"/>
            <w:vAlign w:val="center"/>
          </w:tcPr>
          <w:p w14:paraId="7243F536" w14:textId="12B3FAB7" w:rsidR="006E18E9" w:rsidRPr="00F16A5E" w:rsidRDefault="000A783D" w:rsidP="00880C9B">
            <w:pPr>
              <w:spacing w:line="300" w:lineRule="exact"/>
              <w:jc w:val="center"/>
              <w:rPr>
                <w:kern w:val="0"/>
              </w:rPr>
            </w:pPr>
            <w:r w:rsidRPr="00F16A5E">
              <w:rPr>
                <w:kern w:val="0"/>
              </w:rPr>
              <w:t>Storage Conditions</w:t>
            </w:r>
          </w:p>
        </w:tc>
        <w:tc>
          <w:tcPr>
            <w:tcW w:w="3769" w:type="dxa"/>
            <w:tcBorders>
              <w:bottom w:val="single" w:sz="4" w:space="0" w:color="auto"/>
            </w:tcBorders>
            <w:shd w:val="clear" w:color="auto" w:fill="auto"/>
          </w:tcPr>
          <w:p w14:paraId="3422FBAC" w14:textId="46D9657E" w:rsidR="006E18E9" w:rsidRPr="00F16A5E" w:rsidRDefault="000A783D" w:rsidP="00880C9B">
            <w:pPr>
              <w:spacing w:line="300" w:lineRule="exact"/>
              <w:jc w:val="center"/>
              <w:rPr>
                <w:kern w:val="0"/>
              </w:rPr>
            </w:pPr>
            <w:r w:rsidRPr="00F16A5E">
              <w:rPr>
                <w:kern w:val="0"/>
              </w:rPr>
              <w:t>Keep away from light and store in a sealed container. See drug label for details</w:t>
            </w:r>
          </w:p>
        </w:tc>
        <w:tc>
          <w:tcPr>
            <w:tcW w:w="3741" w:type="dxa"/>
            <w:tcBorders>
              <w:bottom w:val="single" w:sz="4" w:space="0" w:color="auto"/>
            </w:tcBorders>
            <w:shd w:val="clear" w:color="auto" w:fill="auto"/>
          </w:tcPr>
          <w:p w14:paraId="3D1DD46B" w14:textId="10C12697" w:rsidR="006E18E9" w:rsidRPr="00F16A5E" w:rsidRDefault="000A783D" w:rsidP="00880C9B">
            <w:pPr>
              <w:spacing w:line="300" w:lineRule="exact"/>
              <w:jc w:val="center"/>
              <w:rPr>
                <w:kern w:val="0"/>
              </w:rPr>
            </w:pPr>
            <w:r w:rsidRPr="00F16A5E">
              <w:rPr>
                <w:kern w:val="0"/>
              </w:rPr>
              <w:t>Keep away from light and store in a sealed container. See drug label for details</w:t>
            </w:r>
          </w:p>
        </w:tc>
      </w:tr>
    </w:tbl>
    <w:p w14:paraId="77696E02" w14:textId="3B92D597" w:rsidR="006E18E9" w:rsidRPr="00F16A5E" w:rsidRDefault="000A783D" w:rsidP="000A783D">
      <w:pPr>
        <w:spacing w:beforeLines="50" w:before="156" w:line="300" w:lineRule="auto"/>
        <w:rPr>
          <w:sz w:val="24"/>
        </w:rPr>
      </w:pPr>
      <w:r w:rsidRPr="00F16A5E">
        <w:rPr>
          <w:sz w:val="24"/>
        </w:rPr>
        <w:t xml:space="preserve">The </w:t>
      </w:r>
      <w:r w:rsidR="00152A66" w:rsidRPr="00F16A5E">
        <w:rPr>
          <w:sz w:val="24"/>
        </w:rPr>
        <w:t>investigational</w:t>
      </w:r>
      <w:r w:rsidRPr="00F16A5E">
        <w:rPr>
          <w:sz w:val="24"/>
        </w:rPr>
        <w:t xml:space="preserve"> drug</w:t>
      </w:r>
      <w:r w:rsidR="00152A66" w:rsidRPr="00F16A5E">
        <w:rPr>
          <w:sz w:val="24"/>
        </w:rPr>
        <w:t>s</w:t>
      </w:r>
      <w:r w:rsidRPr="00F16A5E">
        <w:rPr>
          <w:sz w:val="24"/>
        </w:rPr>
        <w:t xml:space="preserve"> will be provided by Beijing InnoCare Pharma Tech. Co. Ltd.. The manufacturing date and expiry date will be available at the time of use, please pay attention to check.</w:t>
      </w:r>
    </w:p>
    <w:p w14:paraId="22AE2B8E" w14:textId="179C9B70" w:rsidR="006E18E9" w:rsidRPr="00F16A5E" w:rsidRDefault="006E18E9" w:rsidP="006E18E9">
      <w:pPr>
        <w:pStyle w:val="3"/>
        <w:keepLines w:val="0"/>
        <w:spacing w:before="60" w:after="60" w:line="360" w:lineRule="auto"/>
        <w:rPr>
          <w:sz w:val="24"/>
          <w:szCs w:val="24"/>
        </w:rPr>
      </w:pPr>
      <w:bookmarkStart w:id="115" w:name="_Toc485390239"/>
      <w:bookmarkStart w:id="116" w:name="_Toc7170236"/>
      <w:bookmarkStart w:id="117" w:name="_Toc9456181"/>
      <w:bookmarkStart w:id="118" w:name="_Toc20224857"/>
      <w:bookmarkStart w:id="119" w:name="_Toc71149159"/>
      <w:r w:rsidRPr="00F16A5E">
        <w:rPr>
          <w:sz w:val="24"/>
          <w:szCs w:val="24"/>
        </w:rPr>
        <w:t>5.1.2</w:t>
      </w:r>
      <w:bookmarkEnd w:id="115"/>
      <w:r w:rsidR="000A783D" w:rsidRPr="00F16A5E">
        <w:rPr>
          <w:sz w:val="24"/>
          <w:szCs w:val="24"/>
        </w:rPr>
        <w:tab/>
      </w:r>
      <w:bookmarkEnd w:id="116"/>
      <w:bookmarkEnd w:id="117"/>
      <w:bookmarkEnd w:id="118"/>
      <w:r w:rsidR="000A783D" w:rsidRPr="00F16A5E">
        <w:rPr>
          <w:sz w:val="24"/>
          <w:szCs w:val="24"/>
        </w:rPr>
        <w:t>Dosage and Administration</w:t>
      </w:r>
      <w:bookmarkEnd w:id="119"/>
    </w:p>
    <w:p w14:paraId="29354A1B" w14:textId="1337469F" w:rsidR="00F0660C" w:rsidRPr="00F16A5E" w:rsidRDefault="00F0660C" w:rsidP="00F0660C">
      <w:pPr>
        <w:spacing w:beforeLines="50" w:before="156" w:line="300" w:lineRule="auto"/>
        <w:rPr>
          <w:sz w:val="24"/>
        </w:rPr>
      </w:pPr>
      <w:r w:rsidRPr="00F16A5E">
        <w:rPr>
          <w:sz w:val="24"/>
        </w:rPr>
        <w:t>Subjects should be instructed to take orelabrutinib (50 mg, 80 mg or 100 mg) or placebo orally according to the protocol, once daily, at the same time every day. Take it with water each time and swallow the entire tablet without chewing or breaking. The treatment duration is 12 weeks.</w:t>
      </w:r>
    </w:p>
    <w:p w14:paraId="48FB4705" w14:textId="7C68C120" w:rsidR="00F0660C" w:rsidRPr="00F16A5E" w:rsidRDefault="00F0660C" w:rsidP="00F0660C">
      <w:pPr>
        <w:spacing w:beforeLines="50" w:before="156" w:line="300" w:lineRule="auto"/>
        <w:rPr>
          <w:sz w:val="24"/>
        </w:rPr>
      </w:pPr>
      <w:r w:rsidRPr="00F16A5E">
        <w:rPr>
          <w:sz w:val="24"/>
        </w:rPr>
        <w:t>If a subject misses a dose of the study drug and it is within 12 hours from the original time, he/she can take the drug as soon as possible; but if it has been more than 12 hours from the original time, he/she should skip the missed dose and return to the normal schedule for the next dose.</w:t>
      </w:r>
    </w:p>
    <w:p w14:paraId="634D24E0" w14:textId="77C52BB8" w:rsidR="006E18E9" w:rsidRPr="00F16A5E" w:rsidRDefault="006E18E9" w:rsidP="006E18E9">
      <w:pPr>
        <w:pStyle w:val="3"/>
        <w:keepLines w:val="0"/>
        <w:spacing w:before="60" w:after="60" w:line="360" w:lineRule="auto"/>
        <w:rPr>
          <w:sz w:val="24"/>
          <w:szCs w:val="24"/>
        </w:rPr>
      </w:pPr>
      <w:bookmarkStart w:id="120" w:name="_Toc9456182"/>
      <w:bookmarkStart w:id="121" w:name="_Toc20224858"/>
      <w:bookmarkStart w:id="122" w:name="_Toc71149160"/>
      <w:r w:rsidRPr="00F16A5E">
        <w:rPr>
          <w:sz w:val="24"/>
          <w:szCs w:val="24"/>
        </w:rPr>
        <w:t>5.1.3</w:t>
      </w:r>
      <w:bookmarkEnd w:id="120"/>
      <w:bookmarkEnd w:id="121"/>
      <w:r w:rsidR="00F0660C" w:rsidRPr="00F16A5E">
        <w:rPr>
          <w:sz w:val="24"/>
          <w:szCs w:val="24"/>
        </w:rPr>
        <w:tab/>
        <w:t>Dose Modification</w:t>
      </w:r>
      <w:bookmarkEnd w:id="122"/>
    </w:p>
    <w:p w14:paraId="319F32D6" w14:textId="77777777" w:rsidR="00E816E3" w:rsidRPr="00F16A5E" w:rsidRDefault="00E816E3" w:rsidP="00E816E3">
      <w:pPr>
        <w:spacing w:beforeLines="50" w:before="156" w:line="300" w:lineRule="auto"/>
        <w:rPr>
          <w:sz w:val="24"/>
          <w:szCs w:val="22"/>
        </w:rPr>
      </w:pPr>
      <w:bookmarkStart w:id="123" w:name="_Hlk34817763"/>
      <w:r w:rsidRPr="00F16A5E">
        <w:rPr>
          <w:sz w:val="24"/>
          <w:szCs w:val="22"/>
        </w:rPr>
        <w:t>For mild and moderate treatment-related toxic reactions (adverse events will be graded as per DMID2007), subjects can continue the treatment at the current dose.</w:t>
      </w:r>
    </w:p>
    <w:p w14:paraId="73DE84F2" w14:textId="436E1608" w:rsidR="00E816E3" w:rsidRPr="00F16A5E" w:rsidRDefault="00E816E3" w:rsidP="00E816E3">
      <w:pPr>
        <w:spacing w:beforeLines="50" w:before="156" w:line="300" w:lineRule="auto"/>
        <w:rPr>
          <w:sz w:val="24"/>
          <w:szCs w:val="22"/>
        </w:rPr>
      </w:pPr>
      <w:r w:rsidRPr="00F16A5E">
        <w:rPr>
          <w:sz w:val="24"/>
          <w:szCs w:val="22"/>
        </w:rPr>
        <w:t>For severe drug-related toxic reactions, the investigator should suspend or terminate treatment according to the following dose modification rules, deal with relevant toxic reactions depending on clinical conditions, and increase follow-ups accordingly.</w:t>
      </w:r>
    </w:p>
    <w:p w14:paraId="59FB0434" w14:textId="0AA9A90F" w:rsidR="006E18E9" w:rsidRPr="00F16A5E" w:rsidRDefault="00E816E3" w:rsidP="00E816E3">
      <w:pPr>
        <w:spacing w:beforeLines="50" w:before="156" w:line="300" w:lineRule="auto"/>
        <w:rPr>
          <w:b/>
          <w:bCs/>
          <w:sz w:val="24"/>
        </w:rPr>
      </w:pPr>
      <w:r w:rsidRPr="00F16A5E">
        <w:rPr>
          <w:b/>
          <w:bCs/>
          <w:sz w:val="24"/>
        </w:rPr>
        <w:t>Dose Modification Rules</w:t>
      </w:r>
    </w:p>
    <w:p w14:paraId="0DDD1D14" w14:textId="0AE24BB5" w:rsidR="006E18E9" w:rsidRPr="00F16A5E" w:rsidRDefault="00E816E3" w:rsidP="00E816E3">
      <w:pPr>
        <w:pStyle w:val="aa"/>
        <w:numPr>
          <w:ilvl w:val="0"/>
          <w:numId w:val="2"/>
        </w:numPr>
        <w:spacing w:beforeLines="50" w:before="156" w:line="300" w:lineRule="auto"/>
        <w:ind w:left="987" w:firstLineChars="0"/>
        <w:rPr>
          <w:rFonts w:ascii="Times New Roman" w:hAnsi="Times New Roman"/>
          <w:sz w:val="24"/>
        </w:rPr>
      </w:pPr>
      <w:r w:rsidRPr="00F16A5E">
        <w:rPr>
          <w:rFonts w:ascii="Times New Roman" w:hAnsi="Times New Roman"/>
          <w:sz w:val="24"/>
        </w:rPr>
        <w:t>Treatment will be withheld for individual subjects under any of the following conditions, and treatment will be given depend on the clinical situation.</w:t>
      </w:r>
    </w:p>
    <w:p w14:paraId="6B75FA0E" w14:textId="7C751A49" w:rsidR="00E816E3" w:rsidRPr="00F16A5E" w:rsidRDefault="00E816E3" w:rsidP="00EA5F3A">
      <w:pPr>
        <w:pStyle w:val="aa"/>
        <w:numPr>
          <w:ilvl w:val="0"/>
          <w:numId w:val="18"/>
        </w:numPr>
        <w:spacing w:beforeLines="50" w:before="156" w:line="300" w:lineRule="auto"/>
        <w:ind w:left="1304" w:firstLineChars="0" w:hanging="340"/>
        <w:rPr>
          <w:rFonts w:ascii="Times New Roman" w:hAnsi="Times New Roman"/>
          <w:sz w:val="24"/>
        </w:rPr>
      </w:pPr>
      <w:r w:rsidRPr="00F16A5E">
        <w:rPr>
          <w:rFonts w:ascii="Times New Roman" w:hAnsi="Times New Roman"/>
          <w:sz w:val="24"/>
        </w:rPr>
        <w:t xml:space="preserve">Grade 4 neutropenia (lasting &gt; 7 days, </w:t>
      </w:r>
      <w:r w:rsidR="001B7F8E" w:rsidRPr="001B7F8E">
        <w:rPr>
          <w:rFonts w:ascii="Times New Roman" w:hAnsi="Times New Roman"/>
          <w:sz w:val="24"/>
        </w:rPr>
        <w:t>early withdrawal is acceptable if clinically indicated)</w:t>
      </w:r>
    </w:p>
    <w:p w14:paraId="2806C9F2" w14:textId="702E8B91" w:rsidR="00E816E3" w:rsidRPr="00F16A5E" w:rsidRDefault="00E816E3" w:rsidP="00EA5F3A">
      <w:pPr>
        <w:pStyle w:val="aa"/>
        <w:numPr>
          <w:ilvl w:val="0"/>
          <w:numId w:val="18"/>
        </w:numPr>
        <w:spacing w:beforeLines="50" w:before="156" w:line="300" w:lineRule="auto"/>
        <w:ind w:left="1304" w:firstLineChars="0" w:hanging="340"/>
        <w:rPr>
          <w:rFonts w:ascii="Times New Roman" w:hAnsi="Times New Roman"/>
          <w:sz w:val="24"/>
        </w:rPr>
      </w:pPr>
      <w:r w:rsidRPr="00F16A5E">
        <w:rPr>
          <w:rFonts w:ascii="Times New Roman" w:hAnsi="Times New Roman"/>
          <w:sz w:val="24"/>
        </w:rPr>
        <w:t xml:space="preserve">Grade 4 thrombocytopenia (lasting &gt; 7 days, </w:t>
      </w:r>
      <w:r w:rsidR="001B7F8E" w:rsidRPr="001B7F8E">
        <w:rPr>
          <w:rFonts w:ascii="Times New Roman" w:hAnsi="Times New Roman"/>
          <w:sz w:val="24"/>
        </w:rPr>
        <w:t>early withdrawal is acceptable if clinically indicated)</w:t>
      </w:r>
    </w:p>
    <w:p w14:paraId="277E2142" w14:textId="77777777" w:rsidR="00E816E3" w:rsidRPr="00F16A5E" w:rsidRDefault="00E816E3" w:rsidP="00EA5F3A">
      <w:pPr>
        <w:pStyle w:val="aa"/>
        <w:numPr>
          <w:ilvl w:val="0"/>
          <w:numId w:val="18"/>
        </w:numPr>
        <w:spacing w:beforeLines="50" w:before="156" w:line="300" w:lineRule="auto"/>
        <w:ind w:left="1304" w:firstLineChars="0" w:hanging="340"/>
        <w:rPr>
          <w:rFonts w:ascii="Times New Roman" w:hAnsi="Times New Roman"/>
          <w:sz w:val="24"/>
        </w:rPr>
      </w:pPr>
      <w:r w:rsidRPr="00F16A5E">
        <w:rPr>
          <w:rFonts w:ascii="Times New Roman" w:hAnsi="Times New Roman"/>
          <w:sz w:val="24"/>
        </w:rPr>
        <w:lastRenderedPageBreak/>
        <w:t>Grade ≥3 febrile neutropenia;</w:t>
      </w:r>
    </w:p>
    <w:p w14:paraId="722227AA" w14:textId="2CCE9A60" w:rsidR="00E816E3" w:rsidRPr="00F16A5E" w:rsidRDefault="00E816E3" w:rsidP="00EA5F3A">
      <w:pPr>
        <w:pStyle w:val="aa"/>
        <w:numPr>
          <w:ilvl w:val="0"/>
          <w:numId w:val="18"/>
        </w:numPr>
        <w:spacing w:beforeLines="50" w:before="156" w:line="300" w:lineRule="auto"/>
        <w:ind w:left="1304" w:firstLineChars="0" w:hanging="340"/>
        <w:rPr>
          <w:rFonts w:ascii="Times New Roman" w:hAnsi="Times New Roman"/>
          <w:sz w:val="24"/>
        </w:rPr>
      </w:pPr>
      <w:r w:rsidRPr="00F16A5E">
        <w:rPr>
          <w:rFonts w:ascii="Times New Roman" w:hAnsi="Times New Roman"/>
          <w:sz w:val="24"/>
        </w:rPr>
        <w:t>Grade ≥3 thrombocytopenia associated with haemorrhage</w:t>
      </w:r>
    </w:p>
    <w:p w14:paraId="30C0C097" w14:textId="1B080924" w:rsidR="006E18E9" w:rsidRPr="00F16A5E" w:rsidRDefault="00E816E3" w:rsidP="00E816E3">
      <w:pPr>
        <w:pStyle w:val="aa"/>
        <w:numPr>
          <w:ilvl w:val="0"/>
          <w:numId w:val="2"/>
        </w:numPr>
        <w:spacing w:before="50" w:line="300" w:lineRule="auto"/>
        <w:ind w:left="987" w:firstLineChars="0"/>
        <w:rPr>
          <w:rFonts w:ascii="Times New Roman" w:hAnsi="Times New Roman"/>
          <w:sz w:val="24"/>
        </w:rPr>
      </w:pPr>
      <w:r w:rsidRPr="00F16A5E">
        <w:rPr>
          <w:rFonts w:ascii="Times New Roman" w:hAnsi="Times New Roman"/>
          <w:sz w:val="24"/>
        </w:rPr>
        <w:t xml:space="preserve">For at least possibly related toxicities of Grade ≥3 (including hematological and non-hematological toxicity), study drug will be </w:t>
      </w:r>
      <w:r w:rsidR="00152A66" w:rsidRPr="00F16A5E">
        <w:rPr>
          <w:rFonts w:ascii="Times New Roman" w:hAnsi="Times New Roman"/>
          <w:sz w:val="24"/>
        </w:rPr>
        <w:t>with</w:t>
      </w:r>
      <w:r w:rsidRPr="00F16A5E">
        <w:rPr>
          <w:rFonts w:ascii="Times New Roman" w:hAnsi="Times New Roman"/>
          <w:sz w:val="24"/>
        </w:rPr>
        <w:t>held until recovery to Grade ≤ 1 within 14 days, or study drug will be discontinued.</w:t>
      </w:r>
    </w:p>
    <w:bookmarkEnd w:id="123"/>
    <w:p w14:paraId="6DA93BAB" w14:textId="08E6793C" w:rsidR="006E18E9" w:rsidRPr="00F16A5E" w:rsidRDefault="00E816E3" w:rsidP="00E816E3">
      <w:pPr>
        <w:pStyle w:val="aa"/>
        <w:numPr>
          <w:ilvl w:val="0"/>
          <w:numId w:val="2"/>
        </w:numPr>
        <w:spacing w:before="50" w:line="300" w:lineRule="auto"/>
        <w:ind w:left="987" w:firstLineChars="0"/>
        <w:rPr>
          <w:rFonts w:ascii="Times New Roman" w:hAnsi="Times New Roman"/>
          <w:sz w:val="24"/>
        </w:rPr>
      </w:pPr>
      <w:r w:rsidRPr="00F16A5E">
        <w:rPr>
          <w:rFonts w:ascii="Times New Roman" w:hAnsi="Times New Roman"/>
          <w:sz w:val="24"/>
        </w:rPr>
        <w:t xml:space="preserve">For any toxicity assessed by the investigator as at least possibly related to the study drug, the study drug treatment can be </w:t>
      </w:r>
      <w:r w:rsidR="00152A66" w:rsidRPr="00F16A5E">
        <w:rPr>
          <w:rFonts w:ascii="Times New Roman" w:hAnsi="Times New Roman"/>
          <w:sz w:val="24"/>
        </w:rPr>
        <w:t>withheld</w:t>
      </w:r>
      <w:r w:rsidRPr="00F16A5E">
        <w:rPr>
          <w:rFonts w:ascii="Times New Roman" w:hAnsi="Times New Roman"/>
          <w:sz w:val="24"/>
        </w:rPr>
        <w:t xml:space="preserve"> or terminated at the investigator’s discretion. Any interruption of more than 14 days will result in permanent discontinuation of the study drug.</w:t>
      </w:r>
    </w:p>
    <w:p w14:paraId="1062EEA8" w14:textId="3A087FBB"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124" w:name="_Toc438234684"/>
      <w:bookmarkStart w:id="125" w:name="_Toc438388765"/>
      <w:bookmarkStart w:id="126" w:name="_Toc485390243"/>
      <w:bookmarkStart w:id="127" w:name="_Toc7170238"/>
      <w:bookmarkStart w:id="128" w:name="_Toc9456183"/>
      <w:bookmarkStart w:id="129" w:name="_Toc20224859"/>
      <w:bookmarkStart w:id="130" w:name="_Toc71149161"/>
      <w:r w:rsidRPr="00F16A5E">
        <w:rPr>
          <w:rFonts w:ascii="Times New Roman" w:eastAsia="宋体" w:hAnsi="Times New Roman"/>
          <w:sz w:val="24"/>
        </w:rPr>
        <w:t>5.2</w:t>
      </w:r>
      <w:bookmarkEnd w:id="124"/>
      <w:bookmarkEnd w:id="125"/>
      <w:bookmarkEnd w:id="126"/>
      <w:bookmarkEnd w:id="127"/>
      <w:bookmarkEnd w:id="128"/>
      <w:bookmarkEnd w:id="129"/>
      <w:r w:rsidR="00E816E3" w:rsidRPr="00F16A5E">
        <w:rPr>
          <w:rFonts w:ascii="Times New Roman" w:eastAsia="宋体" w:hAnsi="Times New Roman"/>
          <w:sz w:val="24"/>
        </w:rPr>
        <w:tab/>
        <w:t>Preparation/Processing/Storage/Responsibility</w:t>
      </w:r>
      <w:bookmarkEnd w:id="130"/>
    </w:p>
    <w:p w14:paraId="3E6A6D49" w14:textId="733D1FC7" w:rsidR="006E18E9" w:rsidRPr="00F16A5E" w:rsidRDefault="006E18E9" w:rsidP="006E18E9">
      <w:pPr>
        <w:pStyle w:val="3"/>
        <w:keepLines w:val="0"/>
        <w:spacing w:before="60" w:after="60" w:line="360" w:lineRule="auto"/>
        <w:rPr>
          <w:sz w:val="24"/>
          <w:szCs w:val="24"/>
        </w:rPr>
      </w:pPr>
      <w:bookmarkStart w:id="131" w:name="_Toc7170239"/>
      <w:bookmarkStart w:id="132" w:name="_Toc9456184"/>
      <w:bookmarkStart w:id="133" w:name="_Toc20224860"/>
      <w:bookmarkStart w:id="134" w:name="_Toc71149162"/>
      <w:r w:rsidRPr="00F16A5E">
        <w:rPr>
          <w:sz w:val="24"/>
          <w:szCs w:val="24"/>
        </w:rPr>
        <w:t>5.2.1</w:t>
      </w:r>
      <w:bookmarkEnd w:id="131"/>
      <w:bookmarkEnd w:id="132"/>
      <w:bookmarkEnd w:id="133"/>
      <w:r w:rsidR="003347E5" w:rsidRPr="00F16A5E">
        <w:rPr>
          <w:sz w:val="24"/>
          <w:szCs w:val="24"/>
        </w:rPr>
        <w:tab/>
        <w:t xml:space="preserve">Receipt and Inventory of the </w:t>
      </w:r>
      <w:r w:rsidR="00152A66" w:rsidRPr="00F16A5E">
        <w:rPr>
          <w:sz w:val="24"/>
          <w:szCs w:val="24"/>
        </w:rPr>
        <w:t>Investigational</w:t>
      </w:r>
      <w:r w:rsidR="003347E5" w:rsidRPr="00F16A5E">
        <w:rPr>
          <w:sz w:val="24"/>
          <w:szCs w:val="24"/>
        </w:rPr>
        <w:t xml:space="preserve"> Drug</w:t>
      </w:r>
      <w:bookmarkEnd w:id="134"/>
    </w:p>
    <w:p w14:paraId="7AF2219D" w14:textId="080EBC20" w:rsidR="003347E5" w:rsidRPr="00F16A5E" w:rsidRDefault="003347E5" w:rsidP="003347E5">
      <w:pPr>
        <w:autoSpaceDE w:val="0"/>
        <w:autoSpaceDN w:val="0"/>
        <w:adjustRightInd w:val="0"/>
        <w:spacing w:beforeLines="50" w:before="156" w:line="300" w:lineRule="auto"/>
        <w:rPr>
          <w:bCs/>
          <w:sz w:val="24"/>
        </w:rPr>
      </w:pPr>
      <w:r w:rsidRPr="00F16A5E">
        <w:rPr>
          <w:bCs/>
          <w:sz w:val="24"/>
        </w:rPr>
        <w:t xml:space="preserve">The </w:t>
      </w:r>
      <w:r w:rsidR="007A2D5F" w:rsidRPr="00F16A5E">
        <w:rPr>
          <w:bCs/>
          <w:sz w:val="24"/>
        </w:rPr>
        <w:t>investigational drugs</w:t>
      </w:r>
      <w:r w:rsidRPr="00F16A5E">
        <w:rPr>
          <w:bCs/>
          <w:sz w:val="24"/>
        </w:rPr>
        <w:t xml:space="preserve"> will be provided by Beijing InnoCare Pharma Tech. Co. Ltd., and will be distributed to study centers as planned. </w:t>
      </w:r>
      <w:r w:rsidR="007A2D5F" w:rsidRPr="00F16A5E">
        <w:rPr>
          <w:bCs/>
          <w:sz w:val="24"/>
        </w:rPr>
        <w:t xml:space="preserve">After the receipt of the investigational drugs, the study center should confirm </w:t>
      </w:r>
      <w:r w:rsidR="00E2643D">
        <w:rPr>
          <w:bCs/>
          <w:sz w:val="24"/>
        </w:rPr>
        <w:t xml:space="preserve">the receipt </w:t>
      </w:r>
      <w:r w:rsidR="007A2D5F" w:rsidRPr="00F16A5E">
        <w:rPr>
          <w:bCs/>
          <w:sz w:val="24"/>
        </w:rPr>
        <w:t>in writing.</w:t>
      </w:r>
    </w:p>
    <w:p w14:paraId="2A081B9B" w14:textId="250EA13A" w:rsidR="003347E5" w:rsidRPr="00F16A5E" w:rsidRDefault="003347E5" w:rsidP="003347E5">
      <w:pPr>
        <w:autoSpaceDE w:val="0"/>
        <w:autoSpaceDN w:val="0"/>
        <w:adjustRightInd w:val="0"/>
        <w:spacing w:beforeLines="50" w:before="156" w:line="300" w:lineRule="auto"/>
        <w:rPr>
          <w:bCs/>
          <w:sz w:val="24"/>
        </w:rPr>
      </w:pPr>
      <w:r w:rsidRPr="00F16A5E">
        <w:rPr>
          <w:bCs/>
          <w:sz w:val="24"/>
        </w:rPr>
        <w:t xml:space="preserve">The study center should assign a dedicated person to be responsible for the receipt, storage, distribution, and return of the </w:t>
      </w:r>
      <w:r w:rsidR="00152A66" w:rsidRPr="00F16A5E">
        <w:rPr>
          <w:bCs/>
          <w:sz w:val="24"/>
        </w:rPr>
        <w:t>investigational</w:t>
      </w:r>
      <w:r w:rsidRPr="00F16A5E">
        <w:rPr>
          <w:bCs/>
          <w:sz w:val="24"/>
        </w:rPr>
        <w:t xml:space="preserve"> drug</w:t>
      </w:r>
      <w:r w:rsidR="00152A66" w:rsidRPr="00F16A5E">
        <w:rPr>
          <w:bCs/>
          <w:sz w:val="24"/>
        </w:rPr>
        <w:t>s</w:t>
      </w:r>
      <w:r w:rsidRPr="00F16A5E">
        <w:rPr>
          <w:bCs/>
          <w:sz w:val="24"/>
        </w:rPr>
        <w:t xml:space="preserve">, and maintain corresponding records. </w:t>
      </w:r>
      <w:r w:rsidR="007A2D5F" w:rsidRPr="00F16A5E">
        <w:rPr>
          <w:bCs/>
          <w:sz w:val="24"/>
        </w:rPr>
        <w:t>The i</w:t>
      </w:r>
      <w:r w:rsidRPr="00F16A5E">
        <w:rPr>
          <w:bCs/>
          <w:sz w:val="24"/>
        </w:rPr>
        <w:t>nvestigator and his/her personnel must ensure that the drug can only be used in this clinical trial.</w:t>
      </w:r>
    </w:p>
    <w:p w14:paraId="391275D2" w14:textId="6BDA584F" w:rsidR="003347E5" w:rsidRPr="00F16A5E" w:rsidRDefault="003347E5" w:rsidP="003347E5">
      <w:pPr>
        <w:autoSpaceDE w:val="0"/>
        <w:autoSpaceDN w:val="0"/>
        <w:adjustRightInd w:val="0"/>
        <w:spacing w:beforeLines="50" w:before="156" w:line="300" w:lineRule="auto"/>
        <w:rPr>
          <w:bCs/>
          <w:sz w:val="24"/>
        </w:rPr>
      </w:pPr>
      <w:r w:rsidRPr="00F16A5E">
        <w:rPr>
          <w:bCs/>
          <w:sz w:val="24"/>
        </w:rPr>
        <w:t>This study requires the return of unused study drugs. All unused and/or partially used study drugs as well as their packaging, after the study center completes the inventory record, will be returned to a third party designated by the sponsor for destruction.</w:t>
      </w:r>
    </w:p>
    <w:p w14:paraId="7E32FD00" w14:textId="0F3148A5" w:rsidR="006E18E9" w:rsidRPr="00F16A5E" w:rsidRDefault="006E18E9" w:rsidP="006E18E9">
      <w:pPr>
        <w:pStyle w:val="3"/>
        <w:keepLines w:val="0"/>
        <w:spacing w:before="60" w:after="60" w:line="360" w:lineRule="auto"/>
        <w:rPr>
          <w:sz w:val="24"/>
          <w:szCs w:val="24"/>
        </w:rPr>
      </w:pPr>
      <w:bookmarkStart w:id="135" w:name="_Toc7170240"/>
      <w:bookmarkStart w:id="136" w:name="_Toc9456185"/>
      <w:bookmarkStart w:id="137" w:name="_Toc20224861"/>
      <w:bookmarkStart w:id="138" w:name="_Toc71149163"/>
      <w:r w:rsidRPr="00F16A5E">
        <w:rPr>
          <w:sz w:val="24"/>
          <w:szCs w:val="24"/>
        </w:rPr>
        <w:t>5.2.2</w:t>
      </w:r>
      <w:bookmarkEnd w:id="135"/>
      <w:bookmarkEnd w:id="136"/>
      <w:bookmarkEnd w:id="137"/>
      <w:r w:rsidR="003347E5" w:rsidRPr="00F16A5E">
        <w:rPr>
          <w:sz w:val="24"/>
          <w:szCs w:val="24"/>
        </w:rPr>
        <w:tab/>
        <w:t>Packaging and Labeling of Drugs</w:t>
      </w:r>
      <w:bookmarkEnd w:id="138"/>
    </w:p>
    <w:p w14:paraId="38DA11F7" w14:textId="343F8FCC" w:rsidR="003347E5" w:rsidRPr="00F16A5E" w:rsidRDefault="003347E5" w:rsidP="003347E5">
      <w:pPr>
        <w:spacing w:beforeLines="50" w:before="156" w:line="300" w:lineRule="auto"/>
        <w:ind w:rightChars="20" w:right="42"/>
        <w:rPr>
          <w:spacing w:val="5"/>
          <w:sz w:val="24"/>
        </w:rPr>
      </w:pPr>
      <w:r w:rsidRPr="00F16A5E">
        <w:rPr>
          <w:spacing w:val="5"/>
          <w:sz w:val="24"/>
        </w:rPr>
        <w:t>The packaging and labeling of the study drug orelabrutinib in this study will be provided by Beijing InnoCare Pharma Tech. Co. Ltd..</w:t>
      </w:r>
    </w:p>
    <w:p w14:paraId="5CB029D7" w14:textId="20F00D6B" w:rsidR="006E18E9" w:rsidRPr="00F16A5E" w:rsidRDefault="003347E5" w:rsidP="003347E5">
      <w:pPr>
        <w:spacing w:beforeLines="50" w:before="156" w:line="300" w:lineRule="auto"/>
        <w:ind w:rightChars="20" w:right="42"/>
        <w:rPr>
          <w:spacing w:val="5"/>
          <w:sz w:val="24"/>
        </w:rPr>
      </w:pPr>
      <w:r w:rsidRPr="00F16A5E">
        <w:rPr>
          <w:spacing w:val="5"/>
          <w:sz w:val="24"/>
        </w:rPr>
        <w:t>The label of the study drug contains the following information: for clinical trial use only, protocol number, batch number, specification, drug number, sponsor, storage conditions, expiry date, dosage &amp; administration, etc.</w:t>
      </w:r>
    </w:p>
    <w:p w14:paraId="6D420674" w14:textId="6C673639" w:rsidR="006E18E9" w:rsidRPr="00F16A5E" w:rsidRDefault="006E18E9" w:rsidP="006E18E9">
      <w:pPr>
        <w:pStyle w:val="3"/>
        <w:keepLines w:val="0"/>
        <w:spacing w:before="60" w:after="60" w:line="360" w:lineRule="auto"/>
        <w:rPr>
          <w:sz w:val="24"/>
          <w:szCs w:val="24"/>
        </w:rPr>
      </w:pPr>
      <w:bookmarkStart w:id="139" w:name="_Toc7170241"/>
      <w:bookmarkStart w:id="140" w:name="_Toc9456186"/>
      <w:bookmarkStart w:id="141" w:name="_Toc20224862"/>
      <w:bookmarkStart w:id="142" w:name="_Toc71149164"/>
      <w:r w:rsidRPr="00F16A5E">
        <w:rPr>
          <w:sz w:val="24"/>
          <w:szCs w:val="24"/>
        </w:rPr>
        <w:t>5.2.3</w:t>
      </w:r>
      <w:bookmarkEnd w:id="139"/>
      <w:bookmarkEnd w:id="140"/>
      <w:bookmarkEnd w:id="141"/>
      <w:r w:rsidR="00731FCC" w:rsidRPr="00F16A5E">
        <w:rPr>
          <w:sz w:val="24"/>
          <w:szCs w:val="24"/>
        </w:rPr>
        <w:tab/>
        <w:t>Storage and Stability</w:t>
      </w:r>
      <w:bookmarkEnd w:id="142"/>
    </w:p>
    <w:p w14:paraId="18FE78D1" w14:textId="53AF93FD" w:rsidR="006E18E9" w:rsidRPr="00F16A5E" w:rsidRDefault="00731FCC" w:rsidP="005D22C9">
      <w:pPr>
        <w:spacing w:beforeLines="50" w:before="156" w:line="300" w:lineRule="auto"/>
        <w:ind w:rightChars="20" w:right="42"/>
        <w:rPr>
          <w:sz w:val="24"/>
        </w:rPr>
      </w:pPr>
      <w:r w:rsidRPr="00F16A5E">
        <w:rPr>
          <w:sz w:val="24"/>
        </w:rPr>
        <w:t>Orelabrutinib tablets are packaged in a high-density polyethylene bottle with a polypropylene child-resistant combination cap. The bottle is sealed and contains 1 g of silica gel desiccant.</w:t>
      </w:r>
    </w:p>
    <w:p w14:paraId="11CD2F2C" w14:textId="36A73186" w:rsidR="00731FCC" w:rsidRPr="00F16A5E" w:rsidRDefault="00731FCC" w:rsidP="005D22C9">
      <w:pPr>
        <w:spacing w:beforeLines="50" w:before="156" w:line="300" w:lineRule="auto"/>
        <w:ind w:rightChars="20" w:right="42"/>
        <w:rPr>
          <w:sz w:val="24"/>
        </w:rPr>
      </w:pPr>
      <w:r w:rsidRPr="00F16A5E">
        <w:rPr>
          <w:sz w:val="24"/>
        </w:rPr>
        <w:t>The medicine bottle should be stored at room temperature</w:t>
      </w:r>
      <w:r w:rsidR="007A2D5F" w:rsidRPr="00F16A5E">
        <w:rPr>
          <w:sz w:val="24"/>
        </w:rPr>
        <w:t>.</w:t>
      </w:r>
      <w:r w:rsidRPr="00F16A5E">
        <w:rPr>
          <w:sz w:val="24"/>
        </w:rPr>
        <w:t xml:space="preserve"> </w:t>
      </w:r>
      <w:r w:rsidR="007A2D5F" w:rsidRPr="00F16A5E">
        <w:rPr>
          <w:sz w:val="24"/>
        </w:rPr>
        <w:t>S</w:t>
      </w:r>
      <w:r w:rsidRPr="00F16A5E">
        <w:rPr>
          <w:sz w:val="24"/>
        </w:rPr>
        <w:t>ee the label on the medicine bottle for details.</w:t>
      </w:r>
    </w:p>
    <w:p w14:paraId="6A11F0A3" w14:textId="4B587872" w:rsidR="00731FCC" w:rsidRPr="00F16A5E" w:rsidRDefault="00731FCC" w:rsidP="005D22C9">
      <w:pPr>
        <w:spacing w:beforeLines="50" w:before="156" w:line="300" w:lineRule="auto"/>
        <w:ind w:rightChars="20" w:right="42"/>
        <w:rPr>
          <w:sz w:val="24"/>
        </w:rPr>
      </w:pPr>
      <w:r w:rsidRPr="00F16A5E">
        <w:rPr>
          <w:sz w:val="24"/>
        </w:rPr>
        <w:t xml:space="preserve">Stability studies for the tablet are conducted using both early development and clinical batches. </w:t>
      </w:r>
      <w:r w:rsidRPr="00F16A5E">
        <w:rPr>
          <w:sz w:val="24"/>
        </w:rPr>
        <w:lastRenderedPageBreak/>
        <w:t>Orelabrutinib tablets are stable for 24-month as indicated by the 6-month accelerated stability test (40 °C, RH75%) and 24-month long-term stability test (25 °C, RH60%). The ongoing long-term stability test covers new clinical batches, and the results of this investigational new drug will be updated when test results are available.</w:t>
      </w:r>
    </w:p>
    <w:p w14:paraId="2F1ED78B" w14:textId="0FE90C55"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143" w:name="_Toc20224863"/>
      <w:bookmarkStart w:id="144" w:name="_Toc71149165"/>
      <w:r w:rsidRPr="00F16A5E">
        <w:rPr>
          <w:rFonts w:ascii="Times New Roman" w:eastAsia="宋体" w:hAnsi="Times New Roman"/>
          <w:sz w:val="24"/>
        </w:rPr>
        <w:t>5.3</w:t>
      </w:r>
      <w:bookmarkEnd w:id="143"/>
      <w:r w:rsidR="00151DFD" w:rsidRPr="00F16A5E">
        <w:rPr>
          <w:rFonts w:ascii="Times New Roman" w:eastAsia="宋体" w:hAnsi="Times New Roman"/>
          <w:sz w:val="24"/>
        </w:rPr>
        <w:tab/>
        <w:t xml:space="preserve">Methods to </w:t>
      </w:r>
      <w:r w:rsidR="00E2643D">
        <w:rPr>
          <w:rFonts w:ascii="Times New Roman" w:eastAsia="宋体" w:hAnsi="Times New Roman"/>
          <w:sz w:val="24"/>
        </w:rPr>
        <w:t>Minimize</w:t>
      </w:r>
      <w:r w:rsidR="00151DFD" w:rsidRPr="00F16A5E">
        <w:rPr>
          <w:rFonts w:ascii="Times New Roman" w:eastAsia="宋体" w:hAnsi="Times New Roman"/>
          <w:sz w:val="24"/>
        </w:rPr>
        <w:t xml:space="preserve"> Bias: Randomization and Blinding</w:t>
      </w:r>
      <w:bookmarkEnd w:id="144"/>
    </w:p>
    <w:p w14:paraId="4D3FB4E1" w14:textId="0B146D41" w:rsidR="006E18E9" w:rsidRPr="00F16A5E" w:rsidRDefault="006E18E9" w:rsidP="006E18E9">
      <w:pPr>
        <w:pStyle w:val="3"/>
        <w:keepLines w:val="0"/>
        <w:spacing w:before="60" w:after="60" w:line="360" w:lineRule="auto"/>
        <w:rPr>
          <w:sz w:val="24"/>
          <w:szCs w:val="24"/>
        </w:rPr>
      </w:pPr>
      <w:bookmarkStart w:id="145" w:name="_Toc9456188"/>
      <w:bookmarkStart w:id="146" w:name="_Toc20224864"/>
      <w:bookmarkStart w:id="147" w:name="_Toc71149166"/>
      <w:r w:rsidRPr="00F16A5E">
        <w:rPr>
          <w:sz w:val="24"/>
          <w:szCs w:val="24"/>
        </w:rPr>
        <w:t>5.3.1</w:t>
      </w:r>
      <w:bookmarkEnd w:id="145"/>
      <w:bookmarkEnd w:id="146"/>
      <w:r w:rsidR="005D22C9" w:rsidRPr="00F16A5E">
        <w:rPr>
          <w:sz w:val="24"/>
          <w:szCs w:val="24"/>
        </w:rPr>
        <w:tab/>
        <w:t>Randomization</w:t>
      </w:r>
      <w:bookmarkEnd w:id="147"/>
    </w:p>
    <w:p w14:paraId="7BC5D8E7" w14:textId="7BD4FE95" w:rsidR="005D22C9" w:rsidRPr="00F16A5E" w:rsidRDefault="005D22C9" w:rsidP="005D22C9">
      <w:pPr>
        <w:spacing w:beforeLines="50" w:before="156" w:line="300" w:lineRule="auto"/>
        <w:ind w:rightChars="20" w:right="42"/>
        <w:rPr>
          <w:sz w:val="24"/>
        </w:rPr>
      </w:pPr>
      <w:r w:rsidRPr="00F16A5E">
        <w:rPr>
          <w:sz w:val="24"/>
        </w:rPr>
        <w:t>A randomization table will be generated by an unblinded statistician independent of the project, and an interactive website response system (IWRS) will be used to randomize the subjects into groups. The subjects will be assigned to 4 groups at a ratio of 1:1:1:1, namely the study groups (3 dose groups) and the placebo group.</w:t>
      </w:r>
    </w:p>
    <w:p w14:paraId="61210A4B" w14:textId="701F100C" w:rsidR="005D22C9" w:rsidRPr="00F16A5E" w:rsidRDefault="005D22C9" w:rsidP="005D22C9">
      <w:pPr>
        <w:spacing w:beforeLines="50" w:before="156" w:line="300" w:lineRule="auto"/>
        <w:ind w:rightChars="20" w:right="42"/>
        <w:rPr>
          <w:sz w:val="24"/>
        </w:rPr>
      </w:pPr>
      <w:r w:rsidRPr="00F16A5E">
        <w:rPr>
          <w:sz w:val="24"/>
        </w:rPr>
        <w:t>For randomized subjects who withdraw or are withdrawn from the clinical trial for any reason, regardless of whether they have used the study drug or not, their randomization number will be retained, and the subject will not be allowed to re-enter the trial.</w:t>
      </w:r>
    </w:p>
    <w:p w14:paraId="2337D2ED" w14:textId="3D118ECD" w:rsidR="006E18E9" w:rsidRPr="00F16A5E" w:rsidRDefault="006E18E9" w:rsidP="006E18E9">
      <w:pPr>
        <w:pStyle w:val="3"/>
        <w:keepLines w:val="0"/>
        <w:spacing w:before="60" w:after="60" w:line="360" w:lineRule="auto"/>
        <w:rPr>
          <w:sz w:val="24"/>
          <w:szCs w:val="24"/>
        </w:rPr>
      </w:pPr>
      <w:bookmarkStart w:id="148" w:name="_Toc9456189"/>
      <w:bookmarkStart w:id="149" w:name="_Toc20224865"/>
      <w:bookmarkStart w:id="150" w:name="_Toc71149167"/>
      <w:r w:rsidRPr="00F16A5E">
        <w:rPr>
          <w:sz w:val="24"/>
          <w:szCs w:val="24"/>
        </w:rPr>
        <w:t>5.3.2</w:t>
      </w:r>
      <w:bookmarkEnd w:id="148"/>
      <w:bookmarkEnd w:id="149"/>
      <w:r w:rsidR="005D22C9" w:rsidRPr="00F16A5E">
        <w:rPr>
          <w:sz w:val="24"/>
          <w:szCs w:val="24"/>
        </w:rPr>
        <w:tab/>
        <w:t>Blinding</w:t>
      </w:r>
      <w:bookmarkEnd w:id="150"/>
    </w:p>
    <w:p w14:paraId="4BFAF973" w14:textId="7315897F" w:rsidR="005D22C9" w:rsidRPr="00F16A5E" w:rsidRDefault="005D22C9" w:rsidP="005D22C9">
      <w:pPr>
        <w:spacing w:beforeLines="50" w:before="156" w:line="300" w:lineRule="auto"/>
        <w:ind w:rightChars="20" w:right="42"/>
        <w:rPr>
          <w:kern w:val="0"/>
          <w:sz w:val="24"/>
        </w:rPr>
      </w:pPr>
      <w:r w:rsidRPr="00F16A5E">
        <w:rPr>
          <w:kern w:val="0"/>
          <w:sz w:val="24"/>
        </w:rPr>
        <w:t xml:space="preserve">This study is </w:t>
      </w:r>
      <w:r w:rsidR="00F16A5E">
        <w:rPr>
          <w:kern w:val="0"/>
          <w:sz w:val="24"/>
        </w:rPr>
        <w:t xml:space="preserve">to be conducted </w:t>
      </w:r>
      <w:r w:rsidRPr="00F16A5E">
        <w:rPr>
          <w:kern w:val="0"/>
          <w:sz w:val="24"/>
        </w:rPr>
        <w:t>as a double-blind study. Therefore, the study drug orelabrutinib and placebo will be packaged uniformly to make the packaged drugs have identical appearance. The sponsor or the sponsor’s agent should appoint a person to be responsible for randomization, who will maintain the randomization list in accordance with the relevant SOP. Any intentional or unintentional unblinding should be notified to the sponsor in time.</w:t>
      </w:r>
    </w:p>
    <w:p w14:paraId="603895F3" w14:textId="53B92FED" w:rsidR="005D22C9" w:rsidRPr="00F16A5E" w:rsidRDefault="005D22C9" w:rsidP="005D22C9">
      <w:pPr>
        <w:spacing w:beforeLines="50" w:before="156" w:line="300" w:lineRule="auto"/>
        <w:ind w:rightChars="20" w:right="42"/>
        <w:rPr>
          <w:kern w:val="0"/>
          <w:sz w:val="24"/>
        </w:rPr>
      </w:pPr>
      <w:r w:rsidRPr="00F16A5E">
        <w:rPr>
          <w:kern w:val="0"/>
          <w:sz w:val="24"/>
        </w:rPr>
        <w:t>Emergency unblinding: In the event of a serious adverse event that requires emergency unblinding, it is recommended that the investigator consult with the sponsor to decide whether the emergency unblinding is necessary. The investigator should record in detail the relevant information such as the date, time, and reason for unblinding in the source document, and notify the sponsor in time.</w:t>
      </w:r>
    </w:p>
    <w:p w14:paraId="578D0500" w14:textId="75DD68EF" w:rsidR="005D22C9" w:rsidRPr="00F16A5E" w:rsidRDefault="005D22C9" w:rsidP="005D22C9">
      <w:pPr>
        <w:spacing w:line="360" w:lineRule="auto"/>
        <w:rPr>
          <w:kern w:val="0"/>
          <w:sz w:val="24"/>
        </w:rPr>
      </w:pPr>
      <w:r w:rsidRPr="00F16A5E">
        <w:rPr>
          <w:kern w:val="0"/>
          <w:sz w:val="24"/>
        </w:rPr>
        <w:t>Once an emergency unblinding occurs, the subject needs to be withdrawn from the study.</w:t>
      </w:r>
    </w:p>
    <w:p w14:paraId="6B30A77A" w14:textId="3BEE8E0E"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151" w:name="_Toc7170244"/>
      <w:bookmarkStart w:id="152" w:name="_Toc9456190"/>
      <w:bookmarkStart w:id="153" w:name="_Toc20224866"/>
      <w:bookmarkStart w:id="154" w:name="_Toc71149168"/>
      <w:r w:rsidRPr="00F16A5E">
        <w:rPr>
          <w:rFonts w:ascii="Times New Roman" w:eastAsia="宋体" w:hAnsi="Times New Roman"/>
          <w:sz w:val="24"/>
        </w:rPr>
        <w:t>5.4</w:t>
      </w:r>
      <w:bookmarkStart w:id="155" w:name="_Toc485390244"/>
      <w:bookmarkEnd w:id="151"/>
      <w:bookmarkEnd w:id="152"/>
      <w:bookmarkEnd w:id="153"/>
      <w:r w:rsidR="005D22C9" w:rsidRPr="00F16A5E">
        <w:rPr>
          <w:rFonts w:ascii="Times New Roman" w:eastAsia="宋体" w:hAnsi="Times New Roman"/>
          <w:sz w:val="24"/>
        </w:rPr>
        <w:tab/>
        <w:t>Subject Compliance</w:t>
      </w:r>
      <w:bookmarkEnd w:id="154"/>
    </w:p>
    <w:p w14:paraId="4495D374" w14:textId="0226D82C" w:rsidR="006E18E9" w:rsidRPr="00F16A5E" w:rsidRDefault="005D22C9" w:rsidP="005D22C9">
      <w:pPr>
        <w:spacing w:beforeLines="50" w:before="156" w:line="300" w:lineRule="auto"/>
        <w:ind w:rightChars="20" w:right="42"/>
        <w:rPr>
          <w:sz w:val="24"/>
        </w:rPr>
      </w:pPr>
      <w:r w:rsidRPr="00F16A5E">
        <w:rPr>
          <w:sz w:val="24"/>
        </w:rPr>
        <w:t>Drug return, counting, and dispensation will be performed at each visit according to requirements.</w:t>
      </w:r>
    </w:p>
    <w:p w14:paraId="273FCD5A" w14:textId="620A02B3" w:rsidR="005D22C9" w:rsidRPr="00F16A5E" w:rsidRDefault="005D22C9" w:rsidP="005D22C9">
      <w:pPr>
        <w:spacing w:beforeLines="50" w:before="156" w:line="300" w:lineRule="auto"/>
        <w:ind w:rightChars="20" w:right="42"/>
        <w:rPr>
          <w:sz w:val="24"/>
        </w:rPr>
      </w:pPr>
      <w:r w:rsidRPr="00F16A5E">
        <w:rPr>
          <w:sz w:val="24"/>
        </w:rPr>
        <w:t>Drug return will be performed at Days 14, 28, 56 and 84 and medication compliance will be assessed. Medication compliance will be calculated and evaluated by counting the number of medications returned by the subjects, reviewing the subjects' medication diary, and asking the subjects about their drug usage and loss.</w:t>
      </w:r>
    </w:p>
    <w:p w14:paraId="375BB476" w14:textId="77777777" w:rsidR="005D22C9" w:rsidRPr="00F16A5E" w:rsidRDefault="005D22C9" w:rsidP="005D22C9">
      <w:pPr>
        <w:spacing w:beforeLines="50" w:before="156" w:line="300" w:lineRule="auto"/>
        <w:ind w:rightChars="20" w:right="42"/>
        <w:rPr>
          <w:sz w:val="24"/>
        </w:rPr>
      </w:pPr>
      <w:r w:rsidRPr="00F16A5E">
        <w:rPr>
          <w:sz w:val="24"/>
        </w:rPr>
        <w:t xml:space="preserve">Medication compliance = The number of tablets taken since the last drug dispensation/The number </w:t>
      </w:r>
      <w:r w:rsidRPr="00F16A5E">
        <w:rPr>
          <w:sz w:val="24"/>
        </w:rPr>
        <w:lastRenderedPageBreak/>
        <w:t>of tablets that should be taken since the last drug dispensation.</w:t>
      </w:r>
    </w:p>
    <w:p w14:paraId="35168969" w14:textId="500A5ED0" w:rsidR="005D22C9" w:rsidRPr="00F16A5E" w:rsidRDefault="005D22C9" w:rsidP="005D22C9">
      <w:pPr>
        <w:spacing w:beforeLines="50" w:before="156" w:line="300" w:lineRule="auto"/>
        <w:ind w:rightChars="20" w:right="42"/>
        <w:rPr>
          <w:sz w:val="24"/>
        </w:rPr>
      </w:pPr>
      <w:r w:rsidRPr="00F16A5E">
        <w:rPr>
          <w:sz w:val="24"/>
        </w:rPr>
        <w:t>The medication compliance should be ≥ 80% and ≤120%. If a subject</w:t>
      </w:r>
      <w:r w:rsidR="00655C14" w:rsidRPr="00F16A5E">
        <w:rPr>
          <w:sz w:val="24"/>
        </w:rPr>
        <w:t>’</w:t>
      </w:r>
      <w:r w:rsidRPr="00F16A5E">
        <w:rPr>
          <w:sz w:val="24"/>
        </w:rPr>
        <w:t>s medication compliance does not meet the above requirements, the investigator must communicate with the subject in a timely manner to improve the subject’</w:t>
      </w:r>
      <w:r w:rsidR="00655C14" w:rsidRPr="00F16A5E">
        <w:rPr>
          <w:sz w:val="24"/>
        </w:rPr>
        <w:t>s</w:t>
      </w:r>
      <w:r w:rsidRPr="00F16A5E">
        <w:rPr>
          <w:sz w:val="24"/>
        </w:rPr>
        <w:t xml:space="preserve"> awareness of medication.</w:t>
      </w:r>
    </w:p>
    <w:p w14:paraId="25DF475F" w14:textId="1556F5C6"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156" w:name="_Toc7170245"/>
      <w:bookmarkStart w:id="157" w:name="_Toc9456191"/>
      <w:bookmarkStart w:id="158" w:name="_Toc20224867"/>
      <w:bookmarkStart w:id="159" w:name="_Toc71149169"/>
      <w:r w:rsidRPr="00F16A5E">
        <w:rPr>
          <w:rFonts w:ascii="Times New Roman" w:eastAsia="宋体" w:hAnsi="Times New Roman"/>
          <w:sz w:val="24"/>
        </w:rPr>
        <w:t>5.5</w:t>
      </w:r>
      <w:bookmarkEnd w:id="155"/>
      <w:bookmarkEnd w:id="156"/>
      <w:bookmarkEnd w:id="157"/>
      <w:bookmarkEnd w:id="158"/>
      <w:r w:rsidR="00655C14" w:rsidRPr="00F16A5E">
        <w:rPr>
          <w:rFonts w:ascii="Times New Roman" w:eastAsia="宋体" w:hAnsi="Times New Roman"/>
          <w:sz w:val="24"/>
        </w:rPr>
        <w:tab/>
        <w:t>Concomitant Medication</w:t>
      </w:r>
      <w:bookmarkEnd w:id="159"/>
    </w:p>
    <w:p w14:paraId="01C1CB7A" w14:textId="49708DBC" w:rsidR="006E18E9" w:rsidRPr="00F16A5E" w:rsidRDefault="00655C14" w:rsidP="00655C14">
      <w:pPr>
        <w:spacing w:beforeLines="50" w:before="156" w:line="300" w:lineRule="auto"/>
        <w:ind w:rightChars="20" w:right="42"/>
        <w:rPr>
          <w:sz w:val="24"/>
          <w:lang w:val="x-none" w:eastAsia="x-none"/>
        </w:rPr>
      </w:pPr>
      <w:r w:rsidRPr="00F16A5E">
        <w:rPr>
          <w:sz w:val="24"/>
        </w:rPr>
        <w:t xml:space="preserve">All concomitant medications used during the study must be recorded in the eCRF, including the generic name of the medication and the start and end dates of treatment. Any changes in the concomitant medications that have been recorded </w:t>
      </w:r>
      <w:r w:rsidR="00847BB7" w:rsidRPr="00F16A5E">
        <w:rPr>
          <w:sz w:val="24"/>
        </w:rPr>
        <w:t>should</w:t>
      </w:r>
      <w:r w:rsidRPr="00F16A5E">
        <w:rPr>
          <w:sz w:val="24"/>
        </w:rPr>
        <w:t xml:space="preserve"> also be recorded.</w:t>
      </w:r>
    </w:p>
    <w:p w14:paraId="02A7B122" w14:textId="5EF75C8F" w:rsidR="006E18E9" w:rsidRPr="00F16A5E" w:rsidRDefault="006E18E9" w:rsidP="006E18E9">
      <w:pPr>
        <w:pStyle w:val="3"/>
        <w:keepLines w:val="0"/>
        <w:spacing w:before="60" w:after="60" w:line="360" w:lineRule="auto"/>
        <w:rPr>
          <w:sz w:val="24"/>
          <w:szCs w:val="24"/>
        </w:rPr>
      </w:pPr>
      <w:bookmarkStart w:id="160" w:name="_Toc7170247"/>
      <w:bookmarkStart w:id="161" w:name="_Toc9456192"/>
      <w:bookmarkStart w:id="162" w:name="_Toc20224868"/>
      <w:bookmarkStart w:id="163" w:name="_Toc71149170"/>
      <w:r w:rsidRPr="00F16A5E">
        <w:rPr>
          <w:sz w:val="24"/>
          <w:szCs w:val="24"/>
        </w:rPr>
        <w:t>5.5.1</w:t>
      </w:r>
      <w:bookmarkEnd w:id="160"/>
      <w:bookmarkEnd w:id="161"/>
      <w:bookmarkEnd w:id="162"/>
      <w:r w:rsidR="001245E4" w:rsidRPr="00F16A5E">
        <w:rPr>
          <w:sz w:val="24"/>
          <w:szCs w:val="24"/>
        </w:rPr>
        <w:tab/>
        <w:t>Prohibited Drugs</w:t>
      </w:r>
      <w:bookmarkEnd w:id="163"/>
    </w:p>
    <w:p w14:paraId="76432677" w14:textId="7B56E1C5" w:rsidR="006E18E9" w:rsidRPr="00F16A5E" w:rsidRDefault="001245E4" w:rsidP="001245E4">
      <w:pPr>
        <w:spacing w:beforeLines="50" w:before="156" w:line="300" w:lineRule="auto"/>
        <w:ind w:rightChars="20" w:right="42"/>
        <w:rPr>
          <w:sz w:val="24"/>
        </w:rPr>
      </w:pPr>
      <w:r w:rsidRPr="00F16A5E">
        <w:rPr>
          <w:sz w:val="24"/>
        </w:rPr>
        <w:t>The following are prohibited during the study and for at least 28 days or 5 half-lives (whichever is longer) after the last dose.</w:t>
      </w:r>
    </w:p>
    <w:p w14:paraId="3974D6D0" w14:textId="77777777" w:rsidR="001245E4" w:rsidRPr="00F16A5E" w:rsidRDefault="001245E4" w:rsidP="001245E4">
      <w:pPr>
        <w:numPr>
          <w:ilvl w:val="0"/>
          <w:numId w:val="9"/>
        </w:numPr>
        <w:spacing w:beforeLines="50" w:before="156" w:line="300" w:lineRule="auto"/>
        <w:rPr>
          <w:sz w:val="24"/>
        </w:rPr>
      </w:pPr>
      <w:r w:rsidRPr="00F16A5E">
        <w:rPr>
          <w:sz w:val="24"/>
        </w:rPr>
        <w:t xml:space="preserve">Live or live-attenuated virus vaccine; </w:t>
      </w:r>
    </w:p>
    <w:p w14:paraId="5261B816" w14:textId="77777777" w:rsidR="001245E4" w:rsidRPr="00F16A5E" w:rsidRDefault="001245E4" w:rsidP="001245E4">
      <w:pPr>
        <w:numPr>
          <w:ilvl w:val="0"/>
          <w:numId w:val="9"/>
        </w:numPr>
        <w:spacing w:beforeLines="50" w:before="156" w:line="300" w:lineRule="auto"/>
        <w:rPr>
          <w:sz w:val="24"/>
        </w:rPr>
      </w:pPr>
      <w:r w:rsidRPr="00F16A5E">
        <w:rPr>
          <w:sz w:val="24"/>
        </w:rPr>
        <w:t xml:space="preserve">Other drugs under investigation (drugs that have not been approved for marketing) except for this study drug; </w:t>
      </w:r>
    </w:p>
    <w:p w14:paraId="09E00B9F" w14:textId="77777777" w:rsidR="001245E4" w:rsidRPr="00F16A5E" w:rsidRDefault="001245E4" w:rsidP="001245E4">
      <w:pPr>
        <w:numPr>
          <w:ilvl w:val="0"/>
          <w:numId w:val="9"/>
        </w:numPr>
        <w:spacing w:beforeLines="50" w:before="156" w:line="300" w:lineRule="auto"/>
        <w:rPr>
          <w:sz w:val="24"/>
        </w:rPr>
      </w:pPr>
      <w:r w:rsidRPr="00F16A5E">
        <w:rPr>
          <w:sz w:val="24"/>
        </w:rPr>
        <w:t>New immunotherapies (such as corticosteroids, methotrexate, mycophenolate mofetil or sodium mycophenolate mofetil, azathioprine, hydroxychloroquine sulfate, cyclosporine, tacrolimus, leflunomide, abatacept, intravenous immunoglobulin, plasma exchange, cyclophosphamide, chlorambucil, rituximab, belimumab, biological products, etc.) (except for the treatment of AE), except the immunosuppressants that have been used to treat SLE before enrollment;</w:t>
      </w:r>
    </w:p>
    <w:p w14:paraId="246EE8BA" w14:textId="732A8E41" w:rsidR="001245E4" w:rsidRPr="00F16A5E" w:rsidRDefault="001245E4" w:rsidP="001245E4">
      <w:pPr>
        <w:numPr>
          <w:ilvl w:val="0"/>
          <w:numId w:val="9"/>
        </w:numPr>
        <w:spacing w:beforeLines="50" w:before="156" w:line="300" w:lineRule="auto"/>
        <w:rPr>
          <w:sz w:val="24"/>
        </w:rPr>
      </w:pPr>
      <w:r w:rsidRPr="00F16A5E">
        <w:rPr>
          <w:sz w:val="24"/>
        </w:rPr>
        <w:t xml:space="preserve">CYP3A4 inhibitors, such as clarithromycin, telithromycin, </w:t>
      </w:r>
      <w:proofErr w:type="spellStart"/>
      <w:r w:rsidRPr="00F16A5E">
        <w:rPr>
          <w:sz w:val="24"/>
        </w:rPr>
        <w:t>acetomycin</w:t>
      </w:r>
      <w:proofErr w:type="spellEnd"/>
      <w:r w:rsidRPr="00F16A5E">
        <w:rPr>
          <w:sz w:val="24"/>
        </w:rPr>
        <w:t xml:space="preserve">, itraconazole, ketoconazole, posaconazole, voriconazole, boceprevir, telaprevir, Cobicistat, Conivaptan, Elvitegravir, Mibefradil, Nefazodone, Indinavir, Lopinavir, Nelfinavir, Ritonavir, Saquinavir, </w:t>
      </w:r>
      <w:proofErr w:type="spellStart"/>
      <w:r w:rsidRPr="00F16A5E">
        <w:rPr>
          <w:sz w:val="24"/>
        </w:rPr>
        <w:t>Aptivus</w:t>
      </w:r>
      <w:proofErr w:type="spellEnd"/>
      <w:r w:rsidRPr="00F16A5E">
        <w:rPr>
          <w:sz w:val="24"/>
        </w:rPr>
        <w:t>, etc.</w:t>
      </w:r>
    </w:p>
    <w:p w14:paraId="2CDA9C35" w14:textId="01BFB174" w:rsidR="006E18E9" w:rsidRPr="00F16A5E" w:rsidRDefault="006E18E9" w:rsidP="001245E4">
      <w:pPr>
        <w:pStyle w:val="3"/>
        <w:keepLines w:val="0"/>
        <w:spacing w:beforeLines="50" w:before="156" w:after="0" w:line="300" w:lineRule="auto"/>
        <w:rPr>
          <w:sz w:val="24"/>
          <w:szCs w:val="24"/>
        </w:rPr>
      </w:pPr>
      <w:bookmarkStart w:id="164" w:name="_Toc7170246"/>
      <w:bookmarkStart w:id="165" w:name="_Toc9456193"/>
      <w:bookmarkStart w:id="166" w:name="_Toc20224869"/>
      <w:bookmarkStart w:id="167" w:name="_Toc71149171"/>
      <w:r w:rsidRPr="00F16A5E">
        <w:rPr>
          <w:sz w:val="24"/>
          <w:szCs w:val="24"/>
        </w:rPr>
        <w:t>5.5.2</w:t>
      </w:r>
      <w:bookmarkEnd w:id="164"/>
      <w:bookmarkEnd w:id="165"/>
      <w:bookmarkEnd w:id="166"/>
      <w:r w:rsidR="001245E4" w:rsidRPr="00F16A5E">
        <w:rPr>
          <w:sz w:val="24"/>
          <w:szCs w:val="24"/>
        </w:rPr>
        <w:tab/>
        <w:t>Permitted Drugs</w:t>
      </w:r>
      <w:bookmarkEnd w:id="167"/>
    </w:p>
    <w:p w14:paraId="7F42C712" w14:textId="24BAA81F" w:rsidR="001245E4" w:rsidRPr="00F16A5E" w:rsidRDefault="001245E4" w:rsidP="001245E4">
      <w:pPr>
        <w:spacing w:beforeLines="50" w:before="156" w:line="300" w:lineRule="auto"/>
        <w:rPr>
          <w:sz w:val="24"/>
        </w:rPr>
      </w:pPr>
      <w:r w:rsidRPr="00F16A5E">
        <w:rPr>
          <w:sz w:val="24"/>
        </w:rPr>
        <w:t>Medical treatments and medications for SLE that have been used before enrollment are allowed;</w:t>
      </w:r>
    </w:p>
    <w:p w14:paraId="27D06BAE" w14:textId="475F24A3" w:rsidR="001245E4" w:rsidRPr="00F16A5E" w:rsidRDefault="001245E4" w:rsidP="001245E4">
      <w:pPr>
        <w:spacing w:beforeLines="50" w:before="156" w:line="300" w:lineRule="auto"/>
        <w:rPr>
          <w:sz w:val="24"/>
        </w:rPr>
      </w:pPr>
      <w:r w:rsidRPr="00F16A5E">
        <w:rPr>
          <w:sz w:val="24"/>
        </w:rPr>
        <w:t xml:space="preserve">During the study, the investigator can give corresponding supportive treatment based on his/her judgment after evaluating the causality between the adverse event and study drug. The start and duration of supportive treatment will be recorded. The permitted treatments include but are not limited to antiemetics, antidiarrheal, antipyretic, antiallergics, treatment for rash, antihypertensives, analgesics, antibiotics and other products such as blood products. All concomitant medications </w:t>
      </w:r>
      <w:r w:rsidRPr="00F16A5E">
        <w:rPr>
          <w:sz w:val="24"/>
        </w:rPr>
        <w:lastRenderedPageBreak/>
        <w:t>received by the subject and the reason for use should to be fully recorded. Regarding the use of supportive treatment, please refer to the following standards:</w:t>
      </w:r>
    </w:p>
    <w:p w14:paraId="2F5B7F4C" w14:textId="77777777" w:rsidR="001245E4" w:rsidRPr="00F16A5E" w:rsidRDefault="001245E4" w:rsidP="001245E4">
      <w:pPr>
        <w:numPr>
          <w:ilvl w:val="0"/>
          <w:numId w:val="9"/>
        </w:numPr>
        <w:spacing w:line="360" w:lineRule="auto"/>
        <w:ind w:left="840"/>
        <w:rPr>
          <w:sz w:val="24"/>
        </w:rPr>
      </w:pPr>
      <w:r w:rsidRPr="00F16A5E">
        <w:rPr>
          <w:sz w:val="24"/>
        </w:rPr>
        <w:t xml:space="preserve">For moderate non-hematological toxicity, corresponding medication can be given (see </w:t>
      </w:r>
      <w:r w:rsidRPr="002F3CA2">
        <w:rPr>
          <w:sz w:val="24"/>
        </w:rPr>
        <w:t>section 8.2.4.1 for the</w:t>
      </w:r>
      <w:r w:rsidRPr="00F16A5E">
        <w:rPr>
          <w:sz w:val="24"/>
        </w:rPr>
        <w:t xml:space="preserve"> classification criteria of mild, moderate and severe adverse events);</w:t>
      </w:r>
    </w:p>
    <w:p w14:paraId="642F49D1" w14:textId="77777777" w:rsidR="001245E4" w:rsidRPr="00F16A5E" w:rsidRDefault="001245E4" w:rsidP="001245E4">
      <w:pPr>
        <w:numPr>
          <w:ilvl w:val="0"/>
          <w:numId w:val="9"/>
        </w:numPr>
        <w:spacing w:line="360" w:lineRule="auto"/>
        <w:ind w:left="840"/>
        <w:rPr>
          <w:sz w:val="24"/>
        </w:rPr>
      </w:pPr>
      <w:r w:rsidRPr="00F16A5E">
        <w:rPr>
          <w:sz w:val="24"/>
        </w:rPr>
        <w:t>For severe hematological toxicity, corresponding medication can be given, and treatment should be carried out in accordance with relevant clinical guidelines, such as the American Society of Clinical Oncology (ASCO) guidelines, etc.;</w:t>
      </w:r>
    </w:p>
    <w:p w14:paraId="052FD482" w14:textId="77777777" w:rsidR="001245E4" w:rsidRPr="00F16A5E" w:rsidRDefault="001245E4" w:rsidP="001245E4">
      <w:pPr>
        <w:numPr>
          <w:ilvl w:val="0"/>
          <w:numId w:val="9"/>
        </w:numPr>
        <w:spacing w:line="360" w:lineRule="auto"/>
        <w:ind w:left="840"/>
        <w:rPr>
          <w:sz w:val="24"/>
        </w:rPr>
      </w:pPr>
      <w:r w:rsidRPr="00F16A5E">
        <w:rPr>
          <w:sz w:val="24"/>
        </w:rPr>
        <w:t>For hemoglobin 6.0-8.0 g/dL, erythropoietin therapy can be given; for hemoglobin less than 6.0 g/dL, blood component transfusion can be given;</w:t>
      </w:r>
    </w:p>
    <w:p w14:paraId="16F84330" w14:textId="77777777" w:rsidR="001245E4" w:rsidRPr="00F16A5E" w:rsidRDefault="001245E4" w:rsidP="001245E4">
      <w:pPr>
        <w:numPr>
          <w:ilvl w:val="0"/>
          <w:numId w:val="9"/>
        </w:numPr>
        <w:spacing w:line="360" w:lineRule="auto"/>
        <w:ind w:left="840"/>
        <w:rPr>
          <w:sz w:val="24"/>
        </w:rPr>
      </w:pPr>
      <w:r w:rsidRPr="00F16A5E">
        <w:rPr>
          <w:sz w:val="24"/>
        </w:rPr>
        <w:t>For platelet count less than 50.0 x 10</w:t>
      </w:r>
      <w:r w:rsidRPr="00F16A5E">
        <w:rPr>
          <w:sz w:val="24"/>
          <w:vertAlign w:val="superscript"/>
        </w:rPr>
        <w:t>9</w:t>
      </w:r>
      <w:r w:rsidRPr="00F16A5E">
        <w:rPr>
          <w:sz w:val="24"/>
        </w:rPr>
        <w:t>/L, interleukin 11 or thrombopoietin could be given; For platelet count less than 25.0 x 10</w:t>
      </w:r>
      <w:r w:rsidRPr="00F16A5E">
        <w:rPr>
          <w:sz w:val="24"/>
          <w:vertAlign w:val="superscript"/>
        </w:rPr>
        <w:t>9</w:t>
      </w:r>
      <w:r w:rsidRPr="00F16A5E">
        <w:rPr>
          <w:sz w:val="24"/>
        </w:rPr>
        <w:t>/L or associated with a bleeding tendency, blood component transfusion can be given;</w:t>
      </w:r>
    </w:p>
    <w:p w14:paraId="4D36589C" w14:textId="77777777" w:rsidR="001245E4" w:rsidRPr="00F16A5E" w:rsidRDefault="001245E4" w:rsidP="001245E4">
      <w:pPr>
        <w:numPr>
          <w:ilvl w:val="0"/>
          <w:numId w:val="9"/>
        </w:numPr>
        <w:spacing w:line="360" w:lineRule="auto"/>
        <w:ind w:left="840"/>
        <w:rPr>
          <w:sz w:val="24"/>
        </w:rPr>
      </w:pPr>
      <w:r w:rsidRPr="00F16A5E">
        <w:rPr>
          <w:sz w:val="24"/>
        </w:rPr>
        <w:t>For neutrophils &lt;1.0~0.5 x 10</w:t>
      </w:r>
      <w:r w:rsidRPr="00F16A5E">
        <w:rPr>
          <w:sz w:val="24"/>
          <w:vertAlign w:val="superscript"/>
        </w:rPr>
        <w:t>9</w:t>
      </w:r>
      <w:r w:rsidRPr="00F16A5E">
        <w:rPr>
          <w:sz w:val="24"/>
        </w:rPr>
        <w:t>/L not accompanied by pyrexia, G-CSF and other cytokines can be given; For severe neutropenia, cytokine therapy can be given;</w:t>
      </w:r>
    </w:p>
    <w:p w14:paraId="38F24026" w14:textId="77777777" w:rsidR="001245E4" w:rsidRPr="00F16A5E" w:rsidRDefault="001245E4" w:rsidP="001245E4">
      <w:pPr>
        <w:numPr>
          <w:ilvl w:val="0"/>
          <w:numId w:val="9"/>
        </w:numPr>
        <w:spacing w:line="360" w:lineRule="auto"/>
        <w:ind w:left="840"/>
        <w:rPr>
          <w:sz w:val="24"/>
        </w:rPr>
      </w:pPr>
      <w:r w:rsidRPr="00F16A5E">
        <w:rPr>
          <w:sz w:val="24"/>
        </w:rPr>
        <w:t>Corticosteroids: External preparations (</w:t>
      </w:r>
      <w:proofErr w:type="spellStart"/>
      <w:r w:rsidRPr="00F16A5E">
        <w:rPr>
          <w:sz w:val="24"/>
        </w:rPr>
        <w:t>eg</w:t>
      </w:r>
      <w:proofErr w:type="spellEnd"/>
      <w:r w:rsidRPr="00F16A5E">
        <w:rPr>
          <w:sz w:val="24"/>
        </w:rPr>
        <w:t xml:space="preserve"> for rash), inhalation sprays (</w:t>
      </w:r>
      <w:proofErr w:type="spellStart"/>
      <w:r w:rsidRPr="00F16A5E">
        <w:rPr>
          <w:sz w:val="24"/>
        </w:rPr>
        <w:t>eg</w:t>
      </w:r>
      <w:proofErr w:type="spellEnd"/>
      <w:r w:rsidRPr="00F16A5E">
        <w:rPr>
          <w:sz w:val="24"/>
        </w:rPr>
        <w:t xml:space="preserve"> for obstructive airway disease), eye drops or local injections (</w:t>
      </w:r>
      <w:proofErr w:type="spellStart"/>
      <w:r w:rsidRPr="00F16A5E">
        <w:rPr>
          <w:sz w:val="24"/>
        </w:rPr>
        <w:t>eg</w:t>
      </w:r>
      <w:proofErr w:type="spellEnd"/>
      <w:r w:rsidRPr="00F16A5E">
        <w:rPr>
          <w:sz w:val="24"/>
        </w:rPr>
        <w:t xml:space="preserve"> intra-articular medication) are allowed; </w:t>
      </w:r>
    </w:p>
    <w:p w14:paraId="280D6F36" w14:textId="4093C5BA" w:rsidR="001245E4" w:rsidRPr="00F16A5E" w:rsidRDefault="001245E4" w:rsidP="001245E4">
      <w:pPr>
        <w:numPr>
          <w:ilvl w:val="0"/>
          <w:numId w:val="9"/>
        </w:numPr>
        <w:spacing w:line="360" w:lineRule="auto"/>
        <w:ind w:left="840"/>
        <w:rPr>
          <w:sz w:val="24"/>
        </w:rPr>
      </w:pPr>
      <w:r w:rsidRPr="00F16A5E">
        <w:rPr>
          <w:sz w:val="24"/>
        </w:rPr>
        <w:t xml:space="preserve">For common adverse reactions including but limited to hand and foot syndrome, hypertension, diarrhea, proteinuria, and </w:t>
      </w:r>
      <w:proofErr w:type="spellStart"/>
      <w:r w:rsidRPr="00F16A5E">
        <w:rPr>
          <w:sz w:val="24"/>
        </w:rPr>
        <w:t>hyperlipidaemia</w:t>
      </w:r>
      <w:proofErr w:type="spellEnd"/>
      <w:r w:rsidRPr="00F16A5E">
        <w:rPr>
          <w:sz w:val="24"/>
        </w:rPr>
        <w:t>, symptomatic treatment is allowed during the study.</w:t>
      </w:r>
    </w:p>
    <w:p w14:paraId="5C22EA75" w14:textId="46E6ED70" w:rsidR="006E18E9" w:rsidRPr="00F16A5E" w:rsidRDefault="006E18E9" w:rsidP="006E18E9">
      <w:pPr>
        <w:pStyle w:val="1"/>
        <w:pageBreakBefore/>
        <w:spacing w:beforeLines="0" w:before="120" w:line="360" w:lineRule="auto"/>
        <w:jc w:val="both"/>
        <w:rPr>
          <w:rFonts w:eastAsia="宋体"/>
          <w:sz w:val="24"/>
          <w:lang w:eastAsia="zh-CN"/>
        </w:rPr>
      </w:pPr>
      <w:bookmarkStart w:id="168" w:name="_Toc20224870"/>
      <w:bookmarkStart w:id="169" w:name="_Toc71149172"/>
      <w:r w:rsidRPr="00F16A5E">
        <w:rPr>
          <w:rFonts w:eastAsia="宋体"/>
          <w:sz w:val="24"/>
          <w:lang w:eastAsia="zh-CN"/>
        </w:rPr>
        <w:lastRenderedPageBreak/>
        <w:t>6</w:t>
      </w:r>
      <w:bookmarkEnd w:id="168"/>
      <w:r w:rsidR="001245E4" w:rsidRPr="00F16A5E">
        <w:rPr>
          <w:rFonts w:eastAsia="宋体"/>
          <w:sz w:val="24"/>
          <w:lang w:eastAsia="zh-CN"/>
        </w:rPr>
        <w:tab/>
        <w:t>Study Procedures</w:t>
      </w:r>
      <w:bookmarkEnd w:id="169"/>
    </w:p>
    <w:p w14:paraId="428981CA" w14:textId="7D75251D" w:rsidR="006E18E9" w:rsidRPr="00F16A5E" w:rsidRDefault="006E18E9" w:rsidP="006E18E9">
      <w:pPr>
        <w:pStyle w:val="2"/>
        <w:keepLines w:val="0"/>
        <w:spacing w:before="60" w:after="60" w:line="360" w:lineRule="auto"/>
        <w:rPr>
          <w:rFonts w:ascii="Times New Roman" w:eastAsia="宋体" w:hAnsi="Times New Roman"/>
          <w:sz w:val="24"/>
        </w:rPr>
      </w:pPr>
      <w:bookmarkStart w:id="170" w:name="_Toc438234687"/>
      <w:bookmarkStart w:id="171" w:name="_Toc438388768"/>
      <w:bookmarkStart w:id="172" w:name="_Toc487477890"/>
      <w:bookmarkStart w:id="173" w:name="_Toc7170249"/>
      <w:bookmarkStart w:id="174" w:name="_Toc9456195"/>
      <w:bookmarkStart w:id="175" w:name="_Toc20224871"/>
      <w:bookmarkStart w:id="176" w:name="_Toc71149173"/>
      <w:r w:rsidRPr="00F16A5E">
        <w:rPr>
          <w:rFonts w:ascii="Times New Roman" w:eastAsia="宋体" w:hAnsi="Times New Roman"/>
          <w:sz w:val="24"/>
        </w:rPr>
        <w:t>6.1</w:t>
      </w:r>
      <w:bookmarkEnd w:id="170"/>
      <w:bookmarkEnd w:id="171"/>
      <w:bookmarkEnd w:id="172"/>
      <w:bookmarkEnd w:id="173"/>
      <w:bookmarkEnd w:id="174"/>
      <w:bookmarkEnd w:id="175"/>
      <w:r w:rsidR="001245E4" w:rsidRPr="00F16A5E">
        <w:rPr>
          <w:rFonts w:ascii="Times New Roman" w:eastAsia="宋体" w:hAnsi="Times New Roman"/>
          <w:sz w:val="24"/>
        </w:rPr>
        <w:tab/>
        <w:t>Screening Visit (Days -28 to -1)</w:t>
      </w:r>
      <w:bookmarkEnd w:id="176"/>
    </w:p>
    <w:p w14:paraId="304502D1" w14:textId="71F37789" w:rsidR="006E18E9" w:rsidRPr="00F16A5E" w:rsidRDefault="001245E4" w:rsidP="001245E4">
      <w:pPr>
        <w:spacing w:beforeLines="50" w:before="156" w:line="300" w:lineRule="auto"/>
        <w:rPr>
          <w:kern w:val="0"/>
          <w:sz w:val="24"/>
        </w:rPr>
      </w:pPr>
      <w:r w:rsidRPr="00F16A5E">
        <w:rPr>
          <w:kern w:val="0"/>
          <w:sz w:val="24"/>
        </w:rPr>
        <w:t>Subjects can only participate in the screening physical examination after signing the informed consent. The screening period is from Day -28 to Day -1. The items to be completed during the screening period are shown in Table 3. On Day -1, blood samples for the target occupancy test will be collected.</w:t>
      </w:r>
    </w:p>
    <w:p w14:paraId="6289DCFF" w14:textId="361873C6" w:rsidR="006E18E9" w:rsidRPr="00F16A5E" w:rsidRDefault="001245E4" w:rsidP="001245E4">
      <w:pPr>
        <w:spacing w:beforeLines="50" w:before="156" w:line="300" w:lineRule="auto"/>
        <w:rPr>
          <w:kern w:val="0"/>
          <w:sz w:val="24"/>
        </w:rPr>
      </w:pPr>
      <w:r w:rsidRPr="00F16A5E">
        <w:rPr>
          <w:sz w:val="24"/>
        </w:rPr>
        <w:t>Depending on the clinical situation, the investigator should perform relevant tests such as Coombs, anticardiolipin antibody test, lupus anticoagulant test and haptoglobin test as indicated by BILAG criteria.</w:t>
      </w:r>
    </w:p>
    <w:p w14:paraId="5DF01101" w14:textId="766CE2DF" w:rsidR="006E18E9" w:rsidRPr="00F16A5E" w:rsidRDefault="001245E4" w:rsidP="006E18E9">
      <w:pPr>
        <w:keepNext/>
        <w:spacing w:line="360" w:lineRule="auto"/>
        <w:jc w:val="center"/>
        <w:rPr>
          <w:b/>
          <w:color w:val="0D0D0D"/>
          <w:sz w:val="24"/>
          <w:szCs w:val="21"/>
          <w:lang w:val="en-GB"/>
        </w:rPr>
      </w:pPr>
      <w:r w:rsidRPr="00F16A5E">
        <w:rPr>
          <w:b/>
          <w:color w:val="0D0D0D"/>
          <w:sz w:val="24"/>
          <w:szCs w:val="21"/>
          <w:lang w:val="en-GB"/>
        </w:rPr>
        <w:t xml:space="preserve">Table </w:t>
      </w:r>
      <w:r w:rsidR="0079358D" w:rsidRPr="00F16A5E">
        <w:rPr>
          <w:b/>
          <w:color w:val="0D0D0D"/>
          <w:sz w:val="24"/>
          <w:szCs w:val="21"/>
          <w:lang w:val="en-GB"/>
        </w:rPr>
        <w:t>3</w:t>
      </w:r>
      <w:r w:rsidR="006E18E9" w:rsidRPr="00F16A5E">
        <w:rPr>
          <w:b/>
          <w:color w:val="0D0D0D"/>
          <w:sz w:val="24"/>
          <w:szCs w:val="21"/>
          <w:lang w:val="en-GB"/>
        </w:rPr>
        <w:t>.</w:t>
      </w:r>
      <w:r w:rsidRPr="00F16A5E">
        <w:rPr>
          <w:b/>
          <w:color w:val="0D0D0D"/>
          <w:sz w:val="24"/>
          <w:szCs w:val="21"/>
          <w:lang w:val="en-GB"/>
        </w:rPr>
        <w:tab/>
        <w:t>Screening Items</w:t>
      </w:r>
    </w:p>
    <w:tbl>
      <w:tblPr>
        <w:tblW w:w="5000" w:type="pct"/>
        <w:tblBorders>
          <w:top w:val="single" w:sz="8" w:space="0" w:color="auto"/>
          <w:bottom w:val="single" w:sz="8" w:space="0" w:color="auto"/>
        </w:tblBorders>
        <w:tblLook w:val="0000" w:firstRow="0" w:lastRow="0" w:firstColumn="0" w:lastColumn="0" w:noHBand="0" w:noVBand="0"/>
      </w:tblPr>
      <w:tblGrid>
        <w:gridCol w:w="2242"/>
        <w:gridCol w:w="7396"/>
      </w:tblGrid>
      <w:tr w:rsidR="001245E4" w:rsidRPr="00F16A5E" w14:paraId="42CD71F2" w14:textId="77777777" w:rsidTr="001245E4">
        <w:trPr>
          <w:trHeight w:val="397"/>
          <w:tblHeader/>
        </w:trPr>
        <w:tc>
          <w:tcPr>
            <w:tcW w:w="1163" w:type="pct"/>
            <w:tcBorders>
              <w:top w:val="single" w:sz="8" w:space="0" w:color="auto"/>
              <w:bottom w:val="single" w:sz="4" w:space="0" w:color="auto"/>
            </w:tcBorders>
            <w:shd w:val="clear" w:color="auto" w:fill="E7E6E6"/>
            <w:vAlign w:val="center"/>
          </w:tcPr>
          <w:p w14:paraId="63DCCC39" w14:textId="77777777" w:rsidR="001245E4" w:rsidRPr="00F16A5E" w:rsidRDefault="001245E4" w:rsidP="001245E4">
            <w:pPr>
              <w:rPr>
                <w:b/>
                <w:bCs/>
              </w:rPr>
            </w:pPr>
            <w:r w:rsidRPr="00F16A5E">
              <w:rPr>
                <w:b/>
                <w:bCs/>
              </w:rPr>
              <w:t>Items</w:t>
            </w:r>
          </w:p>
        </w:tc>
        <w:tc>
          <w:tcPr>
            <w:tcW w:w="3837" w:type="pct"/>
            <w:tcBorders>
              <w:top w:val="single" w:sz="8" w:space="0" w:color="auto"/>
              <w:bottom w:val="single" w:sz="4" w:space="0" w:color="auto"/>
            </w:tcBorders>
            <w:shd w:val="clear" w:color="auto" w:fill="E7E6E6"/>
            <w:vAlign w:val="center"/>
          </w:tcPr>
          <w:p w14:paraId="2893A27E" w14:textId="77777777" w:rsidR="001245E4" w:rsidRPr="00F16A5E" w:rsidRDefault="001245E4" w:rsidP="001245E4">
            <w:pPr>
              <w:rPr>
                <w:b/>
                <w:bCs/>
              </w:rPr>
            </w:pPr>
            <w:r w:rsidRPr="00F16A5E">
              <w:rPr>
                <w:b/>
                <w:bCs/>
              </w:rPr>
              <w:t>Notes</w:t>
            </w:r>
          </w:p>
        </w:tc>
      </w:tr>
      <w:tr w:rsidR="001245E4" w:rsidRPr="00F16A5E" w14:paraId="36EA0A30" w14:textId="77777777" w:rsidTr="001245E4">
        <w:trPr>
          <w:trHeight w:val="397"/>
        </w:trPr>
        <w:tc>
          <w:tcPr>
            <w:tcW w:w="5000" w:type="pct"/>
            <w:gridSpan w:val="2"/>
            <w:tcBorders>
              <w:top w:val="single" w:sz="4" w:space="0" w:color="auto"/>
              <w:bottom w:val="nil"/>
            </w:tcBorders>
            <w:shd w:val="clear" w:color="auto" w:fill="D9E2F3"/>
            <w:vAlign w:val="center"/>
          </w:tcPr>
          <w:p w14:paraId="5E993744" w14:textId="77777777" w:rsidR="001245E4" w:rsidRPr="00F16A5E" w:rsidRDefault="001245E4" w:rsidP="001245E4">
            <w:pPr>
              <w:jc w:val="center"/>
              <w:rPr>
                <w:b/>
                <w:bCs/>
              </w:rPr>
            </w:pPr>
            <w:r w:rsidRPr="00F16A5E">
              <w:rPr>
                <w:b/>
                <w:bCs/>
              </w:rPr>
              <w:t>Study Procedures</w:t>
            </w:r>
          </w:p>
        </w:tc>
      </w:tr>
      <w:tr w:rsidR="001245E4" w:rsidRPr="00F16A5E" w14:paraId="1F205BE4" w14:textId="77777777" w:rsidTr="001245E4">
        <w:trPr>
          <w:trHeight w:val="397"/>
        </w:trPr>
        <w:tc>
          <w:tcPr>
            <w:tcW w:w="1163" w:type="pct"/>
            <w:tcBorders>
              <w:top w:val="nil"/>
              <w:bottom w:val="nil"/>
            </w:tcBorders>
            <w:vAlign w:val="center"/>
          </w:tcPr>
          <w:p w14:paraId="4B95AF26" w14:textId="77777777" w:rsidR="001245E4" w:rsidRPr="00F16A5E" w:rsidRDefault="001245E4" w:rsidP="001245E4">
            <w:r w:rsidRPr="00F16A5E">
              <w:t>Signing Informed Consent</w:t>
            </w:r>
          </w:p>
        </w:tc>
        <w:tc>
          <w:tcPr>
            <w:tcW w:w="3837" w:type="pct"/>
            <w:tcBorders>
              <w:top w:val="nil"/>
              <w:bottom w:val="nil"/>
            </w:tcBorders>
            <w:vAlign w:val="center"/>
          </w:tcPr>
          <w:p w14:paraId="486D2B3B" w14:textId="77777777" w:rsidR="001245E4" w:rsidRPr="00F16A5E" w:rsidRDefault="001245E4" w:rsidP="001245E4">
            <w:r w:rsidRPr="00F16A5E">
              <w:t>Prior to screening</w:t>
            </w:r>
          </w:p>
        </w:tc>
      </w:tr>
      <w:tr w:rsidR="001245E4" w:rsidRPr="00F16A5E" w14:paraId="216C0C66" w14:textId="77777777" w:rsidTr="001245E4">
        <w:trPr>
          <w:trHeight w:val="397"/>
        </w:trPr>
        <w:tc>
          <w:tcPr>
            <w:tcW w:w="1163" w:type="pct"/>
            <w:tcBorders>
              <w:top w:val="nil"/>
              <w:bottom w:val="nil"/>
            </w:tcBorders>
            <w:vAlign w:val="center"/>
          </w:tcPr>
          <w:p w14:paraId="3771EB0F" w14:textId="77777777" w:rsidR="001245E4" w:rsidRPr="00F16A5E" w:rsidRDefault="001245E4" w:rsidP="001245E4">
            <w:r w:rsidRPr="00F16A5E">
              <w:t>Inclusion/Exclusion criteria</w:t>
            </w:r>
          </w:p>
        </w:tc>
        <w:tc>
          <w:tcPr>
            <w:tcW w:w="3837" w:type="pct"/>
            <w:tcBorders>
              <w:top w:val="nil"/>
              <w:bottom w:val="nil"/>
            </w:tcBorders>
            <w:vAlign w:val="center"/>
          </w:tcPr>
          <w:p w14:paraId="28535EE4" w14:textId="77777777" w:rsidR="001245E4" w:rsidRPr="00F16A5E" w:rsidRDefault="001245E4" w:rsidP="001245E4">
            <w:r w:rsidRPr="00F16A5E">
              <w:t>Review of Inclusion/Exclusion criteria</w:t>
            </w:r>
          </w:p>
        </w:tc>
      </w:tr>
      <w:tr w:rsidR="001245E4" w:rsidRPr="00F16A5E" w14:paraId="79221705" w14:textId="77777777" w:rsidTr="001245E4">
        <w:trPr>
          <w:trHeight w:val="397"/>
        </w:trPr>
        <w:tc>
          <w:tcPr>
            <w:tcW w:w="1163" w:type="pct"/>
            <w:tcBorders>
              <w:top w:val="nil"/>
              <w:bottom w:val="nil"/>
            </w:tcBorders>
            <w:vAlign w:val="center"/>
          </w:tcPr>
          <w:p w14:paraId="4924680A" w14:textId="77777777" w:rsidR="001245E4" w:rsidRPr="00F16A5E" w:rsidRDefault="001245E4" w:rsidP="001245E4">
            <w:r w:rsidRPr="00F16A5E">
              <w:t>Demography</w:t>
            </w:r>
          </w:p>
        </w:tc>
        <w:tc>
          <w:tcPr>
            <w:tcW w:w="3837" w:type="pct"/>
            <w:tcBorders>
              <w:top w:val="nil"/>
              <w:bottom w:val="nil"/>
            </w:tcBorders>
            <w:vAlign w:val="center"/>
          </w:tcPr>
          <w:p w14:paraId="14B83050" w14:textId="77777777" w:rsidR="001245E4" w:rsidRPr="00F16A5E" w:rsidRDefault="001245E4" w:rsidP="001245E4">
            <w:r w:rsidRPr="00F16A5E">
              <w:t>Date of birth, gender, height, and weight.</w:t>
            </w:r>
          </w:p>
        </w:tc>
      </w:tr>
      <w:tr w:rsidR="001245E4" w:rsidRPr="00F16A5E" w14:paraId="0428C46B" w14:textId="77777777" w:rsidTr="001245E4">
        <w:trPr>
          <w:trHeight w:val="397"/>
        </w:trPr>
        <w:tc>
          <w:tcPr>
            <w:tcW w:w="1163" w:type="pct"/>
            <w:tcBorders>
              <w:top w:val="nil"/>
              <w:bottom w:val="nil"/>
            </w:tcBorders>
            <w:vAlign w:val="center"/>
          </w:tcPr>
          <w:p w14:paraId="2BDA103B" w14:textId="77777777" w:rsidR="001245E4" w:rsidRPr="00F16A5E" w:rsidRDefault="001245E4" w:rsidP="001245E4">
            <w:r w:rsidRPr="00F16A5E">
              <w:t>Medical history and treatment history</w:t>
            </w:r>
          </w:p>
        </w:tc>
        <w:tc>
          <w:tcPr>
            <w:tcW w:w="3837" w:type="pct"/>
            <w:tcBorders>
              <w:top w:val="nil"/>
              <w:bottom w:val="nil"/>
            </w:tcBorders>
            <w:vAlign w:val="center"/>
          </w:tcPr>
          <w:p w14:paraId="67AD732F" w14:textId="6DC4D357" w:rsidR="001245E4" w:rsidRPr="00F16A5E" w:rsidRDefault="001245E4" w:rsidP="001245E4">
            <w:r w:rsidRPr="00F16A5E">
              <w:t>Medical history includes history of: current diseases, past diseases, medication, allergy, drinking, drug abuse, clinical trials, etc.</w:t>
            </w:r>
          </w:p>
        </w:tc>
      </w:tr>
      <w:tr w:rsidR="001245E4" w:rsidRPr="00F16A5E" w14:paraId="119FD97A" w14:textId="77777777" w:rsidTr="001245E4">
        <w:trPr>
          <w:trHeight w:val="397"/>
        </w:trPr>
        <w:tc>
          <w:tcPr>
            <w:tcW w:w="1163" w:type="pct"/>
            <w:tcBorders>
              <w:top w:val="nil"/>
              <w:bottom w:val="nil"/>
            </w:tcBorders>
            <w:vAlign w:val="center"/>
          </w:tcPr>
          <w:p w14:paraId="2B03F764" w14:textId="77777777" w:rsidR="001245E4" w:rsidRPr="00F16A5E" w:rsidRDefault="001245E4" w:rsidP="001245E4">
            <w:r w:rsidRPr="00F16A5E">
              <w:t>Concomitant medication records</w:t>
            </w:r>
          </w:p>
        </w:tc>
        <w:tc>
          <w:tcPr>
            <w:tcW w:w="3837" w:type="pct"/>
            <w:tcBorders>
              <w:top w:val="nil"/>
              <w:bottom w:val="nil"/>
            </w:tcBorders>
            <w:vAlign w:val="center"/>
          </w:tcPr>
          <w:p w14:paraId="52368BD9" w14:textId="77777777" w:rsidR="001245E4" w:rsidRPr="00F16A5E" w:rsidRDefault="001245E4" w:rsidP="001245E4">
            <w:r w:rsidRPr="00F16A5E">
              <w:t>Record concomitant medication</w:t>
            </w:r>
          </w:p>
        </w:tc>
      </w:tr>
      <w:tr w:rsidR="001245E4" w:rsidRPr="00F16A5E" w14:paraId="52EE6B0B" w14:textId="77777777" w:rsidTr="001245E4">
        <w:trPr>
          <w:trHeight w:val="397"/>
        </w:trPr>
        <w:tc>
          <w:tcPr>
            <w:tcW w:w="5000" w:type="pct"/>
            <w:gridSpan w:val="2"/>
            <w:tcBorders>
              <w:top w:val="nil"/>
              <w:bottom w:val="nil"/>
            </w:tcBorders>
            <w:shd w:val="clear" w:color="auto" w:fill="D9E2F3"/>
            <w:vAlign w:val="center"/>
          </w:tcPr>
          <w:p w14:paraId="3C66E866" w14:textId="77777777" w:rsidR="001245E4" w:rsidRPr="00F16A5E" w:rsidRDefault="001245E4" w:rsidP="001245E4">
            <w:pPr>
              <w:jc w:val="center"/>
              <w:rPr>
                <w:b/>
                <w:bCs/>
              </w:rPr>
            </w:pPr>
            <w:r w:rsidRPr="00F16A5E">
              <w:rPr>
                <w:b/>
                <w:bCs/>
              </w:rPr>
              <w:t>Safety Evaluation</w:t>
            </w:r>
          </w:p>
        </w:tc>
      </w:tr>
      <w:tr w:rsidR="001245E4" w:rsidRPr="00F16A5E" w14:paraId="15AFDA7B" w14:textId="77777777" w:rsidTr="001245E4">
        <w:trPr>
          <w:trHeight w:val="397"/>
        </w:trPr>
        <w:tc>
          <w:tcPr>
            <w:tcW w:w="1163" w:type="pct"/>
            <w:tcBorders>
              <w:top w:val="nil"/>
            </w:tcBorders>
            <w:vAlign w:val="center"/>
          </w:tcPr>
          <w:p w14:paraId="1F8D649B" w14:textId="3EFF9B9B" w:rsidR="001245E4" w:rsidRPr="00F16A5E" w:rsidRDefault="001245E4" w:rsidP="001245E4">
            <w:r w:rsidRPr="00F16A5E">
              <w:t>Physical examination</w:t>
            </w:r>
          </w:p>
        </w:tc>
        <w:tc>
          <w:tcPr>
            <w:tcW w:w="3837" w:type="pct"/>
            <w:tcBorders>
              <w:top w:val="nil"/>
            </w:tcBorders>
            <w:vAlign w:val="center"/>
          </w:tcPr>
          <w:p w14:paraId="0E595F76" w14:textId="77777777" w:rsidR="001245E4" w:rsidRPr="00F16A5E" w:rsidRDefault="001245E4" w:rsidP="001245E4">
            <w:r w:rsidRPr="00F16A5E">
              <w:t>A complete physical examination (mainly including general conditions, skin, head and neck, chest, abdomen, back, limbs and basic nervous system, etc.)</w:t>
            </w:r>
          </w:p>
        </w:tc>
      </w:tr>
      <w:tr w:rsidR="001245E4" w:rsidRPr="00F16A5E" w14:paraId="771808EA" w14:textId="77777777" w:rsidTr="001245E4">
        <w:trPr>
          <w:trHeight w:val="397"/>
        </w:trPr>
        <w:tc>
          <w:tcPr>
            <w:tcW w:w="1163" w:type="pct"/>
            <w:tcBorders>
              <w:top w:val="nil"/>
              <w:bottom w:val="nil"/>
            </w:tcBorders>
            <w:vAlign w:val="center"/>
          </w:tcPr>
          <w:p w14:paraId="165D6565" w14:textId="47027EEB" w:rsidR="001245E4" w:rsidRPr="00F16A5E" w:rsidRDefault="001245E4" w:rsidP="001245E4">
            <w:r w:rsidRPr="00F16A5E">
              <w:t>Vital signs</w:t>
            </w:r>
          </w:p>
        </w:tc>
        <w:tc>
          <w:tcPr>
            <w:tcW w:w="3837" w:type="pct"/>
            <w:tcBorders>
              <w:top w:val="nil"/>
              <w:bottom w:val="nil"/>
            </w:tcBorders>
            <w:vAlign w:val="center"/>
          </w:tcPr>
          <w:p w14:paraId="18079CD3" w14:textId="77777777" w:rsidR="001245E4" w:rsidRPr="00F16A5E" w:rsidRDefault="001245E4" w:rsidP="001245E4">
            <w:r w:rsidRPr="00F16A5E">
              <w:t>body temperature, blood pressure, respiration, pulse</w:t>
            </w:r>
          </w:p>
        </w:tc>
      </w:tr>
      <w:tr w:rsidR="001245E4" w:rsidRPr="00F16A5E" w14:paraId="4454D742" w14:textId="77777777" w:rsidTr="001245E4">
        <w:trPr>
          <w:trHeight w:val="397"/>
        </w:trPr>
        <w:tc>
          <w:tcPr>
            <w:tcW w:w="1163" w:type="pct"/>
            <w:vAlign w:val="center"/>
          </w:tcPr>
          <w:p w14:paraId="701AF709" w14:textId="77777777" w:rsidR="001245E4" w:rsidRPr="00F16A5E" w:rsidRDefault="001245E4" w:rsidP="001245E4">
            <w:r w:rsidRPr="00F16A5E">
              <w:t>Hematology</w:t>
            </w:r>
          </w:p>
        </w:tc>
        <w:tc>
          <w:tcPr>
            <w:tcW w:w="3837" w:type="pct"/>
            <w:vAlign w:val="center"/>
          </w:tcPr>
          <w:p w14:paraId="55840230" w14:textId="77777777" w:rsidR="001245E4" w:rsidRPr="00F16A5E" w:rsidRDefault="001245E4" w:rsidP="001245E4">
            <w:r w:rsidRPr="00F16A5E">
              <w:t>complete blood count, i.e. white blood cells (WBC) including lymphocytes and neutrophils, red blood cells (RBC), hemoglobin, hematocrit and platelets.</w:t>
            </w:r>
          </w:p>
        </w:tc>
      </w:tr>
      <w:tr w:rsidR="001245E4" w:rsidRPr="00F16A5E" w14:paraId="6B04BEA6" w14:textId="77777777" w:rsidTr="001245E4">
        <w:trPr>
          <w:trHeight w:val="397"/>
        </w:trPr>
        <w:tc>
          <w:tcPr>
            <w:tcW w:w="1163" w:type="pct"/>
            <w:vAlign w:val="center"/>
          </w:tcPr>
          <w:p w14:paraId="05D2E76E" w14:textId="77777777" w:rsidR="001245E4" w:rsidRPr="00F16A5E" w:rsidRDefault="001245E4" w:rsidP="001245E4">
            <w:r w:rsidRPr="00F16A5E">
              <w:t>Urinalysis</w:t>
            </w:r>
          </w:p>
        </w:tc>
        <w:tc>
          <w:tcPr>
            <w:tcW w:w="3837" w:type="pct"/>
            <w:vAlign w:val="center"/>
          </w:tcPr>
          <w:p w14:paraId="07052262" w14:textId="77777777" w:rsidR="001245E4" w:rsidRPr="00F16A5E" w:rsidRDefault="001245E4" w:rsidP="001245E4">
            <w:r w:rsidRPr="00F16A5E">
              <w:t>protein, glucose, red blood cells urine (qualitative or quantitative results, including occult blood or blood urine)</w:t>
            </w:r>
          </w:p>
        </w:tc>
      </w:tr>
      <w:tr w:rsidR="001245E4" w:rsidRPr="00F16A5E" w14:paraId="2DBE011F" w14:textId="77777777" w:rsidTr="001245E4">
        <w:trPr>
          <w:trHeight w:val="397"/>
        </w:trPr>
        <w:tc>
          <w:tcPr>
            <w:tcW w:w="1163" w:type="pct"/>
            <w:vAlign w:val="center"/>
          </w:tcPr>
          <w:p w14:paraId="3012D739" w14:textId="77777777" w:rsidR="001245E4" w:rsidRPr="00F16A5E" w:rsidRDefault="001245E4" w:rsidP="001245E4">
            <w:r w:rsidRPr="00F16A5E">
              <w:t>Blood chemistry</w:t>
            </w:r>
          </w:p>
        </w:tc>
        <w:tc>
          <w:tcPr>
            <w:tcW w:w="3837" w:type="pct"/>
            <w:vAlign w:val="center"/>
          </w:tcPr>
          <w:p w14:paraId="5DD7755B" w14:textId="77777777" w:rsidR="001245E4" w:rsidRPr="00F16A5E" w:rsidRDefault="001245E4" w:rsidP="001245E4">
            <w:r w:rsidRPr="00F16A5E">
              <w:t>aspartate aminotransferase (AST), alanine aminotransferase (ALT), γ-</w:t>
            </w:r>
            <w:proofErr w:type="spellStart"/>
            <w:r w:rsidRPr="00F16A5E">
              <w:t>glutamyltransferase</w:t>
            </w:r>
            <w:proofErr w:type="spellEnd"/>
            <w:r w:rsidRPr="00F16A5E">
              <w:t xml:space="preserve"> (GGT), albumin (ALB), total bilirubin (TBIL), direct bilirubin (DBIL), urea nitrogen (BUN), serum creatinine (Cr), triglycerides (TG), cholesterol total (TC), glucose (Glu), lactate dehydrogenase (LDH)</w:t>
            </w:r>
          </w:p>
        </w:tc>
      </w:tr>
      <w:tr w:rsidR="001245E4" w:rsidRPr="00F16A5E" w14:paraId="43A259D0" w14:textId="77777777" w:rsidTr="001245E4">
        <w:trPr>
          <w:trHeight w:val="397"/>
        </w:trPr>
        <w:tc>
          <w:tcPr>
            <w:tcW w:w="1163" w:type="pct"/>
            <w:vAlign w:val="center"/>
          </w:tcPr>
          <w:p w14:paraId="6D3DCCAA" w14:textId="77777777" w:rsidR="001245E4" w:rsidRPr="00F16A5E" w:rsidRDefault="001245E4" w:rsidP="001245E4">
            <w:r w:rsidRPr="00F16A5E">
              <w:t>Electrolytes</w:t>
            </w:r>
          </w:p>
        </w:tc>
        <w:tc>
          <w:tcPr>
            <w:tcW w:w="3837" w:type="pct"/>
            <w:vAlign w:val="center"/>
          </w:tcPr>
          <w:p w14:paraId="76E17DC1" w14:textId="77777777" w:rsidR="001245E4" w:rsidRPr="00F16A5E" w:rsidRDefault="001245E4" w:rsidP="001245E4">
            <w:r w:rsidRPr="00F16A5E">
              <w:t>potassium (K), sodium (Na), chlorine (Cl), calcium (Ca), magnesium (Mg), phosphorus (P)</w:t>
            </w:r>
          </w:p>
        </w:tc>
      </w:tr>
      <w:tr w:rsidR="001245E4" w:rsidRPr="00F16A5E" w14:paraId="4CEC643D" w14:textId="77777777" w:rsidTr="001245E4">
        <w:trPr>
          <w:trHeight w:val="397"/>
        </w:trPr>
        <w:tc>
          <w:tcPr>
            <w:tcW w:w="1163" w:type="pct"/>
            <w:tcBorders>
              <w:bottom w:val="nil"/>
            </w:tcBorders>
            <w:vAlign w:val="center"/>
          </w:tcPr>
          <w:p w14:paraId="465C4E6A" w14:textId="77777777" w:rsidR="001245E4" w:rsidRPr="00F16A5E" w:rsidRDefault="001245E4" w:rsidP="001245E4">
            <w:r w:rsidRPr="00F16A5E">
              <w:t>Amylase</w:t>
            </w:r>
          </w:p>
        </w:tc>
        <w:tc>
          <w:tcPr>
            <w:tcW w:w="3837" w:type="pct"/>
            <w:tcBorders>
              <w:bottom w:val="nil"/>
            </w:tcBorders>
            <w:vAlign w:val="center"/>
          </w:tcPr>
          <w:p w14:paraId="5E3907C8" w14:textId="77777777" w:rsidR="001245E4" w:rsidRPr="00F16A5E" w:rsidRDefault="001245E4" w:rsidP="001245E4">
            <w:r w:rsidRPr="00F16A5E">
              <w:t>Serum amylase</w:t>
            </w:r>
          </w:p>
        </w:tc>
      </w:tr>
      <w:tr w:rsidR="001245E4" w:rsidRPr="00F16A5E" w14:paraId="2C577955" w14:textId="77777777" w:rsidTr="001245E4">
        <w:trPr>
          <w:trHeight w:val="397"/>
        </w:trPr>
        <w:tc>
          <w:tcPr>
            <w:tcW w:w="1163" w:type="pct"/>
            <w:tcBorders>
              <w:bottom w:val="nil"/>
            </w:tcBorders>
            <w:vAlign w:val="center"/>
          </w:tcPr>
          <w:p w14:paraId="23CE572C" w14:textId="77777777" w:rsidR="001245E4" w:rsidRPr="00F16A5E" w:rsidRDefault="001245E4" w:rsidP="001245E4">
            <w:r w:rsidRPr="00F16A5E">
              <w:t>Lipase</w:t>
            </w:r>
          </w:p>
        </w:tc>
        <w:tc>
          <w:tcPr>
            <w:tcW w:w="3837" w:type="pct"/>
            <w:tcBorders>
              <w:bottom w:val="nil"/>
            </w:tcBorders>
            <w:vAlign w:val="center"/>
          </w:tcPr>
          <w:p w14:paraId="3DF2F2C0" w14:textId="77777777" w:rsidR="001245E4" w:rsidRPr="00F16A5E" w:rsidRDefault="001245E4" w:rsidP="001245E4">
            <w:r w:rsidRPr="00F16A5E">
              <w:t>Serum lipase</w:t>
            </w:r>
          </w:p>
        </w:tc>
      </w:tr>
      <w:tr w:rsidR="001245E4" w:rsidRPr="00F16A5E" w14:paraId="4725E78D" w14:textId="77777777" w:rsidTr="001245E4">
        <w:trPr>
          <w:trHeight w:val="397"/>
        </w:trPr>
        <w:tc>
          <w:tcPr>
            <w:tcW w:w="1163" w:type="pct"/>
            <w:vAlign w:val="center"/>
          </w:tcPr>
          <w:p w14:paraId="32D67398" w14:textId="77777777" w:rsidR="001245E4" w:rsidRPr="00F16A5E" w:rsidRDefault="001245E4" w:rsidP="001245E4">
            <w:r w:rsidRPr="00F16A5E">
              <w:t>Coagulation</w:t>
            </w:r>
          </w:p>
        </w:tc>
        <w:tc>
          <w:tcPr>
            <w:tcW w:w="3837" w:type="pct"/>
            <w:vAlign w:val="center"/>
          </w:tcPr>
          <w:p w14:paraId="681D4D28" w14:textId="77777777" w:rsidR="001245E4" w:rsidRPr="00F16A5E" w:rsidRDefault="001245E4" w:rsidP="001245E4">
            <w:r w:rsidRPr="00F16A5E">
              <w:t>international normalized ratio (INR), prothrombin time (PT), and activated partial thromboplastin time (APTT)</w:t>
            </w:r>
          </w:p>
        </w:tc>
      </w:tr>
      <w:tr w:rsidR="001245E4" w:rsidRPr="00F16A5E" w14:paraId="1B06467A" w14:textId="77777777" w:rsidTr="001245E4">
        <w:trPr>
          <w:trHeight w:val="397"/>
        </w:trPr>
        <w:tc>
          <w:tcPr>
            <w:tcW w:w="1163" w:type="pct"/>
            <w:tcBorders>
              <w:bottom w:val="nil"/>
            </w:tcBorders>
            <w:vAlign w:val="center"/>
          </w:tcPr>
          <w:p w14:paraId="1430D4E8" w14:textId="77777777" w:rsidR="001245E4" w:rsidRPr="00F16A5E" w:rsidRDefault="001245E4" w:rsidP="001245E4">
            <w:r w:rsidRPr="00F16A5E">
              <w:t xml:space="preserve">5 items of thyroid </w:t>
            </w:r>
            <w:r w:rsidRPr="00F16A5E">
              <w:lastRenderedPageBreak/>
              <w:t>function</w:t>
            </w:r>
          </w:p>
        </w:tc>
        <w:tc>
          <w:tcPr>
            <w:tcW w:w="3837" w:type="pct"/>
            <w:tcBorders>
              <w:bottom w:val="nil"/>
            </w:tcBorders>
            <w:vAlign w:val="center"/>
          </w:tcPr>
          <w:p w14:paraId="3064831A" w14:textId="77777777" w:rsidR="001245E4" w:rsidRPr="00F16A5E" w:rsidRDefault="001245E4" w:rsidP="001245E4">
            <w:r w:rsidRPr="00F16A5E">
              <w:lastRenderedPageBreak/>
              <w:t xml:space="preserve">Thyroid-stimulating hormone (TSH), free triiodothyronine (FT3), free thyroxine </w:t>
            </w:r>
            <w:r w:rsidRPr="00F16A5E">
              <w:lastRenderedPageBreak/>
              <w:t>(FT4), total triiodothyronine (TT3), total thyroxine (TT4)</w:t>
            </w:r>
          </w:p>
        </w:tc>
      </w:tr>
      <w:tr w:rsidR="001245E4" w:rsidRPr="00F16A5E" w14:paraId="22FAD83F" w14:textId="77777777" w:rsidTr="001245E4">
        <w:trPr>
          <w:trHeight w:val="397"/>
        </w:trPr>
        <w:tc>
          <w:tcPr>
            <w:tcW w:w="1163" w:type="pct"/>
            <w:tcBorders>
              <w:bottom w:val="nil"/>
            </w:tcBorders>
            <w:vAlign w:val="center"/>
          </w:tcPr>
          <w:p w14:paraId="5ACA7B7A" w14:textId="77777777" w:rsidR="001245E4" w:rsidRPr="00F16A5E" w:rsidRDefault="001245E4" w:rsidP="001245E4">
            <w:r w:rsidRPr="00F16A5E">
              <w:lastRenderedPageBreak/>
              <w:t>Ultrasound thyroid</w:t>
            </w:r>
          </w:p>
        </w:tc>
        <w:tc>
          <w:tcPr>
            <w:tcW w:w="3837" w:type="pct"/>
            <w:tcBorders>
              <w:bottom w:val="nil"/>
            </w:tcBorders>
            <w:vAlign w:val="center"/>
          </w:tcPr>
          <w:p w14:paraId="24EFEA43" w14:textId="77777777" w:rsidR="001245E4" w:rsidRPr="00F16A5E" w:rsidRDefault="001245E4" w:rsidP="001245E4">
            <w:r w:rsidRPr="00F16A5E">
              <w:t>Ultrasound thyroid</w:t>
            </w:r>
          </w:p>
        </w:tc>
      </w:tr>
      <w:tr w:rsidR="001245E4" w:rsidRPr="00F16A5E" w14:paraId="035F64CA" w14:textId="77777777" w:rsidTr="001245E4">
        <w:trPr>
          <w:trHeight w:val="397"/>
        </w:trPr>
        <w:tc>
          <w:tcPr>
            <w:tcW w:w="1163" w:type="pct"/>
            <w:tcBorders>
              <w:bottom w:val="nil"/>
            </w:tcBorders>
            <w:vAlign w:val="center"/>
          </w:tcPr>
          <w:p w14:paraId="0C469C71" w14:textId="77777777" w:rsidR="001245E4" w:rsidRPr="00F16A5E" w:rsidRDefault="001245E4" w:rsidP="001245E4">
            <w:r w:rsidRPr="00F16A5E">
              <w:t>Chest X-ray</w:t>
            </w:r>
          </w:p>
        </w:tc>
        <w:tc>
          <w:tcPr>
            <w:tcW w:w="3837" w:type="pct"/>
            <w:tcBorders>
              <w:bottom w:val="nil"/>
            </w:tcBorders>
            <w:vAlign w:val="center"/>
          </w:tcPr>
          <w:p w14:paraId="0BEC4D55" w14:textId="77777777" w:rsidR="001245E4" w:rsidRPr="00F16A5E" w:rsidRDefault="001245E4" w:rsidP="001245E4">
            <w:r w:rsidRPr="00F16A5E">
              <w:t>Perform frontal and lateral chest X-rays</w:t>
            </w:r>
          </w:p>
        </w:tc>
      </w:tr>
      <w:tr w:rsidR="001245E4" w:rsidRPr="00F16A5E" w14:paraId="422B4602" w14:textId="77777777" w:rsidTr="001245E4">
        <w:trPr>
          <w:trHeight w:val="397"/>
        </w:trPr>
        <w:tc>
          <w:tcPr>
            <w:tcW w:w="1163" w:type="pct"/>
            <w:tcBorders>
              <w:bottom w:val="nil"/>
            </w:tcBorders>
            <w:vAlign w:val="center"/>
          </w:tcPr>
          <w:p w14:paraId="7DAA419E" w14:textId="77777777" w:rsidR="001245E4" w:rsidRPr="00F16A5E" w:rsidRDefault="001245E4" w:rsidP="001245E4">
            <w:r w:rsidRPr="00F16A5E">
              <w:t>SLE antibody</w:t>
            </w:r>
          </w:p>
        </w:tc>
        <w:tc>
          <w:tcPr>
            <w:tcW w:w="3837" w:type="pct"/>
            <w:tcBorders>
              <w:bottom w:val="nil"/>
            </w:tcBorders>
            <w:vAlign w:val="center"/>
          </w:tcPr>
          <w:p w14:paraId="07A438FF" w14:textId="77777777" w:rsidR="001245E4" w:rsidRPr="00F16A5E" w:rsidRDefault="001245E4" w:rsidP="001245E4">
            <w:r w:rsidRPr="00F16A5E">
              <w:t>anti-Smith antibody</w:t>
            </w:r>
          </w:p>
        </w:tc>
      </w:tr>
      <w:tr w:rsidR="001245E4" w:rsidRPr="00F16A5E" w14:paraId="721378B5" w14:textId="77777777" w:rsidTr="001245E4">
        <w:trPr>
          <w:trHeight w:val="397"/>
        </w:trPr>
        <w:tc>
          <w:tcPr>
            <w:tcW w:w="1163" w:type="pct"/>
            <w:tcBorders>
              <w:top w:val="nil"/>
              <w:bottom w:val="nil"/>
            </w:tcBorders>
            <w:vAlign w:val="center"/>
          </w:tcPr>
          <w:p w14:paraId="11299D7C" w14:textId="77777777" w:rsidR="001245E4" w:rsidRPr="00F16A5E" w:rsidRDefault="001245E4" w:rsidP="001245E4">
            <w:r w:rsidRPr="00F16A5E">
              <w:t>Blood pregnancy test</w:t>
            </w:r>
          </w:p>
        </w:tc>
        <w:tc>
          <w:tcPr>
            <w:tcW w:w="3837" w:type="pct"/>
            <w:tcBorders>
              <w:top w:val="nil"/>
              <w:bottom w:val="nil"/>
            </w:tcBorders>
            <w:vAlign w:val="center"/>
          </w:tcPr>
          <w:p w14:paraId="048B60F6" w14:textId="77777777" w:rsidR="001245E4" w:rsidRPr="00F16A5E" w:rsidRDefault="001245E4" w:rsidP="001245E4">
            <w:r w:rsidRPr="00F16A5E">
              <w:t>Human chorionic gonadotropin (HCG) only for female subjects of childbearing potential</w:t>
            </w:r>
          </w:p>
        </w:tc>
      </w:tr>
      <w:tr w:rsidR="001245E4" w:rsidRPr="00F16A5E" w14:paraId="3D0EF50E" w14:textId="77777777" w:rsidTr="001245E4">
        <w:trPr>
          <w:trHeight w:val="397"/>
        </w:trPr>
        <w:tc>
          <w:tcPr>
            <w:tcW w:w="1163" w:type="pct"/>
            <w:tcBorders>
              <w:top w:val="nil"/>
              <w:bottom w:val="nil"/>
            </w:tcBorders>
            <w:vAlign w:val="center"/>
          </w:tcPr>
          <w:p w14:paraId="700AB28F" w14:textId="77777777" w:rsidR="001245E4" w:rsidRPr="00F16A5E" w:rsidRDefault="001245E4" w:rsidP="001245E4">
            <w:r w:rsidRPr="00F16A5E">
              <w:t>TB screening</w:t>
            </w:r>
          </w:p>
        </w:tc>
        <w:tc>
          <w:tcPr>
            <w:tcW w:w="3837" w:type="pct"/>
            <w:tcBorders>
              <w:top w:val="nil"/>
              <w:bottom w:val="nil"/>
            </w:tcBorders>
            <w:vAlign w:val="center"/>
          </w:tcPr>
          <w:p w14:paraId="65710D0F" w14:textId="77777777" w:rsidR="001245E4" w:rsidRPr="00F16A5E" w:rsidRDefault="001245E4" w:rsidP="001245E4">
            <w:r w:rsidRPr="00F16A5E">
              <w:t>Interferon-γ release assay</w:t>
            </w:r>
          </w:p>
        </w:tc>
      </w:tr>
      <w:tr w:rsidR="001245E4" w:rsidRPr="00F16A5E" w14:paraId="7EF093A9" w14:textId="77777777" w:rsidTr="001245E4">
        <w:trPr>
          <w:trHeight w:val="397"/>
        </w:trPr>
        <w:tc>
          <w:tcPr>
            <w:tcW w:w="1163" w:type="pct"/>
            <w:tcBorders>
              <w:top w:val="nil"/>
              <w:bottom w:val="nil"/>
            </w:tcBorders>
            <w:vAlign w:val="center"/>
          </w:tcPr>
          <w:p w14:paraId="01DBF68D" w14:textId="77777777" w:rsidR="001245E4" w:rsidRPr="00F16A5E" w:rsidRDefault="001245E4" w:rsidP="001245E4">
            <w:r w:rsidRPr="00F16A5E">
              <w:t>serology HIV, HBV, HCV tests</w:t>
            </w:r>
          </w:p>
        </w:tc>
        <w:tc>
          <w:tcPr>
            <w:tcW w:w="3837" w:type="pct"/>
            <w:tcBorders>
              <w:top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054"/>
              <w:gridCol w:w="2977"/>
            </w:tblGrid>
            <w:tr w:rsidR="001245E4" w:rsidRPr="00F16A5E" w14:paraId="3B9D9845" w14:textId="77777777" w:rsidTr="001245E4">
              <w:trPr>
                <w:trHeight w:val="113"/>
              </w:trPr>
              <w:tc>
                <w:tcPr>
                  <w:tcW w:w="0" w:type="auto"/>
                  <w:shd w:val="clear" w:color="auto" w:fill="auto"/>
                  <w:vAlign w:val="center"/>
                </w:tcPr>
                <w:p w14:paraId="6E8E383E" w14:textId="77777777" w:rsidR="001245E4" w:rsidRPr="00F16A5E" w:rsidRDefault="001245E4" w:rsidP="001245E4"/>
              </w:tc>
              <w:tc>
                <w:tcPr>
                  <w:tcW w:w="3054" w:type="dxa"/>
                  <w:shd w:val="clear" w:color="auto" w:fill="auto"/>
                  <w:vAlign w:val="center"/>
                </w:tcPr>
                <w:p w14:paraId="61108521" w14:textId="77777777" w:rsidR="001245E4" w:rsidRPr="00F16A5E" w:rsidRDefault="001245E4" w:rsidP="001245E4">
                  <w:r w:rsidRPr="00F16A5E">
                    <w:t>Included</w:t>
                  </w:r>
                </w:p>
              </w:tc>
              <w:tc>
                <w:tcPr>
                  <w:tcW w:w="2977" w:type="dxa"/>
                  <w:shd w:val="clear" w:color="auto" w:fill="auto"/>
                  <w:vAlign w:val="center"/>
                </w:tcPr>
                <w:p w14:paraId="51D03567" w14:textId="77777777" w:rsidR="001245E4" w:rsidRPr="00F16A5E" w:rsidRDefault="001245E4" w:rsidP="001245E4">
                  <w:r w:rsidRPr="00F16A5E">
                    <w:t>Excluded</w:t>
                  </w:r>
                </w:p>
              </w:tc>
            </w:tr>
            <w:tr w:rsidR="001245E4" w:rsidRPr="00F16A5E" w14:paraId="1F500EA9" w14:textId="77777777" w:rsidTr="001245E4">
              <w:trPr>
                <w:trHeight w:val="113"/>
              </w:trPr>
              <w:tc>
                <w:tcPr>
                  <w:tcW w:w="0" w:type="auto"/>
                  <w:shd w:val="clear" w:color="auto" w:fill="auto"/>
                  <w:vAlign w:val="center"/>
                </w:tcPr>
                <w:p w14:paraId="27E75F77" w14:textId="77777777" w:rsidR="001245E4" w:rsidRPr="00F16A5E" w:rsidRDefault="001245E4" w:rsidP="001245E4">
                  <w:r w:rsidRPr="00F16A5E">
                    <w:t>HIV</w:t>
                  </w:r>
                </w:p>
              </w:tc>
              <w:tc>
                <w:tcPr>
                  <w:tcW w:w="3054" w:type="dxa"/>
                  <w:shd w:val="clear" w:color="auto" w:fill="auto"/>
                  <w:vAlign w:val="center"/>
                </w:tcPr>
                <w:p w14:paraId="72462E3F" w14:textId="77777777" w:rsidR="001245E4" w:rsidRPr="00F16A5E" w:rsidRDefault="001245E4" w:rsidP="001245E4">
                  <w:r w:rsidRPr="00F16A5E">
                    <w:t>Antibody (-)</w:t>
                  </w:r>
                </w:p>
              </w:tc>
              <w:tc>
                <w:tcPr>
                  <w:tcW w:w="2977" w:type="dxa"/>
                  <w:shd w:val="clear" w:color="auto" w:fill="auto"/>
                  <w:vAlign w:val="center"/>
                </w:tcPr>
                <w:p w14:paraId="096914CF" w14:textId="77777777" w:rsidR="001245E4" w:rsidRPr="00F16A5E" w:rsidRDefault="001245E4" w:rsidP="001245E4">
                  <w:r w:rsidRPr="00F16A5E">
                    <w:t>Antibody (+)</w:t>
                  </w:r>
                </w:p>
              </w:tc>
            </w:tr>
            <w:tr w:rsidR="001245E4" w:rsidRPr="00F16A5E" w14:paraId="3A351B7F" w14:textId="77777777" w:rsidTr="001245E4">
              <w:trPr>
                <w:trHeight w:val="113"/>
              </w:trPr>
              <w:tc>
                <w:tcPr>
                  <w:tcW w:w="0" w:type="auto"/>
                  <w:vMerge w:val="restart"/>
                  <w:shd w:val="clear" w:color="auto" w:fill="auto"/>
                  <w:vAlign w:val="center"/>
                </w:tcPr>
                <w:p w14:paraId="5D4F2B7B" w14:textId="77777777" w:rsidR="001245E4" w:rsidRPr="00F16A5E" w:rsidRDefault="001245E4" w:rsidP="001245E4">
                  <w:r w:rsidRPr="00F16A5E">
                    <w:t>HBV</w:t>
                  </w:r>
                </w:p>
              </w:tc>
              <w:tc>
                <w:tcPr>
                  <w:tcW w:w="3054" w:type="dxa"/>
                  <w:shd w:val="clear" w:color="auto" w:fill="auto"/>
                  <w:vAlign w:val="center"/>
                </w:tcPr>
                <w:p w14:paraId="4143EF77" w14:textId="77777777" w:rsidR="001245E4" w:rsidRPr="00F16A5E" w:rsidRDefault="001245E4" w:rsidP="001245E4">
                  <w:r w:rsidRPr="00F16A5E">
                    <w:t>HBsAg(-)</w:t>
                  </w:r>
                </w:p>
              </w:tc>
              <w:tc>
                <w:tcPr>
                  <w:tcW w:w="2977" w:type="dxa"/>
                  <w:shd w:val="clear" w:color="auto" w:fill="auto"/>
                  <w:vAlign w:val="center"/>
                </w:tcPr>
                <w:p w14:paraId="664683A4" w14:textId="77777777" w:rsidR="001245E4" w:rsidRPr="00F16A5E" w:rsidRDefault="001245E4" w:rsidP="001245E4">
                  <w:r w:rsidRPr="00F16A5E">
                    <w:t>HBsAg(+)</w:t>
                  </w:r>
                </w:p>
              </w:tc>
            </w:tr>
            <w:tr w:rsidR="001245E4" w:rsidRPr="00F16A5E" w14:paraId="13259645" w14:textId="77777777" w:rsidTr="001245E4">
              <w:trPr>
                <w:trHeight w:val="113"/>
              </w:trPr>
              <w:tc>
                <w:tcPr>
                  <w:tcW w:w="0" w:type="auto"/>
                  <w:vMerge/>
                  <w:shd w:val="clear" w:color="auto" w:fill="auto"/>
                  <w:vAlign w:val="center"/>
                </w:tcPr>
                <w:p w14:paraId="226CA6B6" w14:textId="77777777" w:rsidR="001245E4" w:rsidRPr="00F16A5E" w:rsidRDefault="001245E4" w:rsidP="001245E4"/>
              </w:tc>
              <w:tc>
                <w:tcPr>
                  <w:tcW w:w="3054" w:type="dxa"/>
                  <w:shd w:val="clear" w:color="auto" w:fill="auto"/>
                  <w:vAlign w:val="center"/>
                </w:tcPr>
                <w:p w14:paraId="3D446A36" w14:textId="77777777" w:rsidR="001245E4" w:rsidRPr="00F16A5E" w:rsidRDefault="001245E4" w:rsidP="001245E4">
                  <w:r w:rsidRPr="00F16A5E">
                    <w:t>HBsAg(-),</w:t>
                  </w:r>
                </w:p>
                <w:p w14:paraId="04AB6825" w14:textId="77777777" w:rsidR="001245E4" w:rsidRPr="00F16A5E" w:rsidRDefault="001245E4" w:rsidP="001245E4">
                  <w:proofErr w:type="spellStart"/>
                  <w:r w:rsidRPr="00F16A5E">
                    <w:t>HBcAb</w:t>
                  </w:r>
                  <w:proofErr w:type="spellEnd"/>
                  <w:r w:rsidRPr="00F16A5E">
                    <w:t>(+) and HBV DNA negative</w:t>
                  </w:r>
                </w:p>
              </w:tc>
              <w:tc>
                <w:tcPr>
                  <w:tcW w:w="2977" w:type="dxa"/>
                  <w:shd w:val="clear" w:color="auto" w:fill="auto"/>
                  <w:vAlign w:val="center"/>
                </w:tcPr>
                <w:p w14:paraId="3EC714B4" w14:textId="77777777" w:rsidR="001245E4" w:rsidRPr="00F16A5E" w:rsidRDefault="001245E4" w:rsidP="001245E4">
                  <w:r w:rsidRPr="00F16A5E">
                    <w:t>HBsAg(-),</w:t>
                  </w:r>
                </w:p>
                <w:p w14:paraId="76721F3E" w14:textId="77777777" w:rsidR="001245E4" w:rsidRPr="00F16A5E" w:rsidRDefault="001245E4" w:rsidP="001245E4">
                  <w:proofErr w:type="spellStart"/>
                  <w:r w:rsidRPr="00F16A5E">
                    <w:t>HBcAb</w:t>
                  </w:r>
                  <w:proofErr w:type="spellEnd"/>
                  <w:r w:rsidRPr="00F16A5E">
                    <w:t>(+) and HBV DNA positive</w:t>
                  </w:r>
                </w:p>
              </w:tc>
            </w:tr>
            <w:tr w:rsidR="001245E4" w:rsidRPr="00F16A5E" w14:paraId="592F11D1" w14:textId="77777777" w:rsidTr="001245E4">
              <w:trPr>
                <w:trHeight w:val="113"/>
              </w:trPr>
              <w:tc>
                <w:tcPr>
                  <w:tcW w:w="0" w:type="auto"/>
                  <w:shd w:val="clear" w:color="auto" w:fill="auto"/>
                  <w:vAlign w:val="center"/>
                </w:tcPr>
                <w:p w14:paraId="24029B93" w14:textId="77777777" w:rsidR="001245E4" w:rsidRPr="00F16A5E" w:rsidRDefault="001245E4" w:rsidP="001245E4">
                  <w:r w:rsidRPr="00F16A5E">
                    <w:t>HCV</w:t>
                  </w:r>
                </w:p>
              </w:tc>
              <w:tc>
                <w:tcPr>
                  <w:tcW w:w="3054" w:type="dxa"/>
                  <w:shd w:val="clear" w:color="auto" w:fill="auto"/>
                  <w:vAlign w:val="center"/>
                </w:tcPr>
                <w:p w14:paraId="13172D52" w14:textId="77777777" w:rsidR="001245E4" w:rsidRPr="00F16A5E" w:rsidRDefault="001245E4" w:rsidP="001245E4">
                  <w:r w:rsidRPr="00F16A5E">
                    <w:t>Antibody (-)</w:t>
                  </w:r>
                </w:p>
              </w:tc>
              <w:tc>
                <w:tcPr>
                  <w:tcW w:w="2977" w:type="dxa"/>
                  <w:shd w:val="clear" w:color="auto" w:fill="auto"/>
                  <w:vAlign w:val="center"/>
                </w:tcPr>
                <w:p w14:paraId="7B32713C" w14:textId="77777777" w:rsidR="001245E4" w:rsidRPr="00F16A5E" w:rsidRDefault="001245E4" w:rsidP="001245E4">
                  <w:r w:rsidRPr="00F16A5E">
                    <w:t>Antibody (+)</w:t>
                  </w:r>
                </w:p>
              </w:tc>
            </w:tr>
          </w:tbl>
          <w:p w14:paraId="7DCB650D" w14:textId="77777777" w:rsidR="001245E4" w:rsidRPr="00F16A5E" w:rsidRDefault="001245E4" w:rsidP="001245E4"/>
        </w:tc>
      </w:tr>
      <w:tr w:rsidR="001245E4" w:rsidRPr="00F16A5E" w14:paraId="1A284EF5" w14:textId="77777777" w:rsidTr="001245E4">
        <w:trPr>
          <w:trHeight w:val="397"/>
        </w:trPr>
        <w:tc>
          <w:tcPr>
            <w:tcW w:w="1163" w:type="pct"/>
            <w:tcBorders>
              <w:bottom w:val="nil"/>
            </w:tcBorders>
            <w:vAlign w:val="center"/>
          </w:tcPr>
          <w:p w14:paraId="6E5DC8FB" w14:textId="77777777" w:rsidR="001245E4" w:rsidRPr="00F16A5E" w:rsidRDefault="001245E4" w:rsidP="001245E4">
            <w:r w:rsidRPr="00F16A5E">
              <w:t>Electrocardiography</w:t>
            </w:r>
          </w:p>
        </w:tc>
        <w:tc>
          <w:tcPr>
            <w:tcW w:w="3837" w:type="pct"/>
            <w:tcBorders>
              <w:bottom w:val="nil"/>
            </w:tcBorders>
            <w:vAlign w:val="center"/>
          </w:tcPr>
          <w:p w14:paraId="1EF43880" w14:textId="77777777" w:rsidR="001245E4" w:rsidRPr="00F16A5E" w:rsidRDefault="001245E4" w:rsidP="001245E4">
            <w:r w:rsidRPr="00F16A5E">
              <w:t>Standard 12-lead ECG</w:t>
            </w:r>
          </w:p>
        </w:tc>
      </w:tr>
      <w:tr w:rsidR="001245E4" w:rsidRPr="00F16A5E" w14:paraId="62C76641" w14:textId="77777777" w:rsidTr="001245E4">
        <w:trPr>
          <w:trHeight w:val="397"/>
        </w:trPr>
        <w:tc>
          <w:tcPr>
            <w:tcW w:w="1163" w:type="pct"/>
            <w:tcBorders>
              <w:bottom w:val="nil"/>
            </w:tcBorders>
            <w:vAlign w:val="center"/>
          </w:tcPr>
          <w:p w14:paraId="1769D949" w14:textId="77777777" w:rsidR="001245E4" w:rsidRPr="00F16A5E" w:rsidRDefault="001245E4" w:rsidP="001245E4">
            <w:r w:rsidRPr="00F16A5E">
              <w:t>Echocardiography</w:t>
            </w:r>
          </w:p>
        </w:tc>
        <w:tc>
          <w:tcPr>
            <w:tcW w:w="3837" w:type="pct"/>
            <w:tcBorders>
              <w:bottom w:val="nil"/>
            </w:tcBorders>
            <w:vAlign w:val="center"/>
          </w:tcPr>
          <w:p w14:paraId="52C1758C" w14:textId="77777777" w:rsidR="001245E4" w:rsidRPr="00F16A5E" w:rsidRDefault="001245E4" w:rsidP="001245E4">
            <w:r w:rsidRPr="00F16A5E">
              <w:t>Left Ventricular Ejection Fraction (LVEF)</w:t>
            </w:r>
          </w:p>
        </w:tc>
      </w:tr>
      <w:tr w:rsidR="001245E4" w:rsidRPr="00F16A5E" w14:paraId="5E6FFCE8" w14:textId="77777777" w:rsidTr="001245E4">
        <w:trPr>
          <w:trHeight w:val="397"/>
        </w:trPr>
        <w:tc>
          <w:tcPr>
            <w:tcW w:w="1163" w:type="pct"/>
            <w:tcBorders>
              <w:bottom w:val="nil"/>
            </w:tcBorders>
            <w:vAlign w:val="center"/>
          </w:tcPr>
          <w:p w14:paraId="16AAC91F" w14:textId="77777777" w:rsidR="001245E4" w:rsidRPr="00F16A5E" w:rsidRDefault="001245E4" w:rsidP="001245E4">
            <w:r w:rsidRPr="00F16A5E">
              <w:t>Adverse event recording</w:t>
            </w:r>
          </w:p>
        </w:tc>
        <w:tc>
          <w:tcPr>
            <w:tcW w:w="3837" w:type="pct"/>
            <w:tcBorders>
              <w:bottom w:val="nil"/>
            </w:tcBorders>
            <w:vAlign w:val="center"/>
          </w:tcPr>
          <w:p w14:paraId="30F26741" w14:textId="77777777" w:rsidR="001245E4" w:rsidRPr="00F16A5E" w:rsidRDefault="001245E4" w:rsidP="001245E4">
            <w:r w:rsidRPr="00F16A5E">
              <w:t>/</w:t>
            </w:r>
          </w:p>
        </w:tc>
      </w:tr>
      <w:tr w:rsidR="001245E4" w:rsidRPr="00F16A5E" w14:paraId="65C7820A" w14:textId="77777777" w:rsidTr="001245E4">
        <w:trPr>
          <w:trHeight w:val="397"/>
        </w:trPr>
        <w:tc>
          <w:tcPr>
            <w:tcW w:w="5000" w:type="pct"/>
            <w:gridSpan w:val="2"/>
            <w:tcBorders>
              <w:top w:val="nil"/>
              <w:bottom w:val="nil"/>
            </w:tcBorders>
            <w:shd w:val="clear" w:color="auto" w:fill="D9E2F3"/>
            <w:vAlign w:val="center"/>
          </w:tcPr>
          <w:p w14:paraId="09463763" w14:textId="77777777" w:rsidR="001245E4" w:rsidRPr="00F16A5E" w:rsidRDefault="001245E4" w:rsidP="001245E4">
            <w:pPr>
              <w:jc w:val="center"/>
              <w:rPr>
                <w:b/>
                <w:bCs/>
              </w:rPr>
            </w:pPr>
            <w:r w:rsidRPr="00F16A5E">
              <w:rPr>
                <w:b/>
                <w:bCs/>
              </w:rPr>
              <w:t>Other Evaluations</w:t>
            </w:r>
          </w:p>
        </w:tc>
      </w:tr>
      <w:tr w:rsidR="001245E4" w:rsidRPr="00F16A5E" w14:paraId="3E241352" w14:textId="77777777" w:rsidTr="001245E4">
        <w:trPr>
          <w:trHeight w:val="397"/>
        </w:trPr>
        <w:tc>
          <w:tcPr>
            <w:tcW w:w="1163" w:type="pct"/>
            <w:tcBorders>
              <w:top w:val="nil"/>
              <w:bottom w:val="nil"/>
            </w:tcBorders>
            <w:vAlign w:val="center"/>
          </w:tcPr>
          <w:p w14:paraId="31D4B8DD" w14:textId="77777777" w:rsidR="001245E4" w:rsidRPr="00F16A5E" w:rsidRDefault="001245E4" w:rsidP="001245E4">
            <w:r w:rsidRPr="00F16A5E">
              <w:t>PD study</w:t>
            </w:r>
          </w:p>
        </w:tc>
        <w:tc>
          <w:tcPr>
            <w:tcW w:w="3837" w:type="pct"/>
            <w:tcBorders>
              <w:top w:val="nil"/>
              <w:bottom w:val="nil"/>
            </w:tcBorders>
            <w:vAlign w:val="center"/>
          </w:tcPr>
          <w:p w14:paraId="48C4BA18" w14:textId="77777777" w:rsidR="001245E4" w:rsidRPr="00F16A5E" w:rsidRDefault="001245E4" w:rsidP="001245E4">
            <w:r w:rsidRPr="00F16A5E">
              <w:t>serum Ig levels, complement C3, complement C4, anti-dsDNA antibody, ANA</w:t>
            </w:r>
          </w:p>
        </w:tc>
      </w:tr>
      <w:tr w:rsidR="001245E4" w:rsidRPr="00F16A5E" w14:paraId="3007C257" w14:textId="77777777" w:rsidTr="001245E4">
        <w:trPr>
          <w:trHeight w:val="397"/>
        </w:trPr>
        <w:tc>
          <w:tcPr>
            <w:tcW w:w="1163" w:type="pct"/>
            <w:tcBorders>
              <w:top w:val="nil"/>
              <w:bottom w:val="nil"/>
            </w:tcBorders>
            <w:vAlign w:val="center"/>
          </w:tcPr>
          <w:p w14:paraId="0905FA26" w14:textId="77777777" w:rsidR="001245E4" w:rsidRPr="00F16A5E" w:rsidRDefault="001245E4" w:rsidP="001245E4">
            <w:r w:rsidRPr="00F16A5E">
              <w:t>Target Occupancy</w:t>
            </w:r>
          </w:p>
        </w:tc>
        <w:tc>
          <w:tcPr>
            <w:tcW w:w="3837" w:type="pct"/>
            <w:tcBorders>
              <w:top w:val="nil"/>
              <w:bottom w:val="nil"/>
            </w:tcBorders>
            <w:vAlign w:val="center"/>
          </w:tcPr>
          <w:p w14:paraId="455A309D" w14:textId="77777777" w:rsidR="001245E4" w:rsidRPr="00F16A5E" w:rsidRDefault="001245E4" w:rsidP="001245E4">
            <w:r w:rsidRPr="00F16A5E">
              <w:t>BTK occupation</w:t>
            </w:r>
          </w:p>
        </w:tc>
      </w:tr>
      <w:tr w:rsidR="001245E4" w:rsidRPr="00F16A5E" w14:paraId="0A4E88A4" w14:textId="77777777" w:rsidTr="001245E4">
        <w:trPr>
          <w:trHeight w:val="397"/>
        </w:trPr>
        <w:tc>
          <w:tcPr>
            <w:tcW w:w="1163" w:type="pct"/>
            <w:vAlign w:val="center"/>
          </w:tcPr>
          <w:p w14:paraId="34B74C23" w14:textId="39707441" w:rsidR="001245E4" w:rsidRPr="00F16A5E" w:rsidRDefault="001245E4" w:rsidP="001245E4">
            <w:r w:rsidRPr="00F16A5E">
              <w:t>Protein urine 24-hour quantification</w:t>
            </w:r>
          </w:p>
        </w:tc>
        <w:tc>
          <w:tcPr>
            <w:tcW w:w="3837" w:type="pct"/>
            <w:vAlign w:val="center"/>
          </w:tcPr>
          <w:p w14:paraId="76F0ADF5" w14:textId="77777777" w:rsidR="001245E4" w:rsidRPr="00F16A5E" w:rsidRDefault="001245E4" w:rsidP="001245E4">
            <w:r w:rsidRPr="00F16A5E">
              <w:t>urine protein 24-hour quantitative determination is required during the screening period.</w:t>
            </w:r>
          </w:p>
        </w:tc>
      </w:tr>
      <w:tr w:rsidR="001245E4" w:rsidRPr="00F16A5E" w14:paraId="517FA3F0" w14:textId="77777777" w:rsidTr="001245E4">
        <w:trPr>
          <w:trHeight w:val="397"/>
        </w:trPr>
        <w:tc>
          <w:tcPr>
            <w:tcW w:w="1163" w:type="pct"/>
            <w:tcBorders>
              <w:top w:val="nil"/>
              <w:bottom w:val="nil"/>
            </w:tcBorders>
            <w:vAlign w:val="center"/>
          </w:tcPr>
          <w:p w14:paraId="01DCC024" w14:textId="77777777" w:rsidR="001245E4" w:rsidRPr="00F16A5E" w:rsidDel="00271041" w:rsidRDefault="001245E4" w:rsidP="001245E4">
            <w:r w:rsidRPr="00F16A5E">
              <w:t>SLEDAI-2K</w:t>
            </w:r>
          </w:p>
        </w:tc>
        <w:tc>
          <w:tcPr>
            <w:tcW w:w="3837" w:type="pct"/>
            <w:tcBorders>
              <w:top w:val="nil"/>
              <w:bottom w:val="nil"/>
            </w:tcBorders>
            <w:vAlign w:val="center"/>
          </w:tcPr>
          <w:p w14:paraId="0CC3E046" w14:textId="77777777" w:rsidR="001245E4" w:rsidRPr="00F16A5E" w:rsidDel="00271041" w:rsidRDefault="001245E4" w:rsidP="001245E4">
            <w:r w:rsidRPr="00F16A5E">
              <w:t>Perform SLEDAI-2K evaluation</w:t>
            </w:r>
          </w:p>
        </w:tc>
      </w:tr>
      <w:tr w:rsidR="001245E4" w:rsidRPr="00F16A5E" w14:paraId="5C76FEE1" w14:textId="77777777" w:rsidTr="001245E4">
        <w:trPr>
          <w:trHeight w:val="397"/>
        </w:trPr>
        <w:tc>
          <w:tcPr>
            <w:tcW w:w="1163" w:type="pct"/>
            <w:tcBorders>
              <w:top w:val="nil"/>
              <w:bottom w:val="nil"/>
            </w:tcBorders>
            <w:vAlign w:val="center"/>
          </w:tcPr>
          <w:p w14:paraId="28C11C1A" w14:textId="77777777" w:rsidR="001245E4" w:rsidRPr="00F16A5E" w:rsidDel="00271041" w:rsidRDefault="001245E4" w:rsidP="001245E4">
            <w:r w:rsidRPr="00F16A5E">
              <w:t>BILAG-2004</w:t>
            </w:r>
          </w:p>
        </w:tc>
        <w:tc>
          <w:tcPr>
            <w:tcW w:w="3837" w:type="pct"/>
            <w:tcBorders>
              <w:top w:val="nil"/>
              <w:bottom w:val="nil"/>
            </w:tcBorders>
            <w:vAlign w:val="center"/>
          </w:tcPr>
          <w:p w14:paraId="135FC78C" w14:textId="77777777" w:rsidR="001245E4" w:rsidRPr="00F16A5E" w:rsidDel="00271041" w:rsidRDefault="001245E4" w:rsidP="001245E4">
            <w:r w:rsidRPr="00F16A5E">
              <w:t>Perform BILAG-2004 evaluation</w:t>
            </w:r>
          </w:p>
        </w:tc>
      </w:tr>
      <w:tr w:rsidR="001245E4" w:rsidRPr="00F16A5E" w14:paraId="153C794A" w14:textId="77777777" w:rsidTr="001245E4">
        <w:trPr>
          <w:trHeight w:val="397"/>
        </w:trPr>
        <w:tc>
          <w:tcPr>
            <w:tcW w:w="1163" w:type="pct"/>
            <w:tcBorders>
              <w:top w:val="nil"/>
              <w:bottom w:val="nil"/>
            </w:tcBorders>
            <w:vAlign w:val="center"/>
          </w:tcPr>
          <w:p w14:paraId="5C1CE058" w14:textId="77777777" w:rsidR="001245E4" w:rsidRPr="00F16A5E" w:rsidDel="00271041" w:rsidRDefault="001245E4" w:rsidP="001245E4">
            <w:r w:rsidRPr="00F16A5E">
              <w:t>PGA</w:t>
            </w:r>
          </w:p>
        </w:tc>
        <w:tc>
          <w:tcPr>
            <w:tcW w:w="3837" w:type="pct"/>
            <w:tcBorders>
              <w:top w:val="nil"/>
              <w:bottom w:val="nil"/>
            </w:tcBorders>
            <w:vAlign w:val="center"/>
          </w:tcPr>
          <w:p w14:paraId="5AD76B4E" w14:textId="77777777" w:rsidR="001245E4" w:rsidRPr="00F16A5E" w:rsidDel="00271041" w:rsidRDefault="001245E4" w:rsidP="001245E4">
            <w:r w:rsidRPr="00F16A5E">
              <w:t>Perform PGA evaluation</w:t>
            </w:r>
          </w:p>
        </w:tc>
      </w:tr>
      <w:tr w:rsidR="001245E4" w:rsidRPr="00F16A5E" w14:paraId="03B4CD14" w14:textId="77777777" w:rsidTr="001245E4">
        <w:trPr>
          <w:trHeight w:val="397"/>
        </w:trPr>
        <w:tc>
          <w:tcPr>
            <w:tcW w:w="1163" w:type="pct"/>
            <w:tcBorders>
              <w:top w:val="nil"/>
              <w:bottom w:val="single" w:sz="4" w:space="0" w:color="auto"/>
            </w:tcBorders>
            <w:vAlign w:val="center"/>
          </w:tcPr>
          <w:p w14:paraId="4C05B937" w14:textId="77777777" w:rsidR="001245E4" w:rsidRPr="00F16A5E" w:rsidRDefault="001245E4" w:rsidP="001245E4">
            <w:r w:rsidRPr="00F16A5E">
              <w:t>Joint evaluation</w:t>
            </w:r>
          </w:p>
        </w:tc>
        <w:tc>
          <w:tcPr>
            <w:tcW w:w="3837" w:type="pct"/>
            <w:tcBorders>
              <w:top w:val="nil"/>
              <w:bottom w:val="single" w:sz="4" w:space="0" w:color="auto"/>
            </w:tcBorders>
            <w:vAlign w:val="center"/>
          </w:tcPr>
          <w:p w14:paraId="129F48B4" w14:textId="77777777" w:rsidR="001245E4" w:rsidRPr="00F16A5E" w:rsidRDefault="001245E4" w:rsidP="001245E4">
            <w:r w:rsidRPr="00F16A5E">
              <w:t>66/68 joint counting</w:t>
            </w:r>
          </w:p>
        </w:tc>
      </w:tr>
    </w:tbl>
    <w:p w14:paraId="782B1631" w14:textId="176C9386"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177" w:name="_Toc487477891"/>
      <w:bookmarkStart w:id="178" w:name="_Toc7170253"/>
      <w:bookmarkStart w:id="179" w:name="_Toc9456196"/>
      <w:bookmarkStart w:id="180" w:name="_Toc20224872"/>
      <w:bookmarkStart w:id="181" w:name="_Toc71149174"/>
      <w:r w:rsidRPr="00F16A5E">
        <w:rPr>
          <w:rFonts w:ascii="Times New Roman" w:eastAsia="宋体" w:hAnsi="Times New Roman"/>
          <w:sz w:val="24"/>
        </w:rPr>
        <w:t>6.2</w:t>
      </w:r>
      <w:bookmarkEnd w:id="177"/>
      <w:bookmarkEnd w:id="178"/>
      <w:bookmarkEnd w:id="179"/>
      <w:bookmarkEnd w:id="180"/>
      <w:r w:rsidR="001245E4" w:rsidRPr="00F16A5E">
        <w:rPr>
          <w:rFonts w:ascii="Times New Roman" w:eastAsia="宋体" w:hAnsi="Times New Roman"/>
          <w:sz w:val="24"/>
        </w:rPr>
        <w:tab/>
        <w:t>Visits During the Study</w:t>
      </w:r>
      <w:bookmarkEnd w:id="181"/>
    </w:p>
    <w:p w14:paraId="27FF4153" w14:textId="252DEEFB" w:rsidR="006E18E9" w:rsidRPr="00F16A5E" w:rsidRDefault="006E18E9" w:rsidP="006E18E9">
      <w:pPr>
        <w:pStyle w:val="3"/>
        <w:keepLines w:val="0"/>
        <w:spacing w:before="60" w:after="60" w:line="360" w:lineRule="auto"/>
        <w:rPr>
          <w:sz w:val="24"/>
          <w:szCs w:val="24"/>
        </w:rPr>
      </w:pPr>
      <w:bookmarkStart w:id="182" w:name="_Toc9456197"/>
      <w:bookmarkStart w:id="183" w:name="_Toc20224873"/>
      <w:bookmarkStart w:id="184" w:name="_Toc71149175"/>
      <w:r w:rsidRPr="00F16A5E">
        <w:rPr>
          <w:sz w:val="24"/>
          <w:szCs w:val="24"/>
        </w:rPr>
        <w:t>6.2.1</w:t>
      </w:r>
      <w:bookmarkEnd w:id="182"/>
      <w:bookmarkEnd w:id="183"/>
      <w:r w:rsidR="001245E4" w:rsidRPr="00F16A5E">
        <w:rPr>
          <w:sz w:val="24"/>
          <w:szCs w:val="24"/>
        </w:rPr>
        <w:tab/>
        <w:t>Visits During the Treatment Period (Day 1-84)</w:t>
      </w:r>
      <w:bookmarkEnd w:id="184"/>
    </w:p>
    <w:p w14:paraId="5A16A6AA" w14:textId="22BBECFF" w:rsidR="00F8210B" w:rsidRPr="00F16A5E" w:rsidRDefault="001245E4" w:rsidP="001245E4">
      <w:pPr>
        <w:spacing w:beforeLines="50" w:before="156" w:line="300" w:lineRule="auto"/>
      </w:pPr>
      <w:r w:rsidRPr="00F16A5E">
        <w:rPr>
          <w:sz w:val="24"/>
        </w:rPr>
        <w:t xml:space="preserve">Depending on the clinical situation, the investigator should perform relevant tests such as Coombs, anticardiolipin antibody test, lupus anticoagulant test and haptoglobin test as indicated by BILAG criteria. The </w:t>
      </w:r>
      <w:proofErr w:type="spellStart"/>
      <w:r w:rsidRPr="00F16A5E">
        <w:rPr>
          <w:sz w:val="24"/>
        </w:rPr>
        <w:t>haematology</w:t>
      </w:r>
      <w:proofErr w:type="spellEnd"/>
      <w:r w:rsidRPr="00F16A5E">
        <w:rPr>
          <w:sz w:val="24"/>
        </w:rPr>
        <w:t xml:space="preserve">, urinalysis, blood chemistry, electrolytes, amylase &amp; lipase, and coagulation results within 5 days before the first dose can be accepted at D1. If more than 5 days, the tests should be repeated at D1. </w:t>
      </w:r>
      <w:r w:rsidR="000B0576" w:rsidRPr="00F16A5E">
        <w:rPr>
          <w:sz w:val="24"/>
        </w:rPr>
        <w:t>Each subject will be assigned a</w:t>
      </w:r>
      <w:r w:rsidRPr="00F16A5E">
        <w:rPr>
          <w:sz w:val="24"/>
        </w:rPr>
        <w:t xml:space="preserve"> randomization number before the Day 1 administration.</w:t>
      </w:r>
    </w:p>
    <w:p w14:paraId="0BA586B6" w14:textId="1E7FAC7C" w:rsidR="006E18E9" w:rsidRPr="00F16A5E" w:rsidRDefault="001245E4" w:rsidP="006E18E9">
      <w:pPr>
        <w:keepNext/>
        <w:spacing w:line="360" w:lineRule="auto"/>
        <w:jc w:val="center"/>
        <w:rPr>
          <w:b/>
          <w:color w:val="0D0D0D"/>
          <w:sz w:val="24"/>
          <w:szCs w:val="21"/>
          <w:lang w:val="en-GB"/>
        </w:rPr>
      </w:pPr>
      <w:r w:rsidRPr="00F16A5E">
        <w:rPr>
          <w:b/>
          <w:color w:val="0D0D0D"/>
          <w:sz w:val="24"/>
          <w:szCs w:val="21"/>
          <w:lang w:val="en-GB"/>
        </w:rPr>
        <w:lastRenderedPageBreak/>
        <w:t xml:space="preserve">Table </w:t>
      </w:r>
      <w:r w:rsidR="0079358D" w:rsidRPr="00F16A5E">
        <w:rPr>
          <w:b/>
          <w:color w:val="0D0D0D"/>
          <w:sz w:val="24"/>
          <w:szCs w:val="21"/>
          <w:lang w:val="en-GB"/>
        </w:rPr>
        <w:t>4</w:t>
      </w:r>
      <w:r w:rsidR="006E18E9" w:rsidRPr="00F16A5E">
        <w:rPr>
          <w:b/>
          <w:color w:val="0D0D0D"/>
          <w:sz w:val="24"/>
          <w:szCs w:val="21"/>
          <w:lang w:val="en-GB"/>
        </w:rPr>
        <w:t>.</w:t>
      </w:r>
      <w:r w:rsidRPr="00F16A5E">
        <w:rPr>
          <w:b/>
          <w:color w:val="0D0D0D"/>
          <w:sz w:val="24"/>
          <w:szCs w:val="21"/>
          <w:lang w:val="en-GB"/>
        </w:rPr>
        <w:tab/>
        <w:t>Items for Treatment Period Visits</w:t>
      </w:r>
    </w:p>
    <w:tbl>
      <w:tblPr>
        <w:tblW w:w="5000" w:type="pct"/>
        <w:tblBorders>
          <w:top w:val="single" w:sz="8" w:space="0" w:color="auto"/>
          <w:bottom w:val="single" w:sz="8" w:space="0" w:color="auto"/>
        </w:tblBorders>
        <w:tblLook w:val="0000" w:firstRow="0" w:lastRow="0" w:firstColumn="0" w:lastColumn="0" w:noHBand="0" w:noVBand="0"/>
      </w:tblPr>
      <w:tblGrid>
        <w:gridCol w:w="2242"/>
        <w:gridCol w:w="7396"/>
      </w:tblGrid>
      <w:tr w:rsidR="000B0576" w:rsidRPr="00F16A5E" w14:paraId="6DF84D1C" w14:textId="77777777" w:rsidTr="000B0576">
        <w:trPr>
          <w:trHeight w:val="397"/>
          <w:tblHeader/>
        </w:trPr>
        <w:tc>
          <w:tcPr>
            <w:tcW w:w="1163" w:type="pct"/>
            <w:tcBorders>
              <w:top w:val="single" w:sz="8" w:space="0" w:color="auto"/>
              <w:bottom w:val="single" w:sz="8" w:space="0" w:color="auto"/>
            </w:tcBorders>
            <w:shd w:val="clear" w:color="auto" w:fill="E7E6E6"/>
            <w:vAlign w:val="center"/>
          </w:tcPr>
          <w:p w14:paraId="41899476" w14:textId="77777777" w:rsidR="000B0576" w:rsidRPr="00F16A5E" w:rsidRDefault="000B0576" w:rsidP="000B0576">
            <w:pPr>
              <w:rPr>
                <w:b/>
                <w:bCs/>
              </w:rPr>
            </w:pPr>
            <w:r w:rsidRPr="00F16A5E">
              <w:rPr>
                <w:b/>
                <w:bCs/>
              </w:rPr>
              <w:t>Items</w:t>
            </w:r>
          </w:p>
        </w:tc>
        <w:tc>
          <w:tcPr>
            <w:tcW w:w="3837" w:type="pct"/>
            <w:tcBorders>
              <w:top w:val="single" w:sz="8" w:space="0" w:color="auto"/>
              <w:bottom w:val="single" w:sz="8" w:space="0" w:color="auto"/>
            </w:tcBorders>
            <w:shd w:val="clear" w:color="auto" w:fill="E7E6E6"/>
            <w:vAlign w:val="center"/>
          </w:tcPr>
          <w:p w14:paraId="56113A59" w14:textId="77777777" w:rsidR="000B0576" w:rsidRPr="00F16A5E" w:rsidRDefault="000B0576" w:rsidP="000B0576">
            <w:pPr>
              <w:rPr>
                <w:b/>
                <w:bCs/>
              </w:rPr>
            </w:pPr>
            <w:r w:rsidRPr="00F16A5E">
              <w:rPr>
                <w:b/>
                <w:bCs/>
              </w:rPr>
              <w:t>Notes</w:t>
            </w:r>
          </w:p>
        </w:tc>
      </w:tr>
      <w:tr w:rsidR="000B0576" w:rsidRPr="00F16A5E" w14:paraId="15976176" w14:textId="77777777" w:rsidTr="000B0576">
        <w:trPr>
          <w:trHeight w:val="397"/>
        </w:trPr>
        <w:tc>
          <w:tcPr>
            <w:tcW w:w="5000" w:type="pct"/>
            <w:gridSpan w:val="2"/>
            <w:tcBorders>
              <w:top w:val="single" w:sz="8" w:space="0" w:color="auto"/>
              <w:bottom w:val="nil"/>
            </w:tcBorders>
            <w:shd w:val="clear" w:color="auto" w:fill="D9E2F3"/>
            <w:vAlign w:val="center"/>
          </w:tcPr>
          <w:p w14:paraId="69B310C6" w14:textId="5A00170D" w:rsidR="000B0576" w:rsidRPr="00F16A5E" w:rsidRDefault="000B0576" w:rsidP="00426E35">
            <w:pPr>
              <w:jc w:val="center"/>
              <w:rPr>
                <w:b/>
                <w:bCs/>
              </w:rPr>
            </w:pPr>
            <w:r w:rsidRPr="00F16A5E">
              <w:rPr>
                <w:b/>
                <w:bCs/>
              </w:rPr>
              <w:t>Study Procedure</w:t>
            </w:r>
            <w:r w:rsidR="00426E35" w:rsidRPr="00F16A5E">
              <w:rPr>
                <w:b/>
                <w:bCs/>
              </w:rPr>
              <w:t xml:space="preserve"> Management</w:t>
            </w:r>
          </w:p>
        </w:tc>
      </w:tr>
      <w:tr w:rsidR="000B0576" w:rsidRPr="00F16A5E" w14:paraId="6D03B027" w14:textId="77777777" w:rsidTr="000B0576">
        <w:trPr>
          <w:trHeight w:val="397"/>
        </w:trPr>
        <w:tc>
          <w:tcPr>
            <w:tcW w:w="1163" w:type="pct"/>
            <w:tcBorders>
              <w:top w:val="nil"/>
              <w:bottom w:val="nil"/>
            </w:tcBorders>
            <w:vAlign w:val="center"/>
          </w:tcPr>
          <w:p w14:paraId="6B82A410" w14:textId="77777777" w:rsidR="000B0576" w:rsidRPr="00F16A5E" w:rsidRDefault="000B0576" w:rsidP="000B0576">
            <w:r w:rsidRPr="00F16A5E">
              <w:t>Concomitant medication records</w:t>
            </w:r>
          </w:p>
        </w:tc>
        <w:tc>
          <w:tcPr>
            <w:tcW w:w="3837" w:type="pct"/>
            <w:tcBorders>
              <w:top w:val="nil"/>
              <w:bottom w:val="nil"/>
            </w:tcBorders>
            <w:vAlign w:val="center"/>
          </w:tcPr>
          <w:p w14:paraId="0DDCDC7F" w14:textId="77777777" w:rsidR="000B0576" w:rsidRPr="00F16A5E" w:rsidRDefault="000B0576" w:rsidP="000B0576">
            <w:r w:rsidRPr="00F16A5E">
              <w:t>Record concomitant medication</w:t>
            </w:r>
          </w:p>
        </w:tc>
      </w:tr>
      <w:tr w:rsidR="000B0576" w:rsidRPr="00F16A5E" w14:paraId="4C94E0C8" w14:textId="77777777" w:rsidTr="000B0576">
        <w:trPr>
          <w:trHeight w:val="397"/>
        </w:trPr>
        <w:tc>
          <w:tcPr>
            <w:tcW w:w="1163" w:type="pct"/>
            <w:tcBorders>
              <w:top w:val="nil"/>
              <w:bottom w:val="nil"/>
            </w:tcBorders>
            <w:vAlign w:val="center"/>
          </w:tcPr>
          <w:p w14:paraId="4189B4F7" w14:textId="77777777" w:rsidR="000B0576" w:rsidRPr="00F16A5E" w:rsidRDefault="000B0576" w:rsidP="000B0576">
            <w:r w:rsidRPr="00F16A5E">
              <w:t>Demographics</w:t>
            </w:r>
          </w:p>
        </w:tc>
        <w:tc>
          <w:tcPr>
            <w:tcW w:w="3837" w:type="pct"/>
            <w:tcBorders>
              <w:top w:val="nil"/>
              <w:bottom w:val="nil"/>
            </w:tcBorders>
            <w:vAlign w:val="center"/>
          </w:tcPr>
          <w:p w14:paraId="5AF037AD" w14:textId="77777777" w:rsidR="000B0576" w:rsidRPr="00F16A5E" w:rsidRDefault="000B0576" w:rsidP="000B0576">
            <w:r w:rsidRPr="00F16A5E">
              <w:t>Only body weight</w:t>
            </w:r>
          </w:p>
        </w:tc>
      </w:tr>
      <w:tr w:rsidR="000B0576" w:rsidRPr="00F16A5E" w14:paraId="492C882F" w14:textId="77777777" w:rsidTr="000B0576">
        <w:trPr>
          <w:trHeight w:val="397"/>
        </w:trPr>
        <w:tc>
          <w:tcPr>
            <w:tcW w:w="1163" w:type="pct"/>
            <w:tcBorders>
              <w:top w:val="nil"/>
              <w:bottom w:val="nil"/>
            </w:tcBorders>
            <w:vAlign w:val="center"/>
          </w:tcPr>
          <w:p w14:paraId="068038F1" w14:textId="77777777" w:rsidR="000B0576" w:rsidRPr="00F16A5E" w:rsidRDefault="000B0576" w:rsidP="000B0576">
            <w:r w:rsidRPr="00F16A5E">
              <w:t>Randomization</w:t>
            </w:r>
          </w:p>
        </w:tc>
        <w:tc>
          <w:tcPr>
            <w:tcW w:w="3837" w:type="pct"/>
            <w:tcBorders>
              <w:top w:val="nil"/>
              <w:bottom w:val="nil"/>
            </w:tcBorders>
            <w:vAlign w:val="center"/>
          </w:tcPr>
          <w:p w14:paraId="001538B1" w14:textId="77777777" w:rsidR="000B0576" w:rsidRPr="00F16A5E" w:rsidRDefault="000B0576" w:rsidP="000B0576">
            <w:r w:rsidRPr="00F16A5E">
              <w:t>A randomization number will be assigned before the Day 1 administration.</w:t>
            </w:r>
          </w:p>
        </w:tc>
      </w:tr>
      <w:tr w:rsidR="000B0576" w:rsidRPr="00F16A5E" w14:paraId="34B708C1" w14:textId="77777777" w:rsidTr="000B0576">
        <w:trPr>
          <w:trHeight w:val="397"/>
        </w:trPr>
        <w:tc>
          <w:tcPr>
            <w:tcW w:w="5000" w:type="pct"/>
            <w:gridSpan w:val="2"/>
            <w:tcBorders>
              <w:top w:val="nil"/>
              <w:bottom w:val="nil"/>
            </w:tcBorders>
            <w:shd w:val="clear" w:color="auto" w:fill="D9E2F3"/>
            <w:vAlign w:val="center"/>
          </w:tcPr>
          <w:p w14:paraId="4C716185" w14:textId="1B1D916B" w:rsidR="000B0576" w:rsidRPr="00F16A5E" w:rsidRDefault="000B0576" w:rsidP="000B0576">
            <w:pPr>
              <w:jc w:val="center"/>
              <w:rPr>
                <w:b/>
                <w:bCs/>
              </w:rPr>
            </w:pPr>
            <w:r w:rsidRPr="00F16A5E">
              <w:rPr>
                <w:b/>
                <w:bCs/>
              </w:rPr>
              <w:t>Study Procedures</w:t>
            </w:r>
          </w:p>
        </w:tc>
      </w:tr>
      <w:tr w:rsidR="000B0576" w:rsidRPr="00F16A5E" w14:paraId="180E9F31" w14:textId="77777777" w:rsidTr="000B0576">
        <w:trPr>
          <w:trHeight w:val="397"/>
        </w:trPr>
        <w:tc>
          <w:tcPr>
            <w:tcW w:w="1163" w:type="pct"/>
            <w:tcBorders>
              <w:top w:val="nil"/>
              <w:bottom w:val="nil"/>
            </w:tcBorders>
            <w:vAlign w:val="center"/>
          </w:tcPr>
          <w:p w14:paraId="6CD79AFE" w14:textId="77777777" w:rsidR="000B0576" w:rsidRPr="00F16A5E" w:rsidRDefault="000B0576" w:rsidP="000B0576">
            <w:r w:rsidRPr="00F16A5E">
              <w:t>Orelabrutinib administration</w:t>
            </w:r>
          </w:p>
        </w:tc>
        <w:tc>
          <w:tcPr>
            <w:tcW w:w="3837" w:type="pct"/>
            <w:tcBorders>
              <w:top w:val="nil"/>
              <w:bottom w:val="nil"/>
            </w:tcBorders>
            <w:vAlign w:val="center"/>
          </w:tcPr>
          <w:p w14:paraId="2661FC09" w14:textId="77777777" w:rsidR="000B0576" w:rsidRPr="00F16A5E" w:rsidRDefault="000B0576" w:rsidP="000B0576">
            <w:r w:rsidRPr="00F16A5E">
              <w:t>Once per day</w:t>
            </w:r>
          </w:p>
        </w:tc>
      </w:tr>
      <w:tr w:rsidR="000B0576" w:rsidRPr="00F16A5E" w14:paraId="2ADB60C5" w14:textId="77777777" w:rsidTr="000B0576">
        <w:trPr>
          <w:trHeight w:val="397"/>
        </w:trPr>
        <w:tc>
          <w:tcPr>
            <w:tcW w:w="1163" w:type="pct"/>
            <w:tcBorders>
              <w:top w:val="nil"/>
              <w:bottom w:val="nil"/>
            </w:tcBorders>
            <w:vAlign w:val="center"/>
          </w:tcPr>
          <w:p w14:paraId="03FDDDF1" w14:textId="77777777" w:rsidR="000B0576" w:rsidRPr="00F16A5E" w:rsidRDefault="000B0576" w:rsidP="000B0576">
            <w:r w:rsidRPr="00F16A5E">
              <w:t>Drug dispensation</w:t>
            </w:r>
          </w:p>
        </w:tc>
        <w:tc>
          <w:tcPr>
            <w:tcW w:w="3837" w:type="pct"/>
            <w:tcBorders>
              <w:top w:val="nil"/>
              <w:bottom w:val="nil"/>
            </w:tcBorders>
            <w:vAlign w:val="center"/>
          </w:tcPr>
          <w:p w14:paraId="3D381070" w14:textId="77777777" w:rsidR="000B0576" w:rsidRPr="00F16A5E" w:rsidRDefault="000B0576" w:rsidP="000B0576">
            <w:r w:rsidRPr="00F16A5E">
              <w:t>Days 1, 14, 28, 56</w:t>
            </w:r>
          </w:p>
        </w:tc>
      </w:tr>
      <w:tr w:rsidR="000B0576" w:rsidRPr="00F16A5E" w14:paraId="498EB02E" w14:textId="77777777" w:rsidTr="000B0576">
        <w:trPr>
          <w:trHeight w:val="397"/>
        </w:trPr>
        <w:tc>
          <w:tcPr>
            <w:tcW w:w="1163" w:type="pct"/>
            <w:tcBorders>
              <w:top w:val="nil"/>
              <w:bottom w:val="nil"/>
            </w:tcBorders>
            <w:vAlign w:val="center"/>
          </w:tcPr>
          <w:p w14:paraId="3D1C355E" w14:textId="77777777" w:rsidR="000B0576" w:rsidRPr="00F16A5E" w:rsidRDefault="000B0576" w:rsidP="000B0576">
            <w:r w:rsidRPr="00F16A5E">
              <w:t>Drug return</w:t>
            </w:r>
          </w:p>
        </w:tc>
        <w:tc>
          <w:tcPr>
            <w:tcW w:w="3837" w:type="pct"/>
            <w:tcBorders>
              <w:top w:val="nil"/>
              <w:bottom w:val="nil"/>
            </w:tcBorders>
            <w:vAlign w:val="center"/>
          </w:tcPr>
          <w:p w14:paraId="7E381BC7" w14:textId="77777777" w:rsidR="000B0576" w:rsidRPr="00F16A5E" w:rsidRDefault="000B0576" w:rsidP="000B0576">
            <w:r w:rsidRPr="00F16A5E">
              <w:t>Days 14, 28, 56, 84</w:t>
            </w:r>
          </w:p>
        </w:tc>
      </w:tr>
      <w:tr w:rsidR="000B0576" w:rsidRPr="00F16A5E" w14:paraId="38826CB7" w14:textId="77777777" w:rsidTr="000B0576">
        <w:trPr>
          <w:trHeight w:val="397"/>
        </w:trPr>
        <w:tc>
          <w:tcPr>
            <w:tcW w:w="1163" w:type="pct"/>
            <w:tcBorders>
              <w:top w:val="nil"/>
              <w:bottom w:val="nil"/>
            </w:tcBorders>
            <w:vAlign w:val="center"/>
          </w:tcPr>
          <w:p w14:paraId="0209BD8A" w14:textId="77777777" w:rsidR="000B0576" w:rsidRPr="00F16A5E" w:rsidRDefault="000B0576" w:rsidP="000B0576">
            <w:r w:rsidRPr="00F16A5E">
              <w:t>Medication compliance</w:t>
            </w:r>
          </w:p>
        </w:tc>
        <w:tc>
          <w:tcPr>
            <w:tcW w:w="3837" w:type="pct"/>
            <w:tcBorders>
              <w:top w:val="nil"/>
              <w:bottom w:val="nil"/>
            </w:tcBorders>
            <w:vAlign w:val="center"/>
          </w:tcPr>
          <w:p w14:paraId="4AB90F07" w14:textId="77777777" w:rsidR="000B0576" w:rsidRPr="00F16A5E" w:rsidRDefault="000B0576" w:rsidP="000B0576">
            <w:r w:rsidRPr="00F16A5E">
              <w:t>Days 14, 28, 56, 84</w:t>
            </w:r>
          </w:p>
        </w:tc>
      </w:tr>
      <w:tr w:rsidR="000B0576" w:rsidRPr="00F16A5E" w14:paraId="30B144E9" w14:textId="77777777" w:rsidTr="000B0576">
        <w:trPr>
          <w:trHeight w:val="397"/>
        </w:trPr>
        <w:tc>
          <w:tcPr>
            <w:tcW w:w="5000" w:type="pct"/>
            <w:gridSpan w:val="2"/>
            <w:tcBorders>
              <w:top w:val="nil"/>
              <w:bottom w:val="nil"/>
            </w:tcBorders>
            <w:shd w:val="clear" w:color="auto" w:fill="D9E2F3"/>
            <w:vAlign w:val="center"/>
          </w:tcPr>
          <w:p w14:paraId="7E918BE8" w14:textId="77777777" w:rsidR="000B0576" w:rsidRPr="00F16A5E" w:rsidRDefault="000B0576" w:rsidP="000B0576">
            <w:pPr>
              <w:jc w:val="center"/>
              <w:rPr>
                <w:b/>
                <w:bCs/>
              </w:rPr>
            </w:pPr>
            <w:r w:rsidRPr="00F16A5E">
              <w:rPr>
                <w:b/>
                <w:bCs/>
              </w:rPr>
              <w:t>Safety Evaluation</w:t>
            </w:r>
          </w:p>
        </w:tc>
      </w:tr>
      <w:tr w:rsidR="000B0576" w:rsidRPr="00F16A5E" w14:paraId="50C734A8" w14:textId="77777777" w:rsidTr="000B0576">
        <w:trPr>
          <w:trHeight w:val="397"/>
        </w:trPr>
        <w:tc>
          <w:tcPr>
            <w:tcW w:w="1163" w:type="pct"/>
            <w:tcBorders>
              <w:top w:val="nil"/>
            </w:tcBorders>
            <w:vAlign w:val="center"/>
          </w:tcPr>
          <w:p w14:paraId="1BAD5B6A" w14:textId="1D915887" w:rsidR="000B0576" w:rsidRPr="00F16A5E" w:rsidRDefault="000B0576" w:rsidP="000B0576">
            <w:r w:rsidRPr="00F16A5E">
              <w:t>Physical examination</w:t>
            </w:r>
          </w:p>
        </w:tc>
        <w:tc>
          <w:tcPr>
            <w:tcW w:w="3837" w:type="pct"/>
            <w:tcBorders>
              <w:top w:val="nil"/>
            </w:tcBorders>
            <w:vAlign w:val="center"/>
          </w:tcPr>
          <w:p w14:paraId="6498B0E5" w14:textId="1DB33613" w:rsidR="000B0576" w:rsidRPr="00F16A5E" w:rsidRDefault="000B0576" w:rsidP="000B0576">
            <w:r w:rsidRPr="00F16A5E">
              <w:t>Pre-dose at Days 1, 14, 28, 56 and 84</w:t>
            </w:r>
          </w:p>
        </w:tc>
      </w:tr>
      <w:tr w:rsidR="000B0576" w:rsidRPr="00F16A5E" w14:paraId="06BA281B" w14:textId="77777777" w:rsidTr="000B0576">
        <w:trPr>
          <w:trHeight w:val="397"/>
        </w:trPr>
        <w:tc>
          <w:tcPr>
            <w:tcW w:w="1163" w:type="pct"/>
            <w:tcBorders>
              <w:top w:val="nil"/>
              <w:bottom w:val="nil"/>
            </w:tcBorders>
            <w:vAlign w:val="center"/>
          </w:tcPr>
          <w:p w14:paraId="053BE75A" w14:textId="681E5E8B" w:rsidR="000B0576" w:rsidRPr="00F16A5E" w:rsidRDefault="000B0576" w:rsidP="000B0576">
            <w:r w:rsidRPr="00F16A5E">
              <w:t>Vital signs</w:t>
            </w:r>
          </w:p>
        </w:tc>
        <w:tc>
          <w:tcPr>
            <w:tcW w:w="3837" w:type="pct"/>
            <w:tcBorders>
              <w:top w:val="nil"/>
              <w:bottom w:val="nil"/>
            </w:tcBorders>
            <w:vAlign w:val="center"/>
          </w:tcPr>
          <w:p w14:paraId="662724C3" w14:textId="04807F7B" w:rsidR="000B0576" w:rsidRPr="00F16A5E" w:rsidRDefault="000B0576" w:rsidP="000B0576">
            <w:r w:rsidRPr="00F16A5E">
              <w:t>Pre-dose at Days 1, 14, 28, 56 and 84</w:t>
            </w:r>
          </w:p>
        </w:tc>
      </w:tr>
      <w:tr w:rsidR="000B0576" w:rsidRPr="00F16A5E" w14:paraId="2E1BE0DA" w14:textId="77777777" w:rsidTr="000B0576">
        <w:trPr>
          <w:trHeight w:val="397"/>
        </w:trPr>
        <w:tc>
          <w:tcPr>
            <w:tcW w:w="1163" w:type="pct"/>
            <w:vAlign w:val="center"/>
          </w:tcPr>
          <w:p w14:paraId="2EA1506D" w14:textId="7059728E" w:rsidR="000B0576" w:rsidRPr="00F16A5E" w:rsidRDefault="000B0576" w:rsidP="000B0576">
            <w:proofErr w:type="spellStart"/>
            <w:r w:rsidRPr="00F16A5E">
              <w:t>Haematology</w:t>
            </w:r>
            <w:proofErr w:type="spellEnd"/>
            <w:r w:rsidRPr="00F16A5E">
              <w:t>, blood chemistry, urinalysis, electrolytes, amylase, lipase</w:t>
            </w:r>
          </w:p>
        </w:tc>
        <w:tc>
          <w:tcPr>
            <w:tcW w:w="3837" w:type="pct"/>
            <w:vAlign w:val="center"/>
          </w:tcPr>
          <w:p w14:paraId="7D973D69" w14:textId="39EA8C81" w:rsidR="000B0576" w:rsidRPr="00F16A5E" w:rsidRDefault="000B0576" w:rsidP="000B0576">
            <w:r w:rsidRPr="00F16A5E">
              <w:t>Pre-dose at Days 1, 14, 28, 56 and 84</w:t>
            </w:r>
          </w:p>
        </w:tc>
      </w:tr>
      <w:tr w:rsidR="000B0576" w:rsidRPr="00F16A5E" w14:paraId="64A4DC36" w14:textId="77777777" w:rsidTr="000B0576">
        <w:trPr>
          <w:trHeight w:val="397"/>
        </w:trPr>
        <w:tc>
          <w:tcPr>
            <w:tcW w:w="1163" w:type="pct"/>
            <w:vAlign w:val="center"/>
          </w:tcPr>
          <w:p w14:paraId="7E8DE0D6" w14:textId="77777777" w:rsidR="000B0576" w:rsidRPr="00F16A5E" w:rsidRDefault="000B0576" w:rsidP="000B0576">
            <w:r w:rsidRPr="00F16A5E">
              <w:t>Coagulation</w:t>
            </w:r>
          </w:p>
        </w:tc>
        <w:tc>
          <w:tcPr>
            <w:tcW w:w="3837" w:type="pct"/>
            <w:vAlign w:val="center"/>
          </w:tcPr>
          <w:p w14:paraId="23F76330" w14:textId="33AB47CA" w:rsidR="000B0576" w:rsidRPr="00F16A5E" w:rsidRDefault="000B0576" w:rsidP="000B0576">
            <w:r w:rsidRPr="00F16A5E">
              <w:t>pre-dose at Days 1, 28, 56, 84</w:t>
            </w:r>
          </w:p>
        </w:tc>
      </w:tr>
      <w:tr w:rsidR="000B0576" w:rsidRPr="00F16A5E" w14:paraId="604397FB" w14:textId="77777777" w:rsidTr="000B0576">
        <w:trPr>
          <w:trHeight w:val="397"/>
        </w:trPr>
        <w:tc>
          <w:tcPr>
            <w:tcW w:w="1163" w:type="pct"/>
            <w:tcBorders>
              <w:bottom w:val="nil"/>
            </w:tcBorders>
            <w:vAlign w:val="center"/>
          </w:tcPr>
          <w:p w14:paraId="23A0F12A" w14:textId="77777777" w:rsidR="000B0576" w:rsidRPr="00F16A5E" w:rsidRDefault="000B0576" w:rsidP="000B0576">
            <w:r w:rsidRPr="00F16A5E">
              <w:t>5 items of thyroid function</w:t>
            </w:r>
          </w:p>
        </w:tc>
        <w:tc>
          <w:tcPr>
            <w:tcW w:w="3837" w:type="pct"/>
            <w:tcBorders>
              <w:bottom w:val="nil"/>
            </w:tcBorders>
            <w:vAlign w:val="center"/>
          </w:tcPr>
          <w:p w14:paraId="7050A129" w14:textId="77777777" w:rsidR="000B0576" w:rsidRPr="00F16A5E" w:rsidRDefault="000B0576" w:rsidP="000B0576">
            <w:r w:rsidRPr="00F16A5E">
              <w:t>pre-dose at Days 28 and 84</w:t>
            </w:r>
          </w:p>
        </w:tc>
      </w:tr>
      <w:tr w:rsidR="000B0576" w:rsidRPr="00F16A5E" w14:paraId="177FA2B8" w14:textId="77777777" w:rsidTr="000B0576">
        <w:trPr>
          <w:trHeight w:val="397"/>
        </w:trPr>
        <w:tc>
          <w:tcPr>
            <w:tcW w:w="1163" w:type="pct"/>
            <w:tcBorders>
              <w:bottom w:val="nil"/>
            </w:tcBorders>
            <w:vAlign w:val="center"/>
          </w:tcPr>
          <w:p w14:paraId="1C2A5C37" w14:textId="77777777" w:rsidR="000B0576" w:rsidRPr="00F16A5E" w:rsidRDefault="000B0576" w:rsidP="000B0576">
            <w:r w:rsidRPr="00F16A5E">
              <w:t>Ultrasound thyroid</w:t>
            </w:r>
          </w:p>
        </w:tc>
        <w:tc>
          <w:tcPr>
            <w:tcW w:w="3837" w:type="pct"/>
            <w:tcBorders>
              <w:bottom w:val="nil"/>
            </w:tcBorders>
            <w:vAlign w:val="center"/>
          </w:tcPr>
          <w:p w14:paraId="20207044" w14:textId="49A3B6DD" w:rsidR="000B0576" w:rsidRPr="00F16A5E" w:rsidRDefault="000B0576" w:rsidP="000B0576">
            <w:r w:rsidRPr="00F16A5E">
              <w:t>Days 28 and 84, results within ±5 days can be accepted, regardless of medication status.</w:t>
            </w:r>
          </w:p>
        </w:tc>
      </w:tr>
      <w:tr w:rsidR="000B0576" w:rsidRPr="00F16A5E" w14:paraId="412DD7D6" w14:textId="77777777" w:rsidTr="000B0576">
        <w:trPr>
          <w:trHeight w:val="397"/>
        </w:trPr>
        <w:tc>
          <w:tcPr>
            <w:tcW w:w="1163" w:type="pct"/>
            <w:tcBorders>
              <w:top w:val="nil"/>
              <w:bottom w:val="nil"/>
            </w:tcBorders>
            <w:vAlign w:val="center"/>
          </w:tcPr>
          <w:p w14:paraId="1692214C" w14:textId="77777777" w:rsidR="000B0576" w:rsidRPr="00F16A5E" w:rsidRDefault="000B0576" w:rsidP="000B0576">
            <w:r w:rsidRPr="00F16A5E">
              <w:t>Urine pregnancy test</w:t>
            </w:r>
          </w:p>
        </w:tc>
        <w:tc>
          <w:tcPr>
            <w:tcW w:w="3837" w:type="pct"/>
            <w:tcBorders>
              <w:top w:val="nil"/>
              <w:bottom w:val="nil"/>
            </w:tcBorders>
            <w:vAlign w:val="center"/>
          </w:tcPr>
          <w:p w14:paraId="7F1419C7" w14:textId="713856F0" w:rsidR="000B0576" w:rsidRPr="00F16A5E" w:rsidRDefault="00426E35" w:rsidP="000B0576">
            <w:r w:rsidRPr="00F16A5E">
              <w:t>Pre-dose at Days 1, 28, 56 and 84. If positive, blood pregnancy test will be performed to confirm the result.</w:t>
            </w:r>
          </w:p>
        </w:tc>
      </w:tr>
      <w:tr w:rsidR="000B0576" w:rsidRPr="00F16A5E" w14:paraId="65DA527B" w14:textId="77777777" w:rsidTr="000B0576">
        <w:trPr>
          <w:trHeight w:val="397"/>
        </w:trPr>
        <w:tc>
          <w:tcPr>
            <w:tcW w:w="1163" w:type="pct"/>
            <w:tcBorders>
              <w:top w:val="nil"/>
              <w:bottom w:val="nil"/>
            </w:tcBorders>
            <w:vAlign w:val="center"/>
          </w:tcPr>
          <w:p w14:paraId="16BDFFFE" w14:textId="77777777" w:rsidR="000B0576" w:rsidRPr="00F16A5E" w:rsidRDefault="000B0576" w:rsidP="000B0576">
            <w:r w:rsidRPr="00F16A5E">
              <w:t>HBV DNA test</w:t>
            </w:r>
          </w:p>
        </w:tc>
        <w:tc>
          <w:tcPr>
            <w:tcW w:w="3837" w:type="pct"/>
            <w:tcBorders>
              <w:top w:val="nil"/>
              <w:bottom w:val="nil"/>
            </w:tcBorders>
            <w:vAlign w:val="center"/>
          </w:tcPr>
          <w:p w14:paraId="12125F2F" w14:textId="77777777" w:rsidR="000B0576" w:rsidRPr="00F16A5E" w:rsidRDefault="000B0576" w:rsidP="000B0576">
            <w:r w:rsidRPr="00F16A5E">
              <w:t>as clinically indicated</w:t>
            </w:r>
          </w:p>
        </w:tc>
      </w:tr>
      <w:tr w:rsidR="000B0576" w:rsidRPr="00F16A5E" w14:paraId="633C792D" w14:textId="77777777" w:rsidTr="000B0576">
        <w:trPr>
          <w:trHeight w:val="397"/>
        </w:trPr>
        <w:tc>
          <w:tcPr>
            <w:tcW w:w="1163" w:type="pct"/>
            <w:tcBorders>
              <w:top w:val="nil"/>
              <w:bottom w:val="nil"/>
            </w:tcBorders>
            <w:vAlign w:val="center"/>
          </w:tcPr>
          <w:p w14:paraId="039B32AC" w14:textId="77777777" w:rsidR="000B0576" w:rsidRPr="00F16A5E" w:rsidRDefault="000B0576" w:rsidP="000B0576">
            <w:r w:rsidRPr="00F16A5E">
              <w:t>Chest X-ray</w:t>
            </w:r>
          </w:p>
        </w:tc>
        <w:tc>
          <w:tcPr>
            <w:tcW w:w="3837" w:type="pct"/>
            <w:tcBorders>
              <w:top w:val="nil"/>
              <w:bottom w:val="nil"/>
            </w:tcBorders>
            <w:vAlign w:val="center"/>
          </w:tcPr>
          <w:p w14:paraId="73F398DE" w14:textId="77777777" w:rsidR="000B0576" w:rsidRPr="00F16A5E" w:rsidRDefault="000B0576" w:rsidP="000B0576">
            <w:r w:rsidRPr="00F16A5E">
              <w:t>as clinically indicated</w:t>
            </w:r>
          </w:p>
        </w:tc>
      </w:tr>
      <w:tr w:rsidR="000B0576" w:rsidRPr="00F16A5E" w14:paraId="35015A00" w14:textId="77777777" w:rsidTr="000B0576">
        <w:trPr>
          <w:trHeight w:val="397"/>
        </w:trPr>
        <w:tc>
          <w:tcPr>
            <w:tcW w:w="1163" w:type="pct"/>
            <w:tcBorders>
              <w:bottom w:val="nil"/>
            </w:tcBorders>
            <w:vAlign w:val="center"/>
          </w:tcPr>
          <w:p w14:paraId="2201AF5B" w14:textId="77777777" w:rsidR="000B0576" w:rsidRPr="00F16A5E" w:rsidRDefault="000B0576" w:rsidP="000B0576">
            <w:r w:rsidRPr="00F16A5E">
              <w:t>12-lead-ECG</w:t>
            </w:r>
          </w:p>
        </w:tc>
        <w:tc>
          <w:tcPr>
            <w:tcW w:w="3837" w:type="pct"/>
            <w:tcBorders>
              <w:bottom w:val="nil"/>
            </w:tcBorders>
            <w:vAlign w:val="center"/>
          </w:tcPr>
          <w:p w14:paraId="35B10123" w14:textId="77777777" w:rsidR="000B0576" w:rsidRPr="00F16A5E" w:rsidRDefault="000B0576" w:rsidP="000B0576">
            <w:r w:rsidRPr="00F16A5E">
              <w:t>Pre-dose and post-dose at Day 1; prior to the discharge from the study center at Day 2.</w:t>
            </w:r>
          </w:p>
          <w:p w14:paraId="628575B4" w14:textId="0147CB9C" w:rsidR="000B0576" w:rsidRPr="00F16A5E" w:rsidRDefault="00426E35" w:rsidP="000B0576">
            <w:r w:rsidRPr="00F16A5E">
              <w:t xml:space="preserve">Post-dose at Days 14, 28, 56 and 84 </w:t>
            </w:r>
            <w:r w:rsidRPr="00F16A5E">
              <w:t>【</w:t>
            </w:r>
            <w:r w:rsidRPr="00F16A5E">
              <w:t>post-dose ECG during treatment period should be performed within 2-4 hours post-dose</w:t>
            </w:r>
            <w:r w:rsidRPr="00F16A5E">
              <w:t>】</w:t>
            </w:r>
            <w:r w:rsidRPr="00F16A5E">
              <w:t>.</w:t>
            </w:r>
          </w:p>
        </w:tc>
      </w:tr>
      <w:tr w:rsidR="000B0576" w:rsidRPr="00F16A5E" w14:paraId="1797185E" w14:textId="77777777" w:rsidTr="000B0576">
        <w:trPr>
          <w:trHeight w:val="397"/>
        </w:trPr>
        <w:tc>
          <w:tcPr>
            <w:tcW w:w="1163" w:type="pct"/>
            <w:tcBorders>
              <w:bottom w:val="nil"/>
            </w:tcBorders>
            <w:vAlign w:val="center"/>
          </w:tcPr>
          <w:p w14:paraId="0FE68327" w14:textId="77777777" w:rsidR="000B0576" w:rsidRPr="00F16A5E" w:rsidRDefault="000B0576" w:rsidP="000B0576">
            <w:r w:rsidRPr="00F16A5E">
              <w:t>Echocardiography</w:t>
            </w:r>
          </w:p>
        </w:tc>
        <w:tc>
          <w:tcPr>
            <w:tcW w:w="3837" w:type="pct"/>
            <w:tcBorders>
              <w:bottom w:val="nil"/>
            </w:tcBorders>
            <w:vAlign w:val="center"/>
          </w:tcPr>
          <w:p w14:paraId="194217C8" w14:textId="77777777" w:rsidR="000B0576" w:rsidRPr="00F16A5E" w:rsidRDefault="000B0576" w:rsidP="000B0576">
            <w:r w:rsidRPr="00F16A5E">
              <w:t>as clinically indicated</w:t>
            </w:r>
          </w:p>
        </w:tc>
      </w:tr>
      <w:tr w:rsidR="000B0576" w:rsidRPr="00F16A5E" w14:paraId="3948FDE7" w14:textId="77777777" w:rsidTr="000B0576">
        <w:trPr>
          <w:trHeight w:val="397"/>
        </w:trPr>
        <w:tc>
          <w:tcPr>
            <w:tcW w:w="1163" w:type="pct"/>
            <w:tcBorders>
              <w:bottom w:val="nil"/>
            </w:tcBorders>
            <w:vAlign w:val="center"/>
          </w:tcPr>
          <w:p w14:paraId="1A8E9748" w14:textId="77777777" w:rsidR="000B0576" w:rsidRPr="00F16A5E" w:rsidRDefault="000B0576" w:rsidP="000B0576">
            <w:r w:rsidRPr="00F16A5E">
              <w:t>Adverse event recording</w:t>
            </w:r>
          </w:p>
        </w:tc>
        <w:tc>
          <w:tcPr>
            <w:tcW w:w="3837" w:type="pct"/>
            <w:tcBorders>
              <w:bottom w:val="nil"/>
            </w:tcBorders>
            <w:vAlign w:val="center"/>
          </w:tcPr>
          <w:p w14:paraId="6B4E636B" w14:textId="77777777" w:rsidR="000B0576" w:rsidRPr="00F16A5E" w:rsidRDefault="000B0576" w:rsidP="000B0576">
            <w:r w:rsidRPr="00F16A5E">
              <w:t>Record adverse events</w:t>
            </w:r>
          </w:p>
        </w:tc>
      </w:tr>
      <w:tr w:rsidR="000B0576" w:rsidRPr="00F16A5E" w14:paraId="246C63B5" w14:textId="77777777" w:rsidTr="000B0576">
        <w:trPr>
          <w:trHeight w:val="397"/>
        </w:trPr>
        <w:tc>
          <w:tcPr>
            <w:tcW w:w="5000" w:type="pct"/>
            <w:gridSpan w:val="2"/>
            <w:tcBorders>
              <w:top w:val="nil"/>
              <w:bottom w:val="nil"/>
            </w:tcBorders>
            <w:shd w:val="clear" w:color="auto" w:fill="D9E2F3"/>
            <w:vAlign w:val="center"/>
          </w:tcPr>
          <w:p w14:paraId="40414E7A" w14:textId="77777777" w:rsidR="000B0576" w:rsidRPr="00F16A5E" w:rsidRDefault="000B0576" w:rsidP="00426E35">
            <w:pPr>
              <w:jc w:val="center"/>
              <w:rPr>
                <w:b/>
                <w:bCs/>
              </w:rPr>
            </w:pPr>
            <w:r w:rsidRPr="00F16A5E">
              <w:rPr>
                <w:b/>
                <w:bCs/>
              </w:rPr>
              <w:t>PK, PD and other evaluations</w:t>
            </w:r>
          </w:p>
        </w:tc>
      </w:tr>
      <w:tr w:rsidR="000B0576" w:rsidRPr="00F16A5E" w14:paraId="3B95150C" w14:textId="77777777" w:rsidTr="000B0576">
        <w:trPr>
          <w:trHeight w:val="397"/>
        </w:trPr>
        <w:tc>
          <w:tcPr>
            <w:tcW w:w="1163" w:type="pct"/>
            <w:tcBorders>
              <w:top w:val="nil"/>
              <w:bottom w:val="nil"/>
            </w:tcBorders>
            <w:vAlign w:val="center"/>
          </w:tcPr>
          <w:p w14:paraId="6D39D1DF" w14:textId="77777777" w:rsidR="000B0576" w:rsidRPr="00F16A5E" w:rsidRDefault="000B0576" w:rsidP="000B0576">
            <w:r w:rsidRPr="00F16A5E">
              <w:t>PK</w:t>
            </w:r>
          </w:p>
        </w:tc>
        <w:tc>
          <w:tcPr>
            <w:tcW w:w="3837" w:type="pct"/>
            <w:tcBorders>
              <w:top w:val="nil"/>
              <w:bottom w:val="nil"/>
            </w:tcBorders>
            <w:vAlign w:val="center"/>
          </w:tcPr>
          <w:p w14:paraId="5E353DEA" w14:textId="77777777" w:rsidR="000B0576" w:rsidRPr="00F16A5E" w:rsidRDefault="000B0576" w:rsidP="000B0576">
            <w:r w:rsidRPr="00F16A5E">
              <w:t>Collect blood samples within 60 min pre-dose and at 30 min (±5 min), 1 h (±5 min), 2 h (±10 min), 4 h (±10 min), 8 h (±10 min), 12 h (±10 min), 24 h (±30 min) post-dose at Days 1 and 14.</w:t>
            </w:r>
          </w:p>
        </w:tc>
      </w:tr>
      <w:tr w:rsidR="000B0576" w:rsidRPr="00F16A5E" w14:paraId="34382A15" w14:textId="77777777" w:rsidTr="000B0576">
        <w:trPr>
          <w:trHeight w:val="397"/>
        </w:trPr>
        <w:tc>
          <w:tcPr>
            <w:tcW w:w="1163" w:type="pct"/>
            <w:tcBorders>
              <w:top w:val="nil"/>
              <w:bottom w:val="nil"/>
            </w:tcBorders>
            <w:vAlign w:val="center"/>
          </w:tcPr>
          <w:p w14:paraId="61553B6F" w14:textId="77777777" w:rsidR="000B0576" w:rsidRPr="00F16A5E" w:rsidRDefault="000B0576" w:rsidP="000B0576">
            <w:r w:rsidRPr="00F16A5E">
              <w:t>PD</w:t>
            </w:r>
          </w:p>
        </w:tc>
        <w:tc>
          <w:tcPr>
            <w:tcW w:w="3837" w:type="pct"/>
            <w:tcBorders>
              <w:top w:val="nil"/>
              <w:bottom w:val="nil"/>
            </w:tcBorders>
            <w:vAlign w:val="center"/>
          </w:tcPr>
          <w:p w14:paraId="1DD5F581" w14:textId="79D80DF2" w:rsidR="000B0576" w:rsidRPr="00F16A5E" w:rsidRDefault="00426E35" w:rsidP="000B0576">
            <w:r w:rsidRPr="00F16A5E">
              <w:t>pre-dose at Days 1 (or within 7 days before the first dose), 28 and 84</w:t>
            </w:r>
          </w:p>
        </w:tc>
      </w:tr>
      <w:tr w:rsidR="000B0576" w:rsidRPr="00F16A5E" w14:paraId="0A8B4AE9" w14:textId="77777777" w:rsidTr="000B0576">
        <w:trPr>
          <w:trHeight w:val="397"/>
        </w:trPr>
        <w:tc>
          <w:tcPr>
            <w:tcW w:w="1163" w:type="pct"/>
            <w:tcBorders>
              <w:top w:val="nil"/>
              <w:bottom w:val="nil"/>
            </w:tcBorders>
            <w:vAlign w:val="center"/>
          </w:tcPr>
          <w:p w14:paraId="69B347C2" w14:textId="77777777" w:rsidR="000B0576" w:rsidRPr="00F16A5E" w:rsidRDefault="000B0576" w:rsidP="000B0576">
            <w:r w:rsidRPr="00F16A5E">
              <w:lastRenderedPageBreak/>
              <w:t>Target Occupancy</w:t>
            </w:r>
          </w:p>
        </w:tc>
        <w:tc>
          <w:tcPr>
            <w:tcW w:w="3837" w:type="pct"/>
            <w:tcBorders>
              <w:top w:val="nil"/>
              <w:bottom w:val="nil"/>
            </w:tcBorders>
            <w:vAlign w:val="center"/>
          </w:tcPr>
          <w:p w14:paraId="1DD4DF68" w14:textId="3A5AE37C" w:rsidR="000B0576" w:rsidRPr="00F16A5E" w:rsidRDefault="000B0576" w:rsidP="000B0576">
            <w:r w:rsidRPr="00F16A5E">
              <w:t>within 60 min pre-dose (or within 5 days before the first administration) and 4 hours (±10 min) post-dose at Day 1; and within 60 min pre-dose and 4 hours (±10 min) post-dose at Day 14</w:t>
            </w:r>
          </w:p>
        </w:tc>
      </w:tr>
      <w:tr w:rsidR="000B0576" w:rsidRPr="00F16A5E" w14:paraId="1581A53E" w14:textId="77777777" w:rsidTr="000B0576">
        <w:trPr>
          <w:trHeight w:val="397"/>
        </w:trPr>
        <w:tc>
          <w:tcPr>
            <w:tcW w:w="1163" w:type="pct"/>
            <w:tcBorders>
              <w:top w:val="nil"/>
              <w:bottom w:val="nil"/>
            </w:tcBorders>
            <w:vAlign w:val="center"/>
          </w:tcPr>
          <w:p w14:paraId="1CC593FB" w14:textId="64579B56" w:rsidR="000B0576" w:rsidRPr="00F16A5E" w:rsidRDefault="000B0576" w:rsidP="000B0576">
            <w:r w:rsidRPr="00F16A5E">
              <w:t xml:space="preserve">Protein urine </w:t>
            </w:r>
            <w:r w:rsidR="00426E35" w:rsidRPr="00F16A5E">
              <w:t>24-hour</w:t>
            </w:r>
            <w:r w:rsidRPr="00F16A5E">
              <w:t xml:space="preserve"> quantification</w:t>
            </w:r>
          </w:p>
        </w:tc>
        <w:tc>
          <w:tcPr>
            <w:tcW w:w="3837" w:type="pct"/>
            <w:tcBorders>
              <w:top w:val="nil"/>
              <w:bottom w:val="nil"/>
            </w:tcBorders>
            <w:vAlign w:val="center"/>
          </w:tcPr>
          <w:p w14:paraId="62CAB4A9" w14:textId="77777777" w:rsidR="000B0576" w:rsidRPr="00F16A5E" w:rsidRDefault="000B0576" w:rsidP="000B0576">
            <w:r w:rsidRPr="00F16A5E">
              <w:t>Day 84, and as clinically indicated</w:t>
            </w:r>
          </w:p>
        </w:tc>
      </w:tr>
      <w:tr w:rsidR="000B0576" w:rsidRPr="00F16A5E" w14:paraId="703797E8" w14:textId="77777777" w:rsidTr="000B0576">
        <w:trPr>
          <w:trHeight w:val="397"/>
        </w:trPr>
        <w:tc>
          <w:tcPr>
            <w:tcW w:w="1163" w:type="pct"/>
            <w:tcBorders>
              <w:top w:val="nil"/>
              <w:bottom w:val="nil"/>
            </w:tcBorders>
            <w:vAlign w:val="center"/>
          </w:tcPr>
          <w:p w14:paraId="29ACF9F1" w14:textId="77777777" w:rsidR="000B0576" w:rsidRPr="00F16A5E" w:rsidRDefault="000B0576" w:rsidP="000B0576">
            <w:r w:rsidRPr="00F16A5E">
              <w:t>SRI</w:t>
            </w:r>
          </w:p>
        </w:tc>
        <w:tc>
          <w:tcPr>
            <w:tcW w:w="3837" w:type="pct"/>
            <w:tcBorders>
              <w:top w:val="nil"/>
              <w:bottom w:val="nil"/>
            </w:tcBorders>
            <w:vAlign w:val="center"/>
          </w:tcPr>
          <w:p w14:paraId="6BFD51CA" w14:textId="322065DB" w:rsidR="000B0576" w:rsidRPr="00F16A5E" w:rsidRDefault="00426E35" w:rsidP="000B0576">
            <w:r w:rsidRPr="00F16A5E">
              <w:t>post-dose at Days 28 and 84</w:t>
            </w:r>
          </w:p>
        </w:tc>
      </w:tr>
      <w:tr w:rsidR="00426E35" w:rsidRPr="00F16A5E" w14:paraId="1C94AA1C" w14:textId="77777777" w:rsidTr="000B0576">
        <w:trPr>
          <w:trHeight w:val="397"/>
        </w:trPr>
        <w:tc>
          <w:tcPr>
            <w:tcW w:w="1163" w:type="pct"/>
            <w:tcBorders>
              <w:top w:val="nil"/>
              <w:bottom w:val="nil"/>
            </w:tcBorders>
            <w:vAlign w:val="center"/>
          </w:tcPr>
          <w:p w14:paraId="1FCBA448" w14:textId="77777777" w:rsidR="00426E35" w:rsidRPr="00F16A5E" w:rsidRDefault="00426E35" w:rsidP="00426E35">
            <w:r w:rsidRPr="00F16A5E">
              <w:t>SLEDAI-2K</w:t>
            </w:r>
          </w:p>
        </w:tc>
        <w:tc>
          <w:tcPr>
            <w:tcW w:w="3837" w:type="pct"/>
            <w:tcBorders>
              <w:top w:val="nil"/>
              <w:bottom w:val="nil"/>
            </w:tcBorders>
            <w:vAlign w:val="center"/>
          </w:tcPr>
          <w:p w14:paraId="626A2184" w14:textId="14395CA4" w:rsidR="00426E35" w:rsidRPr="00F16A5E" w:rsidRDefault="00426E35" w:rsidP="00426E35">
            <w:r w:rsidRPr="00F16A5E">
              <w:t>post-dose at Days 28 and 84</w:t>
            </w:r>
          </w:p>
        </w:tc>
      </w:tr>
      <w:tr w:rsidR="00426E35" w:rsidRPr="00F16A5E" w14:paraId="58773C2E" w14:textId="77777777" w:rsidTr="000B0576">
        <w:trPr>
          <w:trHeight w:val="397"/>
        </w:trPr>
        <w:tc>
          <w:tcPr>
            <w:tcW w:w="1163" w:type="pct"/>
            <w:tcBorders>
              <w:top w:val="nil"/>
              <w:bottom w:val="nil"/>
            </w:tcBorders>
            <w:vAlign w:val="center"/>
          </w:tcPr>
          <w:p w14:paraId="0E4EAFE5" w14:textId="77777777" w:rsidR="00426E35" w:rsidRPr="00F16A5E" w:rsidRDefault="00426E35" w:rsidP="00426E35">
            <w:r w:rsidRPr="00F16A5E">
              <w:t>BILAG-2004</w:t>
            </w:r>
          </w:p>
        </w:tc>
        <w:tc>
          <w:tcPr>
            <w:tcW w:w="3837" w:type="pct"/>
            <w:tcBorders>
              <w:top w:val="nil"/>
              <w:bottom w:val="nil"/>
            </w:tcBorders>
            <w:vAlign w:val="center"/>
          </w:tcPr>
          <w:p w14:paraId="7BBE8EBF" w14:textId="61EA45C9" w:rsidR="00426E35" w:rsidRPr="00F16A5E" w:rsidRDefault="00426E35" w:rsidP="00426E35">
            <w:r w:rsidRPr="00F16A5E">
              <w:t>post-dose at Days 28 and 84</w:t>
            </w:r>
          </w:p>
        </w:tc>
      </w:tr>
      <w:tr w:rsidR="00426E35" w:rsidRPr="00F16A5E" w14:paraId="02563B70" w14:textId="77777777" w:rsidTr="000B0576">
        <w:trPr>
          <w:trHeight w:val="397"/>
        </w:trPr>
        <w:tc>
          <w:tcPr>
            <w:tcW w:w="1163" w:type="pct"/>
            <w:tcBorders>
              <w:top w:val="nil"/>
              <w:bottom w:val="nil"/>
            </w:tcBorders>
            <w:vAlign w:val="center"/>
          </w:tcPr>
          <w:p w14:paraId="714CA838" w14:textId="77777777" w:rsidR="00426E35" w:rsidRPr="00F16A5E" w:rsidRDefault="00426E35" w:rsidP="00426E35">
            <w:r w:rsidRPr="00F16A5E">
              <w:t>PGA</w:t>
            </w:r>
          </w:p>
        </w:tc>
        <w:tc>
          <w:tcPr>
            <w:tcW w:w="3837" w:type="pct"/>
            <w:tcBorders>
              <w:top w:val="nil"/>
              <w:bottom w:val="nil"/>
            </w:tcBorders>
            <w:vAlign w:val="center"/>
          </w:tcPr>
          <w:p w14:paraId="24DE61AF" w14:textId="2E2CEF8F" w:rsidR="00426E35" w:rsidRPr="00F16A5E" w:rsidRDefault="00426E35" w:rsidP="00426E35">
            <w:r w:rsidRPr="00F16A5E">
              <w:t>post-dose at Days 28 and 84</w:t>
            </w:r>
          </w:p>
        </w:tc>
      </w:tr>
      <w:tr w:rsidR="00426E35" w:rsidRPr="00F16A5E" w14:paraId="7495FBE5" w14:textId="77777777" w:rsidTr="00310B16">
        <w:trPr>
          <w:trHeight w:val="397"/>
        </w:trPr>
        <w:tc>
          <w:tcPr>
            <w:tcW w:w="1163" w:type="pct"/>
            <w:tcBorders>
              <w:top w:val="nil"/>
              <w:bottom w:val="single" w:sz="4" w:space="0" w:color="auto"/>
            </w:tcBorders>
            <w:vAlign w:val="center"/>
          </w:tcPr>
          <w:p w14:paraId="4132E864" w14:textId="77777777" w:rsidR="00426E35" w:rsidRPr="00F16A5E" w:rsidRDefault="00426E35" w:rsidP="00426E35">
            <w:r w:rsidRPr="00F16A5E">
              <w:t>Joint evaluation</w:t>
            </w:r>
          </w:p>
        </w:tc>
        <w:tc>
          <w:tcPr>
            <w:tcW w:w="3837" w:type="pct"/>
            <w:tcBorders>
              <w:top w:val="nil"/>
              <w:bottom w:val="nil"/>
            </w:tcBorders>
            <w:vAlign w:val="center"/>
          </w:tcPr>
          <w:p w14:paraId="590A20B7" w14:textId="475A3D4D" w:rsidR="00426E35" w:rsidRPr="00F16A5E" w:rsidRDefault="00426E35" w:rsidP="00426E35">
            <w:r w:rsidRPr="00F16A5E">
              <w:t>post-dose at Days 28 and 84</w:t>
            </w:r>
          </w:p>
        </w:tc>
      </w:tr>
    </w:tbl>
    <w:p w14:paraId="2308CD37" w14:textId="5B238792" w:rsidR="000B0576" w:rsidRPr="00F16A5E" w:rsidRDefault="00426E35" w:rsidP="00426E35">
      <w:r w:rsidRPr="00F16A5E">
        <w:t>Time window (except for ultrasound thyroid and echocardiography): Day 14 ±1 day; Day 28: ±3 days; Day 56: ±3 days; Day 84: ±3 days.</w:t>
      </w:r>
    </w:p>
    <w:p w14:paraId="7FF6C0F0" w14:textId="43293B60" w:rsidR="006E18E9" w:rsidRPr="00F16A5E" w:rsidRDefault="006E18E9" w:rsidP="006E18E9">
      <w:pPr>
        <w:pStyle w:val="3"/>
        <w:keepLines w:val="0"/>
        <w:spacing w:before="60" w:after="60" w:line="360" w:lineRule="auto"/>
        <w:rPr>
          <w:sz w:val="24"/>
          <w:szCs w:val="24"/>
        </w:rPr>
      </w:pPr>
      <w:bookmarkStart w:id="185" w:name="_Toc9456198"/>
      <w:bookmarkStart w:id="186" w:name="_Toc20224874"/>
      <w:bookmarkStart w:id="187" w:name="_Toc71149176"/>
      <w:bookmarkStart w:id="188" w:name="_Toc9456199"/>
      <w:r w:rsidRPr="00F16A5E">
        <w:rPr>
          <w:sz w:val="24"/>
          <w:szCs w:val="24"/>
        </w:rPr>
        <w:t>6.2.2</w:t>
      </w:r>
      <w:bookmarkEnd w:id="185"/>
      <w:bookmarkEnd w:id="186"/>
      <w:r w:rsidR="00426E35" w:rsidRPr="00F16A5E">
        <w:rPr>
          <w:sz w:val="24"/>
          <w:szCs w:val="24"/>
        </w:rPr>
        <w:tab/>
        <w:t>End-of-Treatment Visit (within 3 days after last dose)</w:t>
      </w:r>
      <w:bookmarkEnd w:id="187"/>
    </w:p>
    <w:p w14:paraId="3854C328" w14:textId="451C421F" w:rsidR="006E18E9" w:rsidRPr="00F16A5E" w:rsidRDefault="00426E35" w:rsidP="00426E35">
      <w:pPr>
        <w:spacing w:line="360" w:lineRule="auto"/>
      </w:pPr>
      <w:r w:rsidRPr="00F16A5E">
        <w:rPr>
          <w:kern w:val="0"/>
          <w:sz w:val="24"/>
        </w:rPr>
        <w:t xml:space="preserve">Regardless of the reason for early withdrawal, the investigator will arrange for the evaluation of the End-of-Treatment visit within 3 days after the last dose. For subjects who have completed the 12-week treatment according to the </w:t>
      </w:r>
      <w:r w:rsidR="00461B39" w:rsidRPr="00F16A5E">
        <w:rPr>
          <w:kern w:val="0"/>
          <w:sz w:val="24"/>
        </w:rPr>
        <w:t>study protocol</w:t>
      </w:r>
      <w:r w:rsidRPr="00F16A5E">
        <w:rPr>
          <w:kern w:val="0"/>
          <w:sz w:val="24"/>
        </w:rPr>
        <w:t xml:space="preserve"> and have completed the evaluation of the Day 84 visit, the End-of-Treatment visit is not necessary.</w:t>
      </w:r>
    </w:p>
    <w:p w14:paraId="26CF94B3" w14:textId="7E04A932" w:rsidR="006E18E9" w:rsidRPr="00F16A5E" w:rsidRDefault="00426E35" w:rsidP="006E18E9">
      <w:pPr>
        <w:spacing w:line="360" w:lineRule="auto"/>
        <w:jc w:val="center"/>
        <w:rPr>
          <w:b/>
          <w:color w:val="0D0D0D"/>
          <w:sz w:val="24"/>
          <w:szCs w:val="21"/>
          <w:lang w:val="en-GB"/>
        </w:rPr>
      </w:pPr>
      <w:r w:rsidRPr="00F16A5E">
        <w:rPr>
          <w:b/>
          <w:color w:val="0D0D0D"/>
          <w:sz w:val="24"/>
          <w:szCs w:val="21"/>
          <w:lang w:val="en-GB"/>
        </w:rPr>
        <w:t xml:space="preserve">Table </w:t>
      </w:r>
      <w:r w:rsidR="0079358D" w:rsidRPr="00F16A5E">
        <w:rPr>
          <w:b/>
          <w:color w:val="0D0D0D"/>
          <w:sz w:val="24"/>
          <w:szCs w:val="21"/>
          <w:lang w:val="en-GB"/>
        </w:rPr>
        <w:t>5</w:t>
      </w:r>
      <w:r w:rsidR="006E18E9" w:rsidRPr="00F16A5E">
        <w:rPr>
          <w:b/>
          <w:color w:val="0D0D0D"/>
          <w:sz w:val="24"/>
          <w:szCs w:val="21"/>
          <w:lang w:val="en-GB"/>
        </w:rPr>
        <w:t>.</w:t>
      </w:r>
      <w:r w:rsidRPr="00F16A5E">
        <w:rPr>
          <w:b/>
          <w:color w:val="0D0D0D"/>
          <w:sz w:val="24"/>
          <w:szCs w:val="21"/>
          <w:lang w:val="en-GB"/>
        </w:rPr>
        <w:tab/>
        <w:t>End-of-Treatment Visit</w:t>
      </w:r>
    </w:p>
    <w:tbl>
      <w:tblPr>
        <w:tblW w:w="5000" w:type="pct"/>
        <w:tblBorders>
          <w:top w:val="single" w:sz="8" w:space="0" w:color="auto"/>
          <w:bottom w:val="single" w:sz="8" w:space="0" w:color="auto"/>
        </w:tblBorders>
        <w:tblLook w:val="0000" w:firstRow="0" w:lastRow="0" w:firstColumn="0" w:lastColumn="0" w:noHBand="0" w:noVBand="0"/>
      </w:tblPr>
      <w:tblGrid>
        <w:gridCol w:w="2810"/>
        <w:gridCol w:w="6828"/>
      </w:tblGrid>
      <w:tr w:rsidR="00426E35" w:rsidRPr="00F16A5E" w14:paraId="3D94BE17" w14:textId="77777777" w:rsidTr="00310B16">
        <w:trPr>
          <w:trHeight w:val="397"/>
          <w:tblHeader/>
        </w:trPr>
        <w:tc>
          <w:tcPr>
            <w:tcW w:w="1458" w:type="pct"/>
            <w:tcBorders>
              <w:top w:val="single" w:sz="8" w:space="0" w:color="auto"/>
              <w:bottom w:val="single" w:sz="8" w:space="0" w:color="auto"/>
            </w:tcBorders>
            <w:shd w:val="clear" w:color="auto" w:fill="E7E6E6"/>
            <w:vAlign w:val="center"/>
          </w:tcPr>
          <w:p w14:paraId="0FAFB45D" w14:textId="77777777" w:rsidR="00426E35" w:rsidRPr="00F16A5E" w:rsidRDefault="00426E35" w:rsidP="00310B16">
            <w:pPr>
              <w:rPr>
                <w:b/>
                <w:bCs/>
              </w:rPr>
            </w:pPr>
            <w:r w:rsidRPr="00F16A5E">
              <w:rPr>
                <w:b/>
                <w:bCs/>
              </w:rPr>
              <w:t>Items</w:t>
            </w:r>
          </w:p>
        </w:tc>
        <w:tc>
          <w:tcPr>
            <w:tcW w:w="3542" w:type="pct"/>
            <w:tcBorders>
              <w:top w:val="single" w:sz="8" w:space="0" w:color="auto"/>
              <w:bottom w:val="single" w:sz="8" w:space="0" w:color="auto"/>
            </w:tcBorders>
            <w:shd w:val="clear" w:color="auto" w:fill="E7E6E6"/>
            <w:vAlign w:val="center"/>
          </w:tcPr>
          <w:p w14:paraId="62A70C6E" w14:textId="77777777" w:rsidR="00426E35" w:rsidRPr="00F16A5E" w:rsidRDefault="00426E35" w:rsidP="00310B16">
            <w:pPr>
              <w:rPr>
                <w:b/>
                <w:bCs/>
              </w:rPr>
            </w:pPr>
            <w:r w:rsidRPr="00F16A5E">
              <w:rPr>
                <w:b/>
                <w:bCs/>
              </w:rPr>
              <w:t>Notes</w:t>
            </w:r>
          </w:p>
        </w:tc>
      </w:tr>
      <w:tr w:rsidR="00426E35" w:rsidRPr="00F16A5E" w14:paraId="44E755E6" w14:textId="77777777" w:rsidTr="00310B16">
        <w:trPr>
          <w:trHeight w:val="397"/>
        </w:trPr>
        <w:tc>
          <w:tcPr>
            <w:tcW w:w="5000" w:type="pct"/>
            <w:gridSpan w:val="2"/>
            <w:tcBorders>
              <w:top w:val="nil"/>
              <w:bottom w:val="nil"/>
            </w:tcBorders>
            <w:shd w:val="clear" w:color="auto" w:fill="D9E2F3"/>
            <w:vAlign w:val="center"/>
          </w:tcPr>
          <w:p w14:paraId="0E4D41F0" w14:textId="62F6BE0D" w:rsidR="00426E35" w:rsidRPr="00F16A5E" w:rsidRDefault="00426E35" w:rsidP="00426E35">
            <w:pPr>
              <w:jc w:val="center"/>
              <w:rPr>
                <w:b/>
                <w:bCs/>
              </w:rPr>
            </w:pPr>
            <w:r w:rsidRPr="00F16A5E">
              <w:rPr>
                <w:b/>
                <w:bCs/>
              </w:rPr>
              <w:t>Study Procedure Management</w:t>
            </w:r>
          </w:p>
        </w:tc>
      </w:tr>
      <w:tr w:rsidR="00426E35" w:rsidRPr="00F16A5E" w14:paraId="5A6FF885" w14:textId="77777777" w:rsidTr="00310B16">
        <w:trPr>
          <w:trHeight w:val="397"/>
        </w:trPr>
        <w:tc>
          <w:tcPr>
            <w:tcW w:w="1458" w:type="pct"/>
            <w:tcBorders>
              <w:top w:val="nil"/>
              <w:bottom w:val="nil"/>
            </w:tcBorders>
            <w:vAlign w:val="center"/>
          </w:tcPr>
          <w:p w14:paraId="79D73DDB" w14:textId="77777777" w:rsidR="00426E35" w:rsidRPr="00F16A5E" w:rsidRDefault="00426E35" w:rsidP="00310B16">
            <w:r w:rsidRPr="00F16A5E">
              <w:t>Concomitant medication records</w:t>
            </w:r>
          </w:p>
        </w:tc>
        <w:tc>
          <w:tcPr>
            <w:tcW w:w="3542" w:type="pct"/>
            <w:tcBorders>
              <w:top w:val="nil"/>
              <w:bottom w:val="nil"/>
            </w:tcBorders>
            <w:vAlign w:val="center"/>
          </w:tcPr>
          <w:p w14:paraId="516CEA93" w14:textId="77777777" w:rsidR="00426E35" w:rsidRPr="00F16A5E" w:rsidRDefault="00426E35" w:rsidP="00310B16">
            <w:r w:rsidRPr="00F16A5E">
              <w:t>Record concomitant medication</w:t>
            </w:r>
          </w:p>
        </w:tc>
      </w:tr>
      <w:tr w:rsidR="00426E35" w:rsidRPr="00F16A5E" w14:paraId="09D23781" w14:textId="77777777" w:rsidTr="00310B16">
        <w:trPr>
          <w:trHeight w:val="397"/>
        </w:trPr>
        <w:tc>
          <w:tcPr>
            <w:tcW w:w="5000" w:type="pct"/>
            <w:gridSpan w:val="2"/>
            <w:tcBorders>
              <w:top w:val="nil"/>
              <w:bottom w:val="nil"/>
            </w:tcBorders>
            <w:shd w:val="clear" w:color="auto" w:fill="D9E2F3"/>
            <w:vAlign w:val="center"/>
          </w:tcPr>
          <w:p w14:paraId="149DEE78" w14:textId="77777777" w:rsidR="00426E35" w:rsidRPr="00F16A5E" w:rsidRDefault="00426E35" w:rsidP="00426E35">
            <w:pPr>
              <w:jc w:val="center"/>
              <w:rPr>
                <w:b/>
                <w:bCs/>
              </w:rPr>
            </w:pPr>
            <w:r w:rsidRPr="00F16A5E">
              <w:rPr>
                <w:b/>
                <w:bCs/>
              </w:rPr>
              <w:t>Safety Evaluation</w:t>
            </w:r>
          </w:p>
        </w:tc>
      </w:tr>
      <w:tr w:rsidR="00426E35" w:rsidRPr="00F16A5E" w14:paraId="456916D5" w14:textId="77777777" w:rsidTr="00310B16">
        <w:trPr>
          <w:trHeight w:val="397"/>
        </w:trPr>
        <w:tc>
          <w:tcPr>
            <w:tcW w:w="1458" w:type="pct"/>
            <w:tcBorders>
              <w:top w:val="nil"/>
            </w:tcBorders>
            <w:vAlign w:val="center"/>
          </w:tcPr>
          <w:p w14:paraId="60A81565" w14:textId="4637120C" w:rsidR="00426E35" w:rsidRPr="00F16A5E" w:rsidRDefault="00426E35" w:rsidP="00310B16">
            <w:r w:rsidRPr="00F16A5E">
              <w:t>Physical examination</w:t>
            </w:r>
          </w:p>
        </w:tc>
        <w:tc>
          <w:tcPr>
            <w:tcW w:w="3542" w:type="pct"/>
            <w:tcBorders>
              <w:top w:val="nil"/>
            </w:tcBorders>
            <w:vAlign w:val="center"/>
          </w:tcPr>
          <w:p w14:paraId="2B49B31D" w14:textId="77777777" w:rsidR="00426E35" w:rsidRPr="00F16A5E" w:rsidRDefault="00426E35" w:rsidP="00310B16">
            <w:r w:rsidRPr="00F16A5E">
              <w:t>Physical examination</w:t>
            </w:r>
          </w:p>
        </w:tc>
      </w:tr>
      <w:tr w:rsidR="00426E35" w:rsidRPr="00F16A5E" w14:paraId="3FC1ED00" w14:textId="77777777" w:rsidTr="00310B16">
        <w:trPr>
          <w:trHeight w:val="397"/>
        </w:trPr>
        <w:tc>
          <w:tcPr>
            <w:tcW w:w="1458" w:type="pct"/>
            <w:tcBorders>
              <w:top w:val="nil"/>
              <w:bottom w:val="nil"/>
            </w:tcBorders>
            <w:vAlign w:val="center"/>
          </w:tcPr>
          <w:p w14:paraId="6B9DC52A" w14:textId="7E828CC1" w:rsidR="00426E35" w:rsidRPr="00F16A5E" w:rsidRDefault="00426E35" w:rsidP="00310B16">
            <w:r w:rsidRPr="00F16A5E">
              <w:t>Vital signs</w:t>
            </w:r>
          </w:p>
        </w:tc>
        <w:tc>
          <w:tcPr>
            <w:tcW w:w="3542" w:type="pct"/>
            <w:tcBorders>
              <w:top w:val="nil"/>
              <w:bottom w:val="nil"/>
            </w:tcBorders>
            <w:vAlign w:val="center"/>
          </w:tcPr>
          <w:p w14:paraId="1EA1C9A8" w14:textId="77777777" w:rsidR="00426E35" w:rsidRPr="00F16A5E" w:rsidRDefault="00426E35" w:rsidP="00310B16">
            <w:r w:rsidRPr="00F16A5E">
              <w:t>Perform vital signs measurements</w:t>
            </w:r>
          </w:p>
        </w:tc>
      </w:tr>
      <w:tr w:rsidR="00426E35" w:rsidRPr="00F16A5E" w14:paraId="1C399B6B" w14:textId="77777777" w:rsidTr="00310B16">
        <w:trPr>
          <w:trHeight w:val="397"/>
        </w:trPr>
        <w:tc>
          <w:tcPr>
            <w:tcW w:w="1458" w:type="pct"/>
            <w:vAlign w:val="center"/>
          </w:tcPr>
          <w:p w14:paraId="0DADF0F8" w14:textId="20805AEB" w:rsidR="00426E35" w:rsidRPr="00F16A5E" w:rsidRDefault="00426E35" w:rsidP="00310B16">
            <w:proofErr w:type="spellStart"/>
            <w:r w:rsidRPr="00F16A5E">
              <w:t>Haematology</w:t>
            </w:r>
            <w:proofErr w:type="spellEnd"/>
            <w:r w:rsidRPr="00F16A5E">
              <w:t>, urinalysis, blood chemistry, electrolytes, amylase, lipase, coagulation</w:t>
            </w:r>
          </w:p>
        </w:tc>
        <w:tc>
          <w:tcPr>
            <w:tcW w:w="3542" w:type="pct"/>
            <w:vAlign w:val="center"/>
          </w:tcPr>
          <w:p w14:paraId="65021702" w14:textId="77777777" w:rsidR="00426E35" w:rsidRPr="00F16A5E" w:rsidRDefault="00426E35" w:rsidP="00310B16">
            <w:r w:rsidRPr="00F16A5E">
              <w:t>Perform laboratory tests on the left column</w:t>
            </w:r>
          </w:p>
        </w:tc>
      </w:tr>
      <w:tr w:rsidR="00426E35" w:rsidRPr="00F16A5E" w14:paraId="58E12163" w14:textId="77777777" w:rsidTr="00310B16">
        <w:trPr>
          <w:trHeight w:val="397"/>
        </w:trPr>
        <w:tc>
          <w:tcPr>
            <w:tcW w:w="1458" w:type="pct"/>
            <w:vAlign w:val="center"/>
          </w:tcPr>
          <w:p w14:paraId="690C1CBA" w14:textId="77777777" w:rsidR="00426E35" w:rsidRPr="00F16A5E" w:rsidRDefault="00426E35" w:rsidP="00310B16">
            <w:r w:rsidRPr="00F16A5E">
              <w:t>5 items of thyroid function</w:t>
            </w:r>
          </w:p>
        </w:tc>
        <w:tc>
          <w:tcPr>
            <w:tcW w:w="3542" w:type="pct"/>
            <w:vAlign w:val="center"/>
          </w:tcPr>
          <w:p w14:paraId="10B70901" w14:textId="77777777" w:rsidR="00426E35" w:rsidRPr="00F16A5E" w:rsidRDefault="00426E35" w:rsidP="00310B16">
            <w:r w:rsidRPr="00F16A5E">
              <w:t>Perform 5 items of thyroid function test</w:t>
            </w:r>
          </w:p>
        </w:tc>
      </w:tr>
      <w:tr w:rsidR="00426E35" w:rsidRPr="00F16A5E" w14:paraId="620274B1" w14:textId="77777777" w:rsidTr="00310B16">
        <w:trPr>
          <w:trHeight w:val="397"/>
        </w:trPr>
        <w:tc>
          <w:tcPr>
            <w:tcW w:w="1458" w:type="pct"/>
            <w:tcBorders>
              <w:top w:val="nil"/>
              <w:bottom w:val="nil"/>
            </w:tcBorders>
            <w:vAlign w:val="center"/>
          </w:tcPr>
          <w:p w14:paraId="4FCAAB61" w14:textId="77777777" w:rsidR="00426E35" w:rsidRPr="00F16A5E" w:rsidRDefault="00426E35" w:rsidP="00310B16">
            <w:r w:rsidRPr="00F16A5E">
              <w:t>Urine pregnancy test</w:t>
            </w:r>
          </w:p>
        </w:tc>
        <w:tc>
          <w:tcPr>
            <w:tcW w:w="3542" w:type="pct"/>
            <w:tcBorders>
              <w:top w:val="nil"/>
              <w:bottom w:val="nil"/>
            </w:tcBorders>
            <w:vAlign w:val="center"/>
          </w:tcPr>
          <w:p w14:paraId="2D1D8EF7" w14:textId="77777777" w:rsidR="00426E35" w:rsidRPr="00F16A5E" w:rsidRDefault="00426E35" w:rsidP="00310B16">
            <w:r w:rsidRPr="00F16A5E">
              <w:t>Perform urine pregnancy test</w:t>
            </w:r>
          </w:p>
        </w:tc>
      </w:tr>
      <w:tr w:rsidR="00426E35" w:rsidRPr="00F16A5E" w14:paraId="7552407E" w14:textId="77777777" w:rsidTr="00310B16">
        <w:trPr>
          <w:trHeight w:val="397"/>
        </w:trPr>
        <w:tc>
          <w:tcPr>
            <w:tcW w:w="1458" w:type="pct"/>
            <w:tcBorders>
              <w:bottom w:val="nil"/>
            </w:tcBorders>
            <w:vAlign w:val="center"/>
          </w:tcPr>
          <w:p w14:paraId="134397C6" w14:textId="30CE477C" w:rsidR="00426E35" w:rsidRPr="00F16A5E" w:rsidRDefault="00426E35" w:rsidP="00310B16">
            <w:r w:rsidRPr="00F16A5E">
              <w:t>12-lead ECG</w:t>
            </w:r>
          </w:p>
        </w:tc>
        <w:tc>
          <w:tcPr>
            <w:tcW w:w="3542" w:type="pct"/>
            <w:tcBorders>
              <w:bottom w:val="nil"/>
            </w:tcBorders>
            <w:vAlign w:val="center"/>
          </w:tcPr>
          <w:p w14:paraId="232248DE" w14:textId="7A22DC88" w:rsidR="00426E35" w:rsidRPr="00F16A5E" w:rsidRDefault="00426E35" w:rsidP="00310B16">
            <w:r w:rsidRPr="00F16A5E">
              <w:t>Perform 12-lead ECG</w:t>
            </w:r>
          </w:p>
        </w:tc>
      </w:tr>
      <w:tr w:rsidR="00426E35" w:rsidRPr="00F16A5E" w14:paraId="550DF3A3" w14:textId="77777777" w:rsidTr="00310B16">
        <w:trPr>
          <w:trHeight w:val="397"/>
        </w:trPr>
        <w:tc>
          <w:tcPr>
            <w:tcW w:w="1458" w:type="pct"/>
            <w:tcBorders>
              <w:bottom w:val="nil"/>
            </w:tcBorders>
            <w:vAlign w:val="center"/>
          </w:tcPr>
          <w:p w14:paraId="6F81056D" w14:textId="77777777" w:rsidR="00426E35" w:rsidRPr="00F16A5E" w:rsidRDefault="00426E35" w:rsidP="00310B16">
            <w:r w:rsidRPr="00F16A5E">
              <w:t>Echocardiography</w:t>
            </w:r>
          </w:p>
        </w:tc>
        <w:tc>
          <w:tcPr>
            <w:tcW w:w="3542" w:type="pct"/>
            <w:tcBorders>
              <w:bottom w:val="nil"/>
            </w:tcBorders>
            <w:vAlign w:val="center"/>
          </w:tcPr>
          <w:p w14:paraId="43BA16EA" w14:textId="77777777" w:rsidR="00426E35" w:rsidRPr="00F16A5E" w:rsidRDefault="00426E35" w:rsidP="00310B16">
            <w:r w:rsidRPr="00F16A5E">
              <w:t>Perform echocardiography measurement, results within 5 days can be accepted.</w:t>
            </w:r>
          </w:p>
        </w:tc>
      </w:tr>
      <w:tr w:rsidR="00426E35" w:rsidRPr="00F16A5E" w14:paraId="4F246D09" w14:textId="77777777" w:rsidTr="00310B16">
        <w:trPr>
          <w:trHeight w:val="397"/>
        </w:trPr>
        <w:tc>
          <w:tcPr>
            <w:tcW w:w="1458" w:type="pct"/>
            <w:tcBorders>
              <w:top w:val="nil"/>
              <w:bottom w:val="nil"/>
            </w:tcBorders>
            <w:vAlign w:val="center"/>
          </w:tcPr>
          <w:p w14:paraId="13488BE2" w14:textId="77777777" w:rsidR="00426E35" w:rsidRPr="00F16A5E" w:rsidRDefault="00426E35" w:rsidP="00310B16">
            <w:r w:rsidRPr="00F16A5E">
              <w:t>Adverse event recording</w:t>
            </w:r>
          </w:p>
        </w:tc>
        <w:tc>
          <w:tcPr>
            <w:tcW w:w="3542" w:type="pct"/>
            <w:tcBorders>
              <w:top w:val="nil"/>
              <w:bottom w:val="nil"/>
            </w:tcBorders>
            <w:vAlign w:val="center"/>
          </w:tcPr>
          <w:p w14:paraId="612B2482" w14:textId="77777777" w:rsidR="00426E35" w:rsidRPr="00F16A5E" w:rsidRDefault="00426E35" w:rsidP="00310B16">
            <w:r w:rsidRPr="00F16A5E">
              <w:t>Record adverse events</w:t>
            </w:r>
          </w:p>
        </w:tc>
      </w:tr>
      <w:tr w:rsidR="00426E35" w:rsidRPr="00F16A5E" w14:paraId="683F846D" w14:textId="77777777" w:rsidTr="00310B16">
        <w:trPr>
          <w:trHeight w:val="397"/>
        </w:trPr>
        <w:tc>
          <w:tcPr>
            <w:tcW w:w="5000" w:type="pct"/>
            <w:gridSpan w:val="2"/>
            <w:tcBorders>
              <w:top w:val="nil"/>
              <w:bottom w:val="nil"/>
            </w:tcBorders>
            <w:vAlign w:val="center"/>
          </w:tcPr>
          <w:p w14:paraId="4377DBFE" w14:textId="77777777" w:rsidR="00426E35" w:rsidRPr="00F16A5E" w:rsidRDefault="00426E35" w:rsidP="00426E35">
            <w:pPr>
              <w:jc w:val="center"/>
              <w:rPr>
                <w:b/>
                <w:bCs/>
              </w:rPr>
            </w:pPr>
            <w:r w:rsidRPr="00F16A5E">
              <w:rPr>
                <w:b/>
                <w:bCs/>
              </w:rPr>
              <w:t>Other Evaluations</w:t>
            </w:r>
          </w:p>
        </w:tc>
      </w:tr>
      <w:tr w:rsidR="00426E35" w:rsidRPr="00F16A5E" w14:paraId="16F38FC9" w14:textId="77777777" w:rsidTr="00310B16">
        <w:trPr>
          <w:trHeight w:val="397"/>
        </w:trPr>
        <w:tc>
          <w:tcPr>
            <w:tcW w:w="1458" w:type="pct"/>
            <w:tcBorders>
              <w:top w:val="nil"/>
              <w:bottom w:val="nil"/>
            </w:tcBorders>
            <w:vAlign w:val="center"/>
          </w:tcPr>
          <w:p w14:paraId="67C82BAD" w14:textId="77777777" w:rsidR="00426E35" w:rsidRPr="00F16A5E" w:rsidRDefault="00426E35" w:rsidP="00310B16">
            <w:r w:rsidRPr="00F16A5E">
              <w:t>SRI</w:t>
            </w:r>
          </w:p>
        </w:tc>
        <w:tc>
          <w:tcPr>
            <w:tcW w:w="3542" w:type="pct"/>
            <w:tcBorders>
              <w:top w:val="nil"/>
              <w:bottom w:val="nil"/>
            </w:tcBorders>
            <w:vAlign w:val="center"/>
          </w:tcPr>
          <w:p w14:paraId="05408323" w14:textId="77777777" w:rsidR="00426E35" w:rsidRPr="00F16A5E" w:rsidRDefault="00426E35" w:rsidP="00310B16">
            <w:r w:rsidRPr="00F16A5E">
              <w:t>Perform SRI-4 and SRI-6 evaluation</w:t>
            </w:r>
          </w:p>
        </w:tc>
      </w:tr>
      <w:tr w:rsidR="00426E35" w:rsidRPr="00F16A5E" w14:paraId="0DBBC367" w14:textId="77777777" w:rsidTr="00310B16">
        <w:trPr>
          <w:trHeight w:val="397"/>
        </w:trPr>
        <w:tc>
          <w:tcPr>
            <w:tcW w:w="1458" w:type="pct"/>
            <w:tcBorders>
              <w:top w:val="nil"/>
              <w:bottom w:val="nil"/>
            </w:tcBorders>
            <w:vAlign w:val="center"/>
          </w:tcPr>
          <w:p w14:paraId="18DFE318" w14:textId="77777777" w:rsidR="00426E35" w:rsidRPr="00F16A5E" w:rsidRDefault="00426E35" w:rsidP="00310B16">
            <w:r w:rsidRPr="00F16A5E">
              <w:t>SLEDAI-2K</w:t>
            </w:r>
          </w:p>
        </w:tc>
        <w:tc>
          <w:tcPr>
            <w:tcW w:w="3542" w:type="pct"/>
            <w:tcBorders>
              <w:top w:val="nil"/>
              <w:bottom w:val="nil"/>
            </w:tcBorders>
            <w:vAlign w:val="center"/>
          </w:tcPr>
          <w:p w14:paraId="6017D7B9" w14:textId="77777777" w:rsidR="00426E35" w:rsidRPr="00F16A5E" w:rsidRDefault="00426E35" w:rsidP="00310B16">
            <w:r w:rsidRPr="00F16A5E">
              <w:t>Perform SLEDAI-2K evaluation</w:t>
            </w:r>
          </w:p>
        </w:tc>
      </w:tr>
      <w:tr w:rsidR="00426E35" w:rsidRPr="00F16A5E" w14:paraId="6AAA4BC5" w14:textId="77777777" w:rsidTr="00310B16">
        <w:trPr>
          <w:trHeight w:val="397"/>
        </w:trPr>
        <w:tc>
          <w:tcPr>
            <w:tcW w:w="1458" w:type="pct"/>
            <w:tcBorders>
              <w:top w:val="nil"/>
              <w:bottom w:val="nil"/>
            </w:tcBorders>
            <w:vAlign w:val="center"/>
          </w:tcPr>
          <w:p w14:paraId="77440F2C" w14:textId="77777777" w:rsidR="00426E35" w:rsidRPr="00F16A5E" w:rsidRDefault="00426E35" w:rsidP="00310B16">
            <w:r w:rsidRPr="00F16A5E">
              <w:lastRenderedPageBreak/>
              <w:t>BILAG-2004</w:t>
            </w:r>
          </w:p>
        </w:tc>
        <w:tc>
          <w:tcPr>
            <w:tcW w:w="3542" w:type="pct"/>
            <w:tcBorders>
              <w:top w:val="nil"/>
              <w:bottom w:val="nil"/>
            </w:tcBorders>
            <w:vAlign w:val="center"/>
          </w:tcPr>
          <w:p w14:paraId="0906F323" w14:textId="77777777" w:rsidR="00426E35" w:rsidRPr="00F16A5E" w:rsidRDefault="00426E35" w:rsidP="00310B16">
            <w:r w:rsidRPr="00F16A5E">
              <w:t>Perform BILAG-2004 evaluation</w:t>
            </w:r>
          </w:p>
        </w:tc>
      </w:tr>
      <w:tr w:rsidR="00426E35" w:rsidRPr="00F16A5E" w14:paraId="097F53D9" w14:textId="77777777" w:rsidTr="00310B16">
        <w:trPr>
          <w:trHeight w:val="397"/>
        </w:trPr>
        <w:tc>
          <w:tcPr>
            <w:tcW w:w="1458" w:type="pct"/>
            <w:tcBorders>
              <w:top w:val="nil"/>
              <w:bottom w:val="nil"/>
            </w:tcBorders>
            <w:vAlign w:val="center"/>
          </w:tcPr>
          <w:p w14:paraId="2229BE67" w14:textId="77777777" w:rsidR="00426E35" w:rsidRPr="00F16A5E" w:rsidRDefault="00426E35" w:rsidP="00310B16">
            <w:r w:rsidRPr="00F16A5E">
              <w:t>PGA</w:t>
            </w:r>
          </w:p>
        </w:tc>
        <w:tc>
          <w:tcPr>
            <w:tcW w:w="3542" w:type="pct"/>
            <w:tcBorders>
              <w:top w:val="nil"/>
              <w:bottom w:val="nil"/>
            </w:tcBorders>
            <w:vAlign w:val="center"/>
          </w:tcPr>
          <w:p w14:paraId="367A363B" w14:textId="77777777" w:rsidR="00426E35" w:rsidRPr="00F16A5E" w:rsidRDefault="00426E35" w:rsidP="00310B16">
            <w:r w:rsidRPr="00F16A5E">
              <w:t>Perform PGA evaluation</w:t>
            </w:r>
          </w:p>
        </w:tc>
      </w:tr>
      <w:tr w:rsidR="00426E35" w:rsidRPr="00F16A5E" w14:paraId="6379947C" w14:textId="77777777" w:rsidTr="00310B16">
        <w:trPr>
          <w:trHeight w:val="397"/>
        </w:trPr>
        <w:tc>
          <w:tcPr>
            <w:tcW w:w="1458" w:type="pct"/>
            <w:tcBorders>
              <w:top w:val="nil"/>
              <w:bottom w:val="nil"/>
            </w:tcBorders>
            <w:vAlign w:val="center"/>
          </w:tcPr>
          <w:p w14:paraId="74C05A36" w14:textId="77777777" w:rsidR="00426E35" w:rsidRPr="00F16A5E" w:rsidRDefault="00426E35" w:rsidP="00310B16">
            <w:r w:rsidRPr="00F16A5E">
              <w:t>Joint evaluation</w:t>
            </w:r>
          </w:p>
        </w:tc>
        <w:tc>
          <w:tcPr>
            <w:tcW w:w="3542" w:type="pct"/>
            <w:tcBorders>
              <w:top w:val="nil"/>
              <w:bottom w:val="nil"/>
            </w:tcBorders>
            <w:vAlign w:val="center"/>
          </w:tcPr>
          <w:p w14:paraId="1251B42B" w14:textId="77777777" w:rsidR="00426E35" w:rsidRPr="00F16A5E" w:rsidRDefault="00426E35" w:rsidP="00310B16">
            <w:r w:rsidRPr="00F16A5E">
              <w:t>Perform joint evaluation</w:t>
            </w:r>
          </w:p>
        </w:tc>
      </w:tr>
      <w:tr w:rsidR="00426E35" w:rsidRPr="00F16A5E" w14:paraId="5B930FE8" w14:textId="77777777" w:rsidTr="00310B16">
        <w:trPr>
          <w:trHeight w:val="397"/>
        </w:trPr>
        <w:tc>
          <w:tcPr>
            <w:tcW w:w="1458" w:type="pct"/>
            <w:tcBorders>
              <w:top w:val="nil"/>
              <w:bottom w:val="single" w:sz="4" w:space="0" w:color="auto"/>
            </w:tcBorders>
            <w:vAlign w:val="center"/>
          </w:tcPr>
          <w:p w14:paraId="4A424219" w14:textId="356E29B7" w:rsidR="00426E35" w:rsidRPr="00F16A5E" w:rsidRDefault="00426E35" w:rsidP="00310B16">
            <w:r w:rsidRPr="00F16A5E">
              <w:t>Protein urine 24-hour quantification</w:t>
            </w:r>
          </w:p>
        </w:tc>
        <w:tc>
          <w:tcPr>
            <w:tcW w:w="3542" w:type="pct"/>
            <w:tcBorders>
              <w:top w:val="nil"/>
              <w:bottom w:val="single" w:sz="4" w:space="0" w:color="auto"/>
            </w:tcBorders>
            <w:vAlign w:val="center"/>
          </w:tcPr>
          <w:p w14:paraId="6AEE85E2" w14:textId="50C80722" w:rsidR="00426E35" w:rsidRPr="00F16A5E" w:rsidRDefault="00426E35" w:rsidP="00310B16">
            <w:r w:rsidRPr="00F16A5E">
              <w:t>Perform protein urine 24-hour quantitative determination</w:t>
            </w:r>
          </w:p>
        </w:tc>
      </w:tr>
    </w:tbl>
    <w:p w14:paraId="112A7537" w14:textId="77777777" w:rsidR="006E18E9" w:rsidRPr="00F16A5E" w:rsidRDefault="006E18E9" w:rsidP="006E18E9">
      <w:pPr>
        <w:rPr>
          <w:lang w:val="en-GB"/>
        </w:rPr>
      </w:pPr>
    </w:p>
    <w:p w14:paraId="24DF899C" w14:textId="68A3F490" w:rsidR="006E18E9" w:rsidRPr="00F16A5E" w:rsidRDefault="006E18E9" w:rsidP="006E18E9">
      <w:pPr>
        <w:pStyle w:val="3"/>
        <w:keepLines w:val="0"/>
        <w:spacing w:before="60" w:after="60" w:line="360" w:lineRule="auto"/>
        <w:rPr>
          <w:sz w:val="24"/>
          <w:szCs w:val="24"/>
        </w:rPr>
      </w:pPr>
      <w:bookmarkStart w:id="189" w:name="_Toc20224875"/>
      <w:bookmarkStart w:id="190" w:name="_Toc71149177"/>
      <w:r w:rsidRPr="00F16A5E">
        <w:rPr>
          <w:sz w:val="24"/>
          <w:szCs w:val="24"/>
        </w:rPr>
        <w:t>6.2.3</w:t>
      </w:r>
      <w:bookmarkEnd w:id="188"/>
      <w:bookmarkEnd w:id="189"/>
      <w:r w:rsidR="00426E35" w:rsidRPr="00F16A5E">
        <w:rPr>
          <w:sz w:val="24"/>
          <w:szCs w:val="24"/>
        </w:rPr>
        <w:tab/>
        <w:t>Follow-up (28 days after last dose)</w:t>
      </w:r>
      <w:bookmarkEnd w:id="190"/>
    </w:p>
    <w:p w14:paraId="2EAEFC37" w14:textId="7425D727" w:rsidR="006E18E9" w:rsidRPr="00F16A5E" w:rsidRDefault="00426E35" w:rsidP="00426E35">
      <w:pPr>
        <w:spacing w:line="360" w:lineRule="auto"/>
        <w:rPr>
          <w:kern w:val="0"/>
          <w:sz w:val="24"/>
        </w:rPr>
      </w:pPr>
      <w:r w:rsidRPr="00F16A5E">
        <w:rPr>
          <w:kern w:val="0"/>
          <w:sz w:val="24"/>
        </w:rPr>
        <w:t xml:space="preserve">Subjects will be followed up on the 28 (±5) days after the last lost, and adverse events within these 28 days after the last dose will be recorded. The items to be performed during the follow-up period is as follows: </w:t>
      </w:r>
    </w:p>
    <w:p w14:paraId="0A0E9BF5" w14:textId="580B0C91" w:rsidR="006E18E9" w:rsidRPr="00F16A5E" w:rsidRDefault="00426E35" w:rsidP="006E18E9">
      <w:pPr>
        <w:keepNext/>
        <w:spacing w:line="360" w:lineRule="auto"/>
        <w:jc w:val="center"/>
        <w:rPr>
          <w:b/>
          <w:color w:val="0D0D0D"/>
          <w:sz w:val="24"/>
          <w:szCs w:val="21"/>
          <w:lang w:val="en-GB"/>
        </w:rPr>
      </w:pPr>
      <w:r w:rsidRPr="00F16A5E">
        <w:rPr>
          <w:b/>
          <w:color w:val="0D0D0D"/>
          <w:sz w:val="24"/>
          <w:szCs w:val="21"/>
        </w:rPr>
        <w:t xml:space="preserve">Table </w:t>
      </w:r>
      <w:r w:rsidR="0079358D" w:rsidRPr="00F16A5E">
        <w:rPr>
          <w:b/>
          <w:color w:val="0D0D0D"/>
          <w:sz w:val="24"/>
          <w:szCs w:val="21"/>
          <w:lang w:val="en-GB"/>
        </w:rPr>
        <w:t>6</w:t>
      </w:r>
      <w:r w:rsidR="006E18E9" w:rsidRPr="00F16A5E">
        <w:rPr>
          <w:b/>
          <w:color w:val="0D0D0D"/>
          <w:sz w:val="24"/>
          <w:szCs w:val="21"/>
          <w:lang w:val="en-GB"/>
        </w:rPr>
        <w:t>.</w:t>
      </w:r>
      <w:r w:rsidRPr="00F16A5E">
        <w:rPr>
          <w:b/>
          <w:color w:val="0D0D0D"/>
          <w:sz w:val="24"/>
          <w:szCs w:val="21"/>
          <w:lang w:val="en-GB"/>
        </w:rPr>
        <w:tab/>
        <w:t>Items to be Performed during the Follow-up Period</w:t>
      </w:r>
    </w:p>
    <w:tbl>
      <w:tblPr>
        <w:tblW w:w="5000" w:type="pct"/>
        <w:tblBorders>
          <w:top w:val="single" w:sz="8" w:space="0" w:color="auto"/>
          <w:bottom w:val="single" w:sz="8" w:space="0" w:color="auto"/>
        </w:tblBorders>
        <w:tblLook w:val="0000" w:firstRow="0" w:lastRow="0" w:firstColumn="0" w:lastColumn="0" w:noHBand="0" w:noVBand="0"/>
      </w:tblPr>
      <w:tblGrid>
        <w:gridCol w:w="2810"/>
        <w:gridCol w:w="6828"/>
      </w:tblGrid>
      <w:tr w:rsidR="00426E35" w:rsidRPr="00F16A5E" w14:paraId="36A9B035" w14:textId="77777777" w:rsidTr="00310B16">
        <w:trPr>
          <w:trHeight w:val="397"/>
          <w:tblHeader/>
        </w:trPr>
        <w:tc>
          <w:tcPr>
            <w:tcW w:w="1458" w:type="pct"/>
            <w:tcBorders>
              <w:top w:val="single" w:sz="8" w:space="0" w:color="auto"/>
              <w:bottom w:val="single" w:sz="8" w:space="0" w:color="auto"/>
            </w:tcBorders>
            <w:shd w:val="clear" w:color="auto" w:fill="E7E6E6"/>
            <w:vAlign w:val="center"/>
          </w:tcPr>
          <w:p w14:paraId="295513C6" w14:textId="77777777" w:rsidR="00426E35" w:rsidRPr="00F16A5E" w:rsidRDefault="00426E35" w:rsidP="00310B16">
            <w:pPr>
              <w:rPr>
                <w:b/>
                <w:bCs/>
              </w:rPr>
            </w:pPr>
            <w:r w:rsidRPr="00F16A5E">
              <w:rPr>
                <w:b/>
                <w:bCs/>
              </w:rPr>
              <w:t>Items</w:t>
            </w:r>
          </w:p>
        </w:tc>
        <w:tc>
          <w:tcPr>
            <w:tcW w:w="3542" w:type="pct"/>
            <w:tcBorders>
              <w:top w:val="single" w:sz="8" w:space="0" w:color="auto"/>
              <w:bottom w:val="single" w:sz="8" w:space="0" w:color="auto"/>
            </w:tcBorders>
            <w:shd w:val="clear" w:color="auto" w:fill="E7E6E6"/>
            <w:vAlign w:val="center"/>
          </w:tcPr>
          <w:p w14:paraId="3FE45BFC" w14:textId="77777777" w:rsidR="00426E35" w:rsidRPr="00F16A5E" w:rsidRDefault="00426E35" w:rsidP="00310B16">
            <w:pPr>
              <w:rPr>
                <w:b/>
                <w:bCs/>
              </w:rPr>
            </w:pPr>
            <w:r w:rsidRPr="00F16A5E">
              <w:rPr>
                <w:b/>
                <w:bCs/>
              </w:rPr>
              <w:t>Notes</w:t>
            </w:r>
          </w:p>
        </w:tc>
      </w:tr>
      <w:tr w:rsidR="00426E35" w:rsidRPr="00F16A5E" w14:paraId="0A361608" w14:textId="77777777" w:rsidTr="00310B16">
        <w:trPr>
          <w:trHeight w:val="397"/>
        </w:trPr>
        <w:tc>
          <w:tcPr>
            <w:tcW w:w="5000" w:type="pct"/>
            <w:gridSpan w:val="2"/>
            <w:tcBorders>
              <w:top w:val="single" w:sz="8" w:space="0" w:color="auto"/>
              <w:bottom w:val="nil"/>
            </w:tcBorders>
            <w:shd w:val="clear" w:color="auto" w:fill="D9E2F3"/>
            <w:vAlign w:val="center"/>
          </w:tcPr>
          <w:p w14:paraId="26D9BD0B" w14:textId="50ACAF13" w:rsidR="00426E35" w:rsidRPr="00F16A5E" w:rsidRDefault="00426E35" w:rsidP="00426E35">
            <w:pPr>
              <w:jc w:val="center"/>
              <w:rPr>
                <w:b/>
                <w:bCs/>
              </w:rPr>
            </w:pPr>
            <w:r w:rsidRPr="00F16A5E">
              <w:rPr>
                <w:b/>
                <w:bCs/>
              </w:rPr>
              <w:t>Study Procedure Management</w:t>
            </w:r>
          </w:p>
        </w:tc>
      </w:tr>
      <w:tr w:rsidR="00426E35" w:rsidRPr="00F16A5E" w14:paraId="4DB294E3" w14:textId="77777777" w:rsidTr="00310B16">
        <w:trPr>
          <w:trHeight w:val="397"/>
        </w:trPr>
        <w:tc>
          <w:tcPr>
            <w:tcW w:w="1458" w:type="pct"/>
            <w:tcBorders>
              <w:top w:val="nil"/>
              <w:bottom w:val="nil"/>
            </w:tcBorders>
            <w:vAlign w:val="center"/>
          </w:tcPr>
          <w:p w14:paraId="57F7EBE0" w14:textId="77777777" w:rsidR="00426E35" w:rsidRPr="00F16A5E" w:rsidRDefault="00426E35" w:rsidP="00310B16">
            <w:r w:rsidRPr="00F16A5E">
              <w:t>Concomitant medication records</w:t>
            </w:r>
          </w:p>
        </w:tc>
        <w:tc>
          <w:tcPr>
            <w:tcW w:w="3542" w:type="pct"/>
            <w:tcBorders>
              <w:top w:val="nil"/>
              <w:bottom w:val="nil"/>
            </w:tcBorders>
            <w:vAlign w:val="center"/>
          </w:tcPr>
          <w:p w14:paraId="5D20C857" w14:textId="77777777" w:rsidR="00426E35" w:rsidRPr="00F16A5E" w:rsidRDefault="00426E35" w:rsidP="00310B16">
            <w:r w:rsidRPr="00F16A5E">
              <w:t>Record concomitant medication</w:t>
            </w:r>
          </w:p>
        </w:tc>
      </w:tr>
      <w:tr w:rsidR="00426E35" w:rsidRPr="00F16A5E" w14:paraId="32AD519B" w14:textId="77777777" w:rsidTr="00310B16">
        <w:trPr>
          <w:trHeight w:val="397"/>
        </w:trPr>
        <w:tc>
          <w:tcPr>
            <w:tcW w:w="5000" w:type="pct"/>
            <w:gridSpan w:val="2"/>
            <w:tcBorders>
              <w:top w:val="nil"/>
              <w:bottom w:val="nil"/>
            </w:tcBorders>
            <w:shd w:val="clear" w:color="auto" w:fill="D9E2F3"/>
            <w:vAlign w:val="center"/>
          </w:tcPr>
          <w:p w14:paraId="570695CA" w14:textId="77777777" w:rsidR="00426E35" w:rsidRPr="00F16A5E" w:rsidRDefault="00426E35" w:rsidP="00426E35">
            <w:pPr>
              <w:jc w:val="center"/>
              <w:rPr>
                <w:b/>
                <w:bCs/>
              </w:rPr>
            </w:pPr>
            <w:r w:rsidRPr="00F16A5E">
              <w:rPr>
                <w:b/>
                <w:bCs/>
              </w:rPr>
              <w:t>Safety Evaluation</w:t>
            </w:r>
          </w:p>
        </w:tc>
      </w:tr>
      <w:tr w:rsidR="00426E35" w:rsidRPr="00F16A5E" w14:paraId="45DFB3C1" w14:textId="77777777" w:rsidTr="00310B16">
        <w:trPr>
          <w:trHeight w:val="397"/>
        </w:trPr>
        <w:tc>
          <w:tcPr>
            <w:tcW w:w="1458" w:type="pct"/>
            <w:tcBorders>
              <w:top w:val="nil"/>
            </w:tcBorders>
            <w:vAlign w:val="center"/>
          </w:tcPr>
          <w:p w14:paraId="3E207E60" w14:textId="7672F5D5" w:rsidR="00426E35" w:rsidRPr="00F16A5E" w:rsidRDefault="00426E35" w:rsidP="00426E35">
            <w:r w:rsidRPr="00F16A5E">
              <w:t>Physical examination</w:t>
            </w:r>
          </w:p>
        </w:tc>
        <w:tc>
          <w:tcPr>
            <w:tcW w:w="3542" w:type="pct"/>
            <w:tcBorders>
              <w:top w:val="nil"/>
            </w:tcBorders>
            <w:vAlign w:val="center"/>
          </w:tcPr>
          <w:p w14:paraId="7F9D0542" w14:textId="77777777" w:rsidR="00426E35" w:rsidRPr="00F16A5E" w:rsidRDefault="00426E35" w:rsidP="00426E35">
            <w:r w:rsidRPr="00F16A5E">
              <w:t>Physical examination</w:t>
            </w:r>
          </w:p>
        </w:tc>
      </w:tr>
      <w:tr w:rsidR="00426E35" w:rsidRPr="00F16A5E" w14:paraId="3757C1A6" w14:textId="77777777" w:rsidTr="00310B16">
        <w:trPr>
          <w:trHeight w:val="397"/>
        </w:trPr>
        <w:tc>
          <w:tcPr>
            <w:tcW w:w="1458" w:type="pct"/>
            <w:tcBorders>
              <w:top w:val="nil"/>
              <w:bottom w:val="nil"/>
            </w:tcBorders>
            <w:vAlign w:val="center"/>
          </w:tcPr>
          <w:p w14:paraId="31FFD9D7" w14:textId="507F762E" w:rsidR="00426E35" w:rsidRPr="00F16A5E" w:rsidRDefault="00426E35" w:rsidP="00426E35">
            <w:r w:rsidRPr="00F16A5E">
              <w:t>Vital signs</w:t>
            </w:r>
          </w:p>
        </w:tc>
        <w:tc>
          <w:tcPr>
            <w:tcW w:w="3542" w:type="pct"/>
            <w:tcBorders>
              <w:top w:val="nil"/>
              <w:bottom w:val="nil"/>
            </w:tcBorders>
            <w:vAlign w:val="center"/>
          </w:tcPr>
          <w:p w14:paraId="3F54E812" w14:textId="77777777" w:rsidR="00426E35" w:rsidRPr="00F16A5E" w:rsidRDefault="00426E35" w:rsidP="00426E35">
            <w:r w:rsidRPr="00F16A5E">
              <w:t>Perform vital signs measurements</w:t>
            </w:r>
          </w:p>
        </w:tc>
      </w:tr>
      <w:tr w:rsidR="00426E35" w:rsidRPr="00F16A5E" w14:paraId="683CD6CD" w14:textId="77777777" w:rsidTr="00310B16">
        <w:trPr>
          <w:trHeight w:val="397"/>
        </w:trPr>
        <w:tc>
          <w:tcPr>
            <w:tcW w:w="1458" w:type="pct"/>
            <w:vAlign w:val="center"/>
          </w:tcPr>
          <w:p w14:paraId="3CACBF3E" w14:textId="500BFC0B" w:rsidR="00426E35" w:rsidRPr="00F16A5E" w:rsidRDefault="00426E35" w:rsidP="00310B16">
            <w:proofErr w:type="spellStart"/>
            <w:r w:rsidRPr="00F16A5E">
              <w:t>Haematology</w:t>
            </w:r>
            <w:proofErr w:type="spellEnd"/>
            <w:r w:rsidRPr="00F16A5E">
              <w:t>, urinalysis, blood chemistry, electrolytes, amylase, lipase, coagulation</w:t>
            </w:r>
          </w:p>
        </w:tc>
        <w:tc>
          <w:tcPr>
            <w:tcW w:w="3542" w:type="pct"/>
            <w:vAlign w:val="center"/>
          </w:tcPr>
          <w:p w14:paraId="4A31815E" w14:textId="77777777" w:rsidR="00426E35" w:rsidRPr="00F16A5E" w:rsidRDefault="00426E35" w:rsidP="00310B16">
            <w:r w:rsidRPr="00F16A5E">
              <w:t>Perform laboratory tests on the left column</w:t>
            </w:r>
          </w:p>
        </w:tc>
      </w:tr>
      <w:tr w:rsidR="00426E35" w:rsidRPr="00F16A5E" w14:paraId="6016EF1A" w14:textId="77777777" w:rsidTr="00310B16">
        <w:trPr>
          <w:trHeight w:val="397"/>
        </w:trPr>
        <w:tc>
          <w:tcPr>
            <w:tcW w:w="1458" w:type="pct"/>
            <w:vAlign w:val="center"/>
          </w:tcPr>
          <w:p w14:paraId="010966A5" w14:textId="77777777" w:rsidR="00426E35" w:rsidRPr="00F16A5E" w:rsidRDefault="00426E35" w:rsidP="00310B16">
            <w:r w:rsidRPr="00F16A5E">
              <w:t>5 items of thyroid function</w:t>
            </w:r>
          </w:p>
        </w:tc>
        <w:tc>
          <w:tcPr>
            <w:tcW w:w="3542" w:type="pct"/>
            <w:vAlign w:val="center"/>
          </w:tcPr>
          <w:p w14:paraId="60B37832" w14:textId="77777777" w:rsidR="00426E35" w:rsidRPr="00F16A5E" w:rsidRDefault="00426E35" w:rsidP="00310B16">
            <w:r w:rsidRPr="00F16A5E">
              <w:t>Perform 5 items of thyroid function test</w:t>
            </w:r>
          </w:p>
        </w:tc>
      </w:tr>
      <w:tr w:rsidR="00426E35" w:rsidRPr="00F16A5E" w14:paraId="3F753A9C" w14:textId="77777777" w:rsidTr="00310B16">
        <w:trPr>
          <w:trHeight w:val="397"/>
        </w:trPr>
        <w:tc>
          <w:tcPr>
            <w:tcW w:w="1458" w:type="pct"/>
            <w:vAlign w:val="center"/>
          </w:tcPr>
          <w:p w14:paraId="6ADFB50C" w14:textId="77777777" w:rsidR="00426E35" w:rsidRPr="00F16A5E" w:rsidRDefault="00426E35" w:rsidP="00310B16">
            <w:r w:rsidRPr="00F16A5E">
              <w:t>Urine pregnancy test</w:t>
            </w:r>
          </w:p>
        </w:tc>
        <w:tc>
          <w:tcPr>
            <w:tcW w:w="3542" w:type="pct"/>
            <w:vAlign w:val="center"/>
          </w:tcPr>
          <w:p w14:paraId="23319030" w14:textId="77777777" w:rsidR="00426E35" w:rsidRPr="00F16A5E" w:rsidRDefault="00426E35" w:rsidP="00310B16">
            <w:r w:rsidRPr="00F16A5E">
              <w:t>Perform urine pregnancy test</w:t>
            </w:r>
          </w:p>
        </w:tc>
      </w:tr>
      <w:tr w:rsidR="00426E35" w:rsidRPr="00F16A5E" w14:paraId="3453E395" w14:textId="77777777" w:rsidTr="00310B16">
        <w:trPr>
          <w:trHeight w:val="397"/>
        </w:trPr>
        <w:tc>
          <w:tcPr>
            <w:tcW w:w="1458" w:type="pct"/>
            <w:tcBorders>
              <w:bottom w:val="nil"/>
            </w:tcBorders>
            <w:vAlign w:val="center"/>
          </w:tcPr>
          <w:p w14:paraId="0F563CDB" w14:textId="4CBD028B" w:rsidR="00426E35" w:rsidRPr="00F16A5E" w:rsidRDefault="00426E35" w:rsidP="00310B16">
            <w:r w:rsidRPr="00F16A5E">
              <w:t>12-lead ECG</w:t>
            </w:r>
          </w:p>
        </w:tc>
        <w:tc>
          <w:tcPr>
            <w:tcW w:w="3542" w:type="pct"/>
            <w:tcBorders>
              <w:bottom w:val="nil"/>
            </w:tcBorders>
            <w:vAlign w:val="center"/>
          </w:tcPr>
          <w:p w14:paraId="7A694A4A" w14:textId="7C2324AD" w:rsidR="00426E35" w:rsidRPr="00F16A5E" w:rsidRDefault="00426E35" w:rsidP="00310B16">
            <w:r w:rsidRPr="00F16A5E">
              <w:t>Perform 12-lead ECG</w:t>
            </w:r>
          </w:p>
        </w:tc>
      </w:tr>
      <w:tr w:rsidR="00426E35" w:rsidRPr="00F16A5E" w14:paraId="18FE5ED7" w14:textId="77777777" w:rsidTr="00310B16">
        <w:trPr>
          <w:trHeight w:val="397"/>
        </w:trPr>
        <w:tc>
          <w:tcPr>
            <w:tcW w:w="1458" w:type="pct"/>
            <w:tcBorders>
              <w:bottom w:val="nil"/>
            </w:tcBorders>
            <w:vAlign w:val="center"/>
          </w:tcPr>
          <w:p w14:paraId="114E97C9" w14:textId="77777777" w:rsidR="00426E35" w:rsidRPr="00F16A5E" w:rsidRDefault="00426E35" w:rsidP="00310B16">
            <w:r w:rsidRPr="00F16A5E">
              <w:t>Echocardiography</w:t>
            </w:r>
          </w:p>
        </w:tc>
        <w:tc>
          <w:tcPr>
            <w:tcW w:w="3542" w:type="pct"/>
            <w:tcBorders>
              <w:bottom w:val="nil"/>
            </w:tcBorders>
            <w:vAlign w:val="center"/>
          </w:tcPr>
          <w:p w14:paraId="0F21A688" w14:textId="77777777" w:rsidR="00426E35" w:rsidRPr="00F16A5E" w:rsidRDefault="00426E35" w:rsidP="00310B16">
            <w:r w:rsidRPr="00F16A5E">
              <w:t>as clinically indicated</w:t>
            </w:r>
          </w:p>
        </w:tc>
      </w:tr>
      <w:tr w:rsidR="00426E35" w:rsidRPr="00F16A5E" w14:paraId="7692CF23" w14:textId="77777777" w:rsidTr="00310B16">
        <w:trPr>
          <w:trHeight w:val="397"/>
        </w:trPr>
        <w:tc>
          <w:tcPr>
            <w:tcW w:w="1458" w:type="pct"/>
            <w:tcBorders>
              <w:top w:val="nil"/>
              <w:bottom w:val="single" w:sz="4" w:space="0" w:color="auto"/>
            </w:tcBorders>
            <w:vAlign w:val="center"/>
          </w:tcPr>
          <w:p w14:paraId="718910C1" w14:textId="77777777" w:rsidR="00426E35" w:rsidRPr="00F16A5E" w:rsidRDefault="00426E35" w:rsidP="00310B16">
            <w:r w:rsidRPr="00F16A5E">
              <w:t>Adverse event recording</w:t>
            </w:r>
          </w:p>
        </w:tc>
        <w:tc>
          <w:tcPr>
            <w:tcW w:w="3542" w:type="pct"/>
            <w:tcBorders>
              <w:top w:val="nil"/>
              <w:bottom w:val="single" w:sz="4" w:space="0" w:color="auto"/>
            </w:tcBorders>
            <w:vAlign w:val="center"/>
          </w:tcPr>
          <w:p w14:paraId="3254B439" w14:textId="77777777" w:rsidR="00426E35" w:rsidRPr="00F16A5E" w:rsidRDefault="00426E35" w:rsidP="00310B16">
            <w:r w:rsidRPr="00F16A5E">
              <w:t>Record adverse events</w:t>
            </w:r>
          </w:p>
        </w:tc>
      </w:tr>
    </w:tbl>
    <w:p w14:paraId="3343AE22" w14:textId="38B067B8"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191" w:name="_Toc487477894"/>
      <w:bookmarkStart w:id="192" w:name="_Toc7170260"/>
      <w:bookmarkStart w:id="193" w:name="_Toc9456204"/>
      <w:bookmarkStart w:id="194" w:name="_Toc20224876"/>
      <w:bookmarkStart w:id="195" w:name="_Toc71149178"/>
      <w:r w:rsidRPr="00F16A5E">
        <w:rPr>
          <w:rFonts w:ascii="Times New Roman" w:eastAsia="宋体" w:hAnsi="Times New Roman"/>
          <w:sz w:val="24"/>
        </w:rPr>
        <w:t>6.3</w:t>
      </w:r>
      <w:bookmarkEnd w:id="191"/>
      <w:bookmarkEnd w:id="192"/>
      <w:bookmarkEnd w:id="193"/>
      <w:bookmarkEnd w:id="194"/>
      <w:r w:rsidR="00426E35" w:rsidRPr="00F16A5E">
        <w:rPr>
          <w:rFonts w:ascii="Times New Roman" w:eastAsia="宋体" w:hAnsi="Times New Roman"/>
          <w:sz w:val="24"/>
        </w:rPr>
        <w:tab/>
        <w:t>Unscheduled visits</w:t>
      </w:r>
      <w:bookmarkEnd w:id="195"/>
    </w:p>
    <w:p w14:paraId="467C2006" w14:textId="51CED61A" w:rsidR="006E18E9" w:rsidRPr="00F16A5E" w:rsidRDefault="00C92527" w:rsidP="00C92527">
      <w:pPr>
        <w:spacing w:beforeLines="50" w:before="156" w:line="300" w:lineRule="auto"/>
        <w:rPr>
          <w:color w:val="0D0D0D"/>
          <w:kern w:val="0"/>
          <w:sz w:val="24"/>
        </w:rPr>
      </w:pPr>
      <w:r w:rsidRPr="00F16A5E">
        <w:rPr>
          <w:color w:val="0D0D0D"/>
          <w:kern w:val="0"/>
          <w:sz w:val="24"/>
        </w:rPr>
        <w:t>Unscheduled visits refer to visits outside of the protocol plan arranged by the investigator for the safety or benefit of the subject. In this visit, information on adverse events, concomitant medications, and investigational medications since the last follow-up will be collected.</w:t>
      </w:r>
    </w:p>
    <w:p w14:paraId="22E55F92" w14:textId="65DF6523" w:rsidR="006E18E9" w:rsidRPr="00F16A5E" w:rsidRDefault="006E18E9" w:rsidP="006E18E9">
      <w:pPr>
        <w:pStyle w:val="1"/>
        <w:pageBreakBefore/>
        <w:spacing w:beforeLines="0" w:before="120" w:line="360" w:lineRule="auto"/>
        <w:jc w:val="both"/>
        <w:rPr>
          <w:rFonts w:eastAsia="宋体"/>
          <w:sz w:val="24"/>
          <w:lang w:eastAsia="zh-CN"/>
        </w:rPr>
      </w:pPr>
      <w:bookmarkStart w:id="196" w:name="_Toc7170265"/>
      <w:bookmarkStart w:id="197" w:name="_Toc9456205"/>
      <w:bookmarkStart w:id="198" w:name="_Toc20224877"/>
      <w:bookmarkStart w:id="199" w:name="_Toc71149179"/>
      <w:r w:rsidRPr="00F16A5E">
        <w:rPr>
          <w:rFonts w:eastAsia="宋体"/>
          <w:sz w:val="24"/>
          <w:lang w:eastAsia="zh-CN"/>
        </w:rPr>
        <w:lastRenderedPageBreak/>
        <w:t>7</w:t>
      </w:r>
      <w:bookmarkEnd w:id="196"/>
      <w:bookmarkEnd w:id="197"/>
      <w:bookmarkEnd w:id="198"/>
      <w:r w:rsidR="00C92527" w:rsidRPr="00F16A5E">
        <w:rPr>
          <w:rFonts w:eastAsia="宋体"/>
          <w:sz w:val="24"/>
          <w:lang w:eastAsia="zh-CN"/>
        </w:rPr>
        <w:tab/>
        <w:t>Early Termination and Withdrawal</w:t>
      </w:r>
      <w:bookmarkEnd w:id="199"/>
    </w:p>
    <w:p w14:paraId="54903243" w14:textId="7AD14CBC" w:rsidR="006E18E9" w:rsidRPr="00F16A5E" w:rsidRDefault="006E18E9" w:rsidP="006E18E9">
      <w:pPr>
        <w:pStyle w:val="2"/>
        <w:keepLines w:val="0"/>
        <w:spacing w:before="60" w:after="60" w:line="360" w:lineRule="auto"/>
        <w:rPr>
          <w:rFonts w:ascii="Times New Roman" w:eastAsia="宋体" w:hAnsi="Times New Roman"/>
          <w:sz w:val="24"/>
        </w:rPr>
      </w:pPr>
      <w:bookmarkStart w:id="200" w:name="_Toc7170266"/>
      <w:bookmarkStart w:id="201" w:name="_Toc9456206"/>
      <w:bookmarkStart w:id="202" w:name="_Toc20224878"/>
      <w:bookmarkStart w:id="203" w:name="_Toc71149180"/>
      <w:r w:rsidRPr="00F16A5E">
        <w:rPr>
          <w:rFonts w:ascii="Times New Roman" w:eastAsia="宋体" w:hAnsi="Times New Roman"/>
          <w:sz w:val="24"/>
        </w:rPr>
        <w:t>7.1</w:t>
      </w:r>
      <w:bookmarkEnd w:id="200"/>
      <w:bookmarkEnd w:id="201"/>
      <w:bookmarkEnd w:id="202"/>
      <w:r w:rsidR="00C92527" w:rsidRPr="00F16A5E">
        <w:rPr>
          <w:rFonts w:ascii="Times New Roman" w:eastAsia="宋体" w:hAnsi="Times New Roman"/>
          <w:sz w:val="24"/>
        </w:rPr>
        <w:tab/>
        <w:t>Early Termination</w:t>
      </w:r>
      <w:bookmarkEnd w:id="203"/>
      <w:r w:rsidR="00C92527" w:rsidRPr="00F16A5E">
        <w:rPr>
          <w:rFonts w:ascii="Times New Roman" w:eastAsia="宋体" w:hAnsi="Times New Roman"/>
          <w:sz w:val="24"/>
        </w:rPr>
        <w:t xml:space="preserve"> </w:t>
      </w:r>
    </w:p>
    <w:p w14:paraId="6215936B" w14:textId="77777777" w:rsidR="00C92527" w:rsidRPr="00F16A5E" w:rsidRDefault="00C92527" w:rsidP="00E812D4">
      <w:pPr>
        <w:spacing w:line="360" w:lineRule="auto"/>
        <w:rPr>
          <w:bCs/>
          <w:sz w:val="24"/>
        </w:rPr>
      </w:pPr>
      <w:r w:rsidRPr="00F16A5E">
        <w:rPr>
          <w:bCs/>
          <w:sz w:val="24"/>
        </w:rPr>
        <w:t>The study may be terminated by the request of the sponsor, the investigator, or the regulatory authority. If any party requests to terminate the study prematurely, it must promptly and accurately inform the other parties, and a joint consultation in advance is necessary for the termination. If the trial needs to be terminated or suspended, the investigator should inform the Ethics Committee of the reason in accordance with the relevant regulations.</w:t>
      </w:r>
    </w:p>
    <w:p w14:paraId="70C55BFD" w14:textId="77777777" w:rsidR="00C92527" w:rsidRPr="00F16A5E" w:rsidRDefault="00C92527" w:rsidP="00A102DF">
      <w:pPr>
        <w:spacing w:line="360" w:lineRule="auto"/>
        <w:rPr>
          <w:bCs/>
          <w:sz w:val="24"/>
        </w:rPr>
      </w:pPr>
      <w:r w:rsidRPr="00F16A5E">
        <w:rPr>
          <w:bCs/>
          <w:sz w:val="24"/>
        </w:rPr>
        <w:t>This trial may be terminated if:</w:t>
      </w:r>
    </w:p>
    <w:p w14:paraId="5E66FD3B" w14:textId="77777777" w:rsidR="00C92527" w:rsidRPr="00F16A5E" w:rsidRDefault="00C92527" w:rsidP="00C92527">
      <w:pPr>
        <w:numPr>
          <w:ilvl w:val="0"/>
          <w:numId w:val="11"/>
        </w:numPr>
        <w:autoSpaceDE w:val="0"/>
        <w:autoSpaceDN w:val="0"/>
        <w:spacing w:line="360" w:lineRule="auto"/>
        <w:ind w:leftChars="200" w:left="900" w:hangingChars="200" w:hanging="480"/>
        <w:rPr>
          <w:bCs/>
          <w:sz w:val="24"/>
        </w:rPr>
      </w:pPr>
      <w:r w:rsidRPr="00F16A5E">
        <w:rPr>
          <w:bCs/>
          <w:sz w:val="24"/>
        </w:rPr>
        <w:t>Investigators find serious safety issues;</w:t>
      </w:r>
    </w:p>
    <w:p w14:paraId="300DB83F" w14:textId="6610390C" w:rsidR="00C92527" w:rsidRPr="00F16A5E" w:rsidRDefault="00C92527" w:rsidP="00C92527">
      <w:pPr>
        <w:numPr>
          <w:ilvl w:val="0"/>
          <w:numId w:val="11"/>
        </w:numPr>
        <w:autoSpaceDE w:val="0"/>
        <w:autoSpaceDN w:val="0"/>
        <w:spacing w:line="360" w:lineRule="auto"/>
        <w:ind w:leftChars="200" w:left="900" w:hangingChars="200" w:hanging="480"/>
        <w:rPr>
          <w:bCs/>
          <w:sz w:val="24"/>
        </w:rPr>
      </w:pPr>
      <w:r w:rsidRPr="00F16A5E">
        <w:rPr>
          <w:bCs/>
          <w:sz w:val="24"/>
        </w:rPr>
        <w:t xml:space="preserve">There are major errors in the </w:t>
      </w:r>
      <w:r w:rsidR="00461B39" w:rsidRPr="00F16A5E">
        <w:rPr>
          <w:bCs/>
          <w:sz w:val="24"/>
        </w:rPr>
        <w:t>study protocol</w:t>
      </w:r>
      <w:r w:rsidRPr="00F16A5E">
        <w:rPr>
          <w:bCs/>
          <w:sz w:val="24"/>
        </w:rPr>
        <w:t>;</w:t>
      </w:r>
    </w:p>
    <w:p w14:paraId="19620D60" w14:textId="77777777" w:rsidR="00C92527" w:rsidRPr="00F16A5E" w:rsidRDefault="00C92527" w:rsidP="00C92527">
      <w:pPr>
        <w:numPr>
          <w:ilvl w:val="0"/>
          <w:numId w:val="11"/>
        </w:numPr>
        <w:autoSpaceDE w:val="0"/>
        <w:autoSpaceDN w:val="0"/>
        <w:spacing w:line="360" w:lineRule="auto"/>
        <w:ind w:leftChars="200" w:left="900" w:hangingChars="200" w:hanging="480"/>
        <w:rPr>
          <w:bCs/>
          <w:sz w:val="24"/>
        </w:rPr>
      </w:pPr>
      <w:r w:rsidRPr="00F16A5E">
        <w:rPr>
          <w:bCs/>
          <w:sz w:val="24"/>
        </w:rPr>
        <w:t>Sponsor’s decision;</w:t>
      </w:r>
    </w:p>
    <w:p w14:paraId="61A7D019" w14:textId="77777777" w:rsidR="00C92527" w:rsidRPr="00F16A5E" w:rsidRDefault="00C92527" w:rsidP="00C92527">
      <w:pPr>
        <w:numPr>
          <w:ilvl w:val="0"/>
          <w:numId w:val="11"/>
        </w:numPr>
        <w:autoSpaceDE w:val="0"/>
        <w:autoSpaceDN w:val="0"/>
        <w:spacing w:line="360" w:lineRule="auto"/>
        <w:ind w:leftChars="200" w:left="900" w:hangingChars="200" w:hanging="480"/>
        <w:rPr>
          <w:bCs/>
          <w:sz w:val="24"/>
        </w:rPr>
      </w:pPr>
      <w:r w:rsidRPr="00F16A5E">
        <w:rPr>
          <w:bCs/>
          <w:sz w:val="24"/>
        </w:rPr>
        <w:t>The regulatory authority decides to cancel the study;</w:t>
      </w:r>
    </w:p>
    <w:p w14:paraId="7DE74012" w14:textId="77777777" w:rsidR="00C92527" w:rsidRPr="00F16A5E" w:rsidRDefault="00C92527" w:rsidP="00C92527">
      <w:pPr>
        <w:numPr>
          <w:ilvl w:val="0"/>
          <w:numId w:val="11"/>
        </w:numPr>
        <w:autoSpaceDE w:val="0"/>
        <w:autoSpaceDN w:val="0"/>
        <w:spacing w:line="360" w:lineRule="auto"/>
        <w:ind w:leftChars="200" w:left="900" w:hangingChars="200" w:hanging="480"/>
        <w:rPr>
          <w:bCs/>
          <w:sz w:val="24"/>
        </w:rPr>
      </w:pPr>
      <w:r w:rsidRPr="00F16A5E">
        <w:rPr>
          <w:bCs/>
          <w:sz w:val="24"/>
        </w:rPr>
        <w:t>The sponsor reserves the right to terminate the investigation of a study center if:</w:t>
      </w:r>
    </w:p>
    <w:p w14:paraId="2B91EF72" w14:textId="77777777" w:rsidR="00C92527" w:rsidRPr="00F16A5E" w:rsidRDefault="00C92527" w:rsidP="00C92527">
      <w:pPr>
        <w:pStyle w:val="aa"/>
        <w:numPr>
          <w:ilvl w:val="1"/>
          <w:numId w:val="12"/>
        </w:numPr>
        <w:spacing w:line="360" w:lineRule="auto"/>
        <w:ind w:firstLineChars="0"/>
        <w:rPr>
          <w:rFonts w:ascii="Times New Roman" w:hAnsi="Times New Roman"/>
          <w:bCs/>
          <w:sz w:val="24"/>
        </w:rPr>
      </w:pPr>
      <w:r w:rsidRPr="00F16A5E">
        <w:rPr>
          <w:rFonts w:ascii="Times New Roman" w:hAnsi="Times New Roman"/>
          <w:bCs/>
          <w:sz w:val="24"/>
        </w:rPr>
        <w:t>The study center cannot enroll the agreed number of subjects within the agreed timeframe;</w:t>
      </w:r>
    </w:p>
    <w:p w14:paraId="189BBA77" w14:textId="39E64639" w:rsidR="00C92527" w:rsidRPr="00F16A5E" w:rsidRDefault="00C92527" w:rsidP="00C92527">
      <w:pPr>
        <w:pStyle w:val="aa"/>
        <w:numPr>
          <w:ilvl w:val="1"/>
          <w:numId w:val="12"/>
        </w:numPr>
        <w:spacing w:line="360" w:lineRule="auto"/>
        <w:ind w:firstLineChars="0"/>
        <w:rPr>
          <w:rFonts w:ascii="Times New Roman" w:hAnsi="Times New Roman"/>
          <w:bCs/>
          <w:sz w:val="24"/>
        </w:rPr>
      </w:pPr>
      <w:r w:rsidRPr="00F16A5E">
        <w:rPr>
          <w:rFonts w:ascii="Times New Roman" w:hAnsi="Times New Roman"/>
          <w:bCs/>
          <w:sz w:val="24"/>
        </w:rPr>
        <w:t>The study center seriously violates GCP;</w:t>
      </w:r>
    </w:p>
    <w:p w14:paraId="294D16BD" w14:textId="5220DB29" w:rsidR="00C92527" w:rsidRPr="00F16A5E" w:rsidRDefault="00C92527" w:rsidP="00C92527">
      <w:pPr>
        <w:pStyle w:val="aa"/>
        <w:numPr>
          <w:ilvl w:val="1"/>
          <w:numId w:val="12"/>
        </w:numPr>
        <w:spacing w:line="360" w:lineRule="auto"/>
        <w:ind w:firstLineChars="0"/>
        <w:rPr>
          <w:rFonts w:ascii="Times New Roman" w:hAnsi="Times New Roman"/>
          <w:bCs/>
          <w:sz w:val="24"/>
        </w:rPr>
      </w:pPr>
      <w:r w:rsidRPr="00F16A5E">
        <w:rPr>
          <w:rFonts w:ascii="Times New Roman" w:hAnsi="Times New Roman"/>
          <w:bCs/>
          <w:sz w:val="24"/>
        </w:rPr>
        <w:t>The study center seriously violates protocol.</w:t>
      </w:r>
    </w:p>
    <w:p w14:paraId="5844B387" w14:textId="5184A7A8" w:rsidR="00C92527" w:rsidRPr="00F16A5E" w:rsidRDefault="00C92527" w:rsidP="00C92527">
      <w:pPr>
        <w:spacing w:line="360" w:lineRule="auto"/>
        <w:ind w:firstLineChars="200" w:firstLine="480"/>
        <w:rPr>
          <w:bCs/>
          <w:sz w:val="24"/>
        </w:rPr>
      </w:pPr>
      <w:r w:rsidRPr="00F16A5E">
        <w:rPr>
          <w:bCs/>
          <w:sz w:val="24"/>
        </w:rPr>
        <w:t>After terminating the study, all relevant records of the study should be kept for future reference.</w:t>
      </w:r>
    </w:p>
    <w:p w14:paraId="2DA36EDC" w14:textId="25912D13"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204" w:name="_Toc7170267"/>
      <w:bookmarkStart w:id="205" w:name="_Toc9456207"/>
      <w:bookmarkStart w:id="206" w:name="_Toc20224879"/>
      <w:bookmarkStart w:id="207" w:name="_Toc71149181"/>
      <w:r w:rsidRPr="00F16A5E">
        <w:rPr>
          <w:rFonts w:ascii="Times New Roman" w:eastAsia="宋体" w:hAnsi="Times New Roman"/>
          <w:sz w:val="24"/>
        </w:rPr>
        <w:t>7.2</w:t>
      </w:r>
      <w:bookmarkEnd w:id="204"/>
      <w:bookmarkEnd w:id="205"/>
      <w:bookmarkEnd w:id="206"/>
      <w:r w:rsidR="00C92527" w:rsidRPr="00F16A5E">
        <w:rPr>
          <w:rFonts w:ascii="Times New Roman" w:eastAsia="宋体" w:hAnsi="Times New Roman"/>
          <w:sz w:val="24"/>
        </w:rPr>
        <w:tab/>
        <w:t>Withdrawal Criteria</w:t>
      </w:r>
      <w:bookmarkEnd w:id="207"/>
    </w:p>
    <w:p w14:paraId="45E14E3C" w14:textId="77777777" w:rsidR="00E812D4" w:rsidRPr="00F16A5E" w:rsidRDefault="00E812D4" w:rsidP="00E812D4">
      <w:pPr>
        <w:spacing w:beforeLines="50" w:before="156" w:line="300" w:lineRule="auto"/>
        <w:rPr>
          <w:sz w:val="24"/>
        </w:rPr>
      </w:pPr>
      <w:r w:rsidRPr="00F16A5E">
        <w:rPr>
          <w:sz w:val="24"/>
        </w:rPr>
        <w:t>Reasons for discontinuation of study drug or withdrawal from the study may include but are not limited to the following:</w:t>
      </w:r>
    </w:p>
    <w:p w14:paraId="6F831BE0" w14:textId="3538C514" w:rsidR="00E812D4" w:rsidRPr="00F16A5E" w:rsidRDefault="00E812D4" w:rsidP="00E812D4">
      <w:pPr>
        <w:numPr>
          <w:ilvl w:val="0"/>
          <w:numId w:val="10"/>
        </w:numPr>
        <w:spacing w:beforeLines="50" w:before="156" w:line="300" w:lineRule="auto"/>
        <w:rPr>
          <w:sz w:val="24"/>
        </w:rPr>
      </w:pPr>
      <w:r w:rsidRPr="00F16A5E">
        <w:rPr>
          <w:sz w:val="24"/>
        </w:rPr>
        <w:t xml:space="preserve">The subject voluntarily </w:t>
      </w:r>
      <w:r w:rsidR="00152A66" w:rsidRPr="00F16A5E">
        <w:rPr>
          <w:sz w:val="24"/>
        </w:rPr>
        <w:t>withdraws</w:t>
      </w:r>
      <w:r w:rsidRPr="00F16A5E">
        <w:rPr>
          <w:sz w:val="24"/>
        </w:rPr>
        <w:t xml:space="preserve"> the informed consent and request to withdraw from the clinical trial</w:t>
      </w:r>
      <w:r w:rsidR="00C8602B" w:rsidRPr="00F16A5E">
        <w:rPr>
          <w:sz w:val="24"/>
        </w:rPr>
        <w:t>.</w:t>
      </w:r>
    </w:p>
    <w:p w14:paraId="13D1568A" w14:textId="5DED6FF3" w:rsidR="00E812D4" w:rsidRPr="00F16A5E" w:rsidRDefault="00E812D4" w:rsidP="00E812D4">
      <w:pPr>
        <w:numPr>
          <w:ilvl w:val="0"/>
          <w:numId w:val="10"/>
        </w:numPr>
        <w:spacing w:beforeLines="50" w:before="156" w:line="300" w:lineRule="auto"/>
        <w:rPr>
          <w:sz w:val="24"/>
        </w:rPr>
      </w:pPr>
      <w:r w:rsidRPr="00F16A5E">
        <w:rPr>
          <w:sz w:val="24"/>
        </w:rPr>
        <w:t>The subject (female) become pregnant during the study</w:t>
      </w:r>
      <w:r w:rsidR="00C8602B" w:rsidRPr="00F16A5E">
        <w:rPr>
          <w:sz w:val="24"/>
        </w:rPr>
        <w:t>.</w:t>
      </w:r>
    </w:p>
    <w:p w14:paraId="60F1B0D7" w14:textId="78EC9564" w:rsidR="00E812D4" w:rsidRPr="00F16A5E" w:rsidRDefault="00E812D4" w:rsidP="00E812D4">
      <w:pPr>
        <w:numPr>
          <w:ilvl w:val="0"/>
          <w:numId w:val="10"/>
        </w:numPr>
        <w:spacing w:beforeLines="50" w:before="156" w:line="300" w:lineRule="auto"/>
        <w:rPr>
          <w:sz w:val="24"/>
        </w:rPr>
      </w:pPr>
      <w:r w:rsidRPr="00F16A5E">
        <w:rPr>
          <w:sz w:val="24"/>
        </w:rPr>
        <w:t>The subject is considered by the investigator to have poor compliance during the clinical trial</w:t>
      </w:r>
      <w:r w:rsidR="00C8602B" w:rsidRPr="00F16A5E">
        <w:rPr>
          <w:sz w:val="24"/>
        </w:rPr>
        <w:t>.</w:t>
      </w:r>
    </w:p>
    <w:p w14:paraId="331A179A" w14:textId="272C0E8C" w:rsidR="00E812D4" w:rsidRPr="00F16A5E" w:rsidRDefault="00E812D4" w:rsidP="00E812D4">
      <w:pPr>
        <w:numPr>
          <w:ilvl w:val="0"/>
          <w:numId w:val="10"/>
        </w:numPr>
        <w:spacing w:beforeLines="50" w:before="156" w:line="300" w:lineRule="auto"/>
        <w:rPr>
          <w:sz w:val="24"/>
        </w:rPr>
      </w:pPr>
      <w:r w:rsidRPr="00F16A5E">
        <w:rPr>
          <w:sz w:val="24"/>
        </w:rPr>
        <w:t>The investigator believes that it is necessary to withdraw from the study (details of the reason for withdrawal shall be recorded)</w:t>
      </w:r>
      <w:r w:rsidR="00C8602B" w:rsidRPr="00F16A5E">
        <w:rPr>
          <w:sz w:val="24"/>
        </w:rPr>
        <w:t>.</w:t>
      </w:r>
    </w:p>
    <w:p w14:paraId="11A11AEF" w14:textId="6036D604" w:rsidR="00E812D4" w:rsidRPr="00F16A5E" w:rsidRDefault="00E812D4" w:rsidP="00E812D4">
      <w:pPr>
        <w:numPr>
          <w:ilvl w:val="0"/>
          <w:numId w:val="10"/>
        </w:numPr>
        <w:spacing w:beforeLines="50" w:before="156" w:line="300" w:lineRule="auto"/>
        <w:rPr>
          <w:sz w:val="24"/>
        </w:rPr>
      </w:pPr>
      <w:r w:rsidRPr="00F16A5E">
        <w:rPr>
          <w:sz w:val="24"/>
        </w:rPr>
        <w:t>The sponsor terminates the study for any safety or other special reasons</w:t>
      </w:r>
      <w:r w:rsidR="00C8602B" w:rsidRPr="00F16A5E">
        <w:rPr>
          <w:sz w:val="24"/>
        </w:rPr>
        <w:t>.</w:t>
      </w:r>
    </w:p>
    <w:p w14:paraId="1469488F" w14:textId="388B4D1E"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208" w:name="_Toc7170271"/>
      <w:bookmarkStart w:id="209" w:name="_Toc9456208"/>
      <w:bookmarkStart w:id="210" w:name="_Toc20224880"/>
      <w:bookmarkStart w:id="211" w:name="_Toc71149182"/>
      <w:r w:rsidRPr="00F16A5E">
        <w:rPr>
          <w:rFonts w:ascii="Times New Roman" w:eastAsia="宋体" w:hAnsi="Times New Roman"/>
          <w:sz w:val="24"/>
        </w:rPr>
        <w:lastRenderedPageBreak/>
        <w:t>7.3</w:t>
      </w:r>
      <w:bookmarkEnd w:id="208"/>
      <w:bookmarkEnd w:id="209"/>
      <w:bookmarkEnd w:id="210"/>
      <w:r w:rsidR="00E812D4" w:rsidRPr="00F16A5E">
        <w:rPr>
          <w:rFonts w:ascii="Times New Roman" w:eastAsia="宋体" w:hAnsi="Times New Roman"/>
          <w:sz w:val="24"/>
        </w:rPr>
        <w:tab/>
        <w:t>Lost to Follow-up</w:t>
      </w:r>
      <w:bookmarkEnd w:id="211"/>
    </w:p>
    <w:p w14:paraId="26115018" w14:textId="643EC37E" w:rsidR="006E18E9" w:rsidRPr="00F16A5E" w:rsidRDefault="00E812D4" w:rsidP="00E812D4">
      <w:pPr>
        <w:spacing w:beforeLines="50" w:before="156" w:line="300" w:lineRule="auto"/>
        <w:rPr>
          <w:sz w:val="24"/>
        </w:rPr>
      </w:pPr>
      <w:r w:rsidRPr="00F16A5E">
        <w:rPr>
          <w:sz w:val="24"/>
        </w:rPr>
        <w:t xml:space="preserve">If a subject does not return to the study center for a </w:t>
      </w:r>
      <w:r w:rsidR="00A102DF" w:rsidRPr="00F16A5E">
        <w:rPr>
          <w:sz w:val="24"/>
        </w:rPr>
        <w:t xml:space="preserve">scheduled </w:t>
      </w:r>
      <w:r w:rsidRPr="00F16A5E">
        <w:rPr>
          <w:sz w:val="24"/>
        </w:rPr>
        <w:t>visit, and the staff of the study center cannot get in touch with him/her (In different time periods, the investigator have made multiple calls to the telephone number provided by the subject), it will be deemed as lost to follow up. All efforts that have been made should be recorded.</w:t>
      </w:r>
    </w:p>
    <w:p w14:paraId="013A80C3" w14:textId="27C842F4" w:rsidR="006E18E9" w:rsidRPr="00F16A5E" w:rsidRDefault="006E18E9" w:rsidP="006E18E9">
      <w:pPr>
        <w:pStyle w:val="1"/>
        <w:pageBreakBefore/>
        <w:spacing w:beforeLines="0" w:before="120" w:line="360" w:lineRule="auto"/>
        <w:jc w:val="both"/>
        <w:rPr>
          <w:rFonts w:eastAsia="宋体"/>
          <w:sz w:val="24"/>
          <w:lang w:eastAsia="zh-CN"/>
        </w:rPr>
      </w:pPr>
      <w:bookmarkStart w:id="212" w:name="_Toc7170272"/>
      <w:bookmarkStart w:id="213" w:name="_Toc9456209"/>
      <w:bookmarkStart w:id="214" w:name="_Toc20224881"/>
      <w:bookmarkStart w:id="215" w:name="_Toc71149183"/>
      <w:r w:rsidRPr="00F16A5E">
        <w:rPr>
          <w:rFonts w:eastAsia="宋体"/>
          <w:sz w:val="24"/>
          <w:lang w:eastAsia="zh-CN"/>
        </w:rPr>
        <w:lastRenderedPageBreak/>
        <w:t>8</w:t>
      </w:r>
      <w:bookmarkEnd w:id="212"/>
      <w:bookmarkEnd w:id="213"/>
      <w:bookmarkEnd w:id="214"/>
      <w:r w:rsidR="00E812D4" w:rsidRPr="00F16A5E">
        <w:rPr>
          <w:rFonts w:eastAsia="宋体"/>
          <w:sz w:val="24"/>
          <w:lang w:eastAsia="zh-CN"/>
        </w:rPr>
        <w:tab/>
        <w:t>Study Evaluation</w:t>
      </w:r>
      <w:bookmarkEnd w:id="215"/>
    </w:p>
    <w:p w14:paraId="3C6A7CBA" w14:textId="12EEA043" w:rsidR="006E18E9" w:rsidRPr="00F16A5E" w:rsidRDefault="006E18E9" w:rsidP="006E18E9">
      <w:pPr>
        <w:pStyle w:val="2"/>
        <w:keepLines w:val="0"/>
        <w:spacing w:before="60" w:after="60" w:line="360" w:lineRule="auto"/>
        <w:rPr>
          <w:rFonts w:ascii="Times New Roman" w:eastAsia="宋体" w:hAnsi="Times New Roman"/>
          <w:sz w:val="24"/>
        </w:rPr>
      </w:pPr>
      <w:bookmarkStart w:id="216" w:name="_Toc7170278"/>
      <w:bookmarkStart w:id="217" w:name="_Toc9456210"/>
      <w:bookmarkStart w:id="218" w:name="_Toc20224882"/>
      <w:bookmarkStart w:id="219" w:name="_Toc71149184"/>
      <w:r w:rsidRPr="00F16A5E">
        <w:rPr>
          <w:rFonts w:ascii="Times New Roman" w:eastAsia="宋体" w:hAnsi="Times New Roman"/>
          <w:sz w:val="24"/>
        </w:rPr>
        <w:t>8.1</w:t>
      </w:r>
      <w:bookmarkEnd w:id="216"/>
      <w:bookmarkEnd w:id="217"/>
      <w:bookmarkEnd w:id="218"/>
      <w:r w:rsidR="00E812D4" w:rsidRPr="00F16A5E">
        <w:rPr>
          <w:rFonts w:ascii="Times New Roman" w:eastAsia="宋体" w:hAnsi="Times New Roman"/>
          <w:sz w:val="24"/>
        </w:rPr>
        <w:tab/>
        <w:t>Safety Evaluation</w:t>
      </w:r>
      <w:bookmarkEnd w:id="219"/>
    </w:p>
    <w:p w14:paraId="31719F3F" w14:textId="77777777" w:rsidR="00E812D4" w:rsidRPr="00F16A5E" w:rsidRDefault="00E812D4" w:rsidP="00E812D4">
      <w:pPr>
        <w:widowControl/>
        <w:spacing w:beforeLines="50" w:before="156" w:line="300" w:lineRule="auto"/>
        <w:rPr>
          <w:sz w:val="24"/>
        </w:rPr>
      </w:pPr>
      <w:r w:rsidRPr="00F16A5E">
        <w:rPr>
          <w:sz w:val="24"/>
        </w:rPr>
        <w:t>Safety evaluation will include adverse events, vital signs, physical examination, laboratory test, electrocardiogram examination, echocardiography, etc.</w:t>
      </w:r>
    </w:p>
    <w:p w14:paraId="6EF7119F" w14:textId="77777777" w:rsidR="00E812D4" w:rsidRPr="00F16A5E" w:rsidRDefault="00E812D4" w:rsidP="00EA5F3A">
      <w:pPr>
        <w:pStyle w:val="aa"/>
        <w:widowControl/>
        <w:numPr>
          <w:ilvl w:val="0"/>
          <w:numId w:val="25"/>
        </w:numPr>
        <w:spacing w:beforeLines="50" w:before="156" w:line="300" w:lineRule="auto"/>
        <w:ind w:firstLineChars="0"/>
        <w:rPr>
          <w:rFonts w:ascii="Times New Roman" w:hAnsi="Times New Roman"/>
          <w:sz w:val="24"/>
        </w:rPr>
      </w:pPr>
      <w:r w:rsidRPr="00F16A5E">
        <w:rPr>
          <w:rFonts w:ascii="Times New Roman" w:hAnsi="Times New Roman"/>
          <w:sz w:val="24"/>
        </w:rPr>
        <w:t>AEs;</w:t>
      </w:r>
    </w:p>
    <w:p w14:paraId="176BE385" w14:textId="77777777" w:rsidR="00E812D4" w:rsidRPr="00F16A5E" w:rsidRDefault="00E812D4" w:rsidP="00EA5F3A">
      <w:pPr>
        <w:pStyle w:val="aa"/>
        <w:widowControl/>
        <w:numPr>
          <w:ilvl w:val="0"/>
          <w:numId w:val="25"/>
        </w:numPr>
        <w:spacing w:beforeLines="50" w:before="156" w:line="300" w:lineRule="auto"/>
        <w:ind w:firstLineChars="0"/>
        <w:rPr>
          <w:rFonts w:ascii="Times New Roman" w:hAnsi="Times New Roman"/>
          <w:sz w:val="24"/>
        </w:rPr>
      </w:pPr>
      <w:r w:rsidRPr="00F16A5E">
        <w:rPr>
          <w:rFonts w:ascii="Times New Roman" w:hAnsi="Times New Roman"/>
          <w:sz w:val="24"/>
        </w:rPr>
        <w:t>Vital signs: observe the temperature, blood pressure, respiration, and pulse of the subject during the different visit periods of the study;</w:t>
      </w:r>
    </w:p>
    <w:p w14:paraId="21042861" w14:textId="77777777" w:rsidR="00E812D4" w:rsidRPr="00F16A5E" w:rsidRDefault="00E812D4" w:rsidP="00EA5F3A">
      <w:pPr>
        <w:pStyle w:val="aa"/>
        <w:widowControl/>
        <w:numPr>
          <w:ilvl w:val="0"/>
          <w:numId w:val="25"/>
        </w:numPr>
        <w:spacing w:beforeLines="50" w:before="156" w:line="300" w:lineRule="auto"/>
        <w:ind w:firstLineChars="0"/>
        <w:rPr>
          <w:rFonts w:ascii="Times New Roman" w:hAnsi="Times New Roman"/>
          <w:sz w:val="24"/>
        </w:rPr>
      </w:pPr>
      <w:r w:rsidRPr="00F16A5E">
        <w:rPr>
          <w:rFonts w:ascii="Times New Roman" w:hAnsi="Times New Roman"/>
          <w:sz w:val="24"/>
        </w:rPr>
        <w:t>Physical examination: a complete physical examination (mainly including general conditions, skin, head and neck, chest, abdomen, back, limbs and basic nervous system, etc.);</w:t>
      </w:r>
    </w:p>
    <w:p w14:paraId="378DDA85" w14:textId="77777777" w:rsidR="00E812D4" w:rsidRPr="00F16A5E" w:rsidRDefault="00E812D4" w:rsidP="00EA5F3A">
      <w:pPr>
        <w:pStyle w:val="aa"/>
        <w:widowControl/>
        <w:numPr>
          <w:ilvl w:val="0"/>
          <w:numId w:val="25"/>
        </w:numPr>
        <w:spacing w:beforeLines="50" w:before="156" w:line="300" w:lineRule="auto"/>
        <w:ind w:firstLineChars="0"/>
        <w:rPr>
          <w:rFonts w:ascii="Times New Roman" w:hAnsi="Times New Roman"/>
          <w:sz w:val="24"/>
        </w:rPr>
      </w:pPr>
      <w:r w:rsidRPr="00F16A5E">
        <w:rPr>
          <w:rFonts w:ascii="Times New Roman" w:hAnsi="Times New Roman"/>
          <w:sz w:val="24"/>
        </w:rPr>
        <w:t xml:space="preserve">Laboratory tests: </w:t>
      </w:r>
      <w:proofErr w:type="spellStart"/>
      <w:r w:rsidRPr="00F16A5E">
        <w:rPr>
          <w:rFonts w:ascii="Times New Roman" w:hAnsi="Times New Roman"/>
          <w:sz w:val="24"/>
        </w:rPr>
        <w:t>haematology</w:t>
      </w:r>
      <w:proofErr w:type="spellEnd"/>
      <w:r w:rsidRPr="00F16A5E">
        <w:rPr>
          <w:rFonts w:ascii="Times New Roman" w:hAnsi="Times New Roman"/>
          <w:sz w:val="24"/>
        </w:rPr>
        <w:t>, urinalysis, blood chemistry, electrolytes, coagulation, amylase, five items of thyroid function, thyroid ultrasound, chest X-ray, anti-dsDNA antibody, anti-Smith antibody, ANA, complement C3, C4, pregnancy test (only for female subjects of childbearing potential), HIV, HBV, HCV serology, HBV DNA (as clinically indicated), 24-hour urine protein quantification (for those with urine protein ≥1+, perform 24-hour urine protein quantitative determination as clinically indicated);</w:t>
      </w:r>
    </w:p>
    <w:p w14:paraId="5804EC84" w14:textId="77777777" w:rsidR="00E812D4" w:rsidRPr="00F16A5E" w:rsidRDefault="00E812D4" w:rsidP="00EA5F3A">
      <w:pPr>
        <w:pStyle w:val="aa"/>
        <w:widowControl/>
        <w:numPr>
          <w:ilvl w:val="0"/>
          <w:numId w:val="25"/>
        </w:numPr>
        <w:spacing w:beforeLines="50" w:before="156" w:line="300" w:lineRule="auto"/>
        <w:ind w:firstLineChars="0"/>
        <w:rPr>
          <w:rFonts w:ascii="Times New Roman" w:hAnsi="Times New Roman"/>
          <w:sz w:val="24"/>
        </w:rPr>
      </w:pPr>
      <w:r w:rsidRPr="00F16A5E">
        <w:rPr>
          <w:rFonts w:ascii="Times New Roman" w:hAnsi="Times New Roman"/>
          <w:sz w:val="24"/>
        </w:rPr>
        <w:t>Echocardiography;</w:t>
      </w:r>
    </w:p>
    <w:p w14:paraId="4FF279BD" w14:textId="77777777" w:rsidR="00E812D4" w:rsidRPr="00F16A5E" w:rsidRDefault="00E812D4" w:rsidP="00EA5F3A">
      <w:pPr>
        <w:pStyle w:val="aa"/>
        <w:widowControl/>
        <w:numPr>
          <w:ilvl w:val="0"/>
          <w:numId w:val="25"/>
        </w:numPr>
        <w:spacing w:beforeLines="50" w:before="156" w:line="300" w:lineRule="auto"/>
        <w:ind w:firstLineChars="0"/>
        <w:rPr>
          <w:rFonts w:ascii="Times New Roman" w:hAnsi="Times New Roman"/>
          <w:sz w:val="24"/>
        </w:rPr>
      </w:pPr>
      <w:r w:rsidRPr="00F16A5E">
        <w:rPr>
          <w:rFonts w:ascii="Times New Roman" w:hAnsi="Times New Roman"/>
          <w:sz w:val="24"/>
        </w:rPr>
        <w:t>ECG:</w:t>
      </w:r>
    </w:p>
    <w:p w14:paraId="2435362E" w14:textId="359C1600" w:rsidR="00E812D4" w:rsidRPr="00F16A5E" w:rsidRDefault="00E812D4" w:rsidP="00E812D4">
      <w:pPr>
        <w:widowControl/>
        <w:spacing w:beforeLines="50" w:before="156" w:line="300" w:lineRule="auto"/>
        <w:ind w:leftChars="200" w:left="420"/>
        <w:rPr>
          <w:sz w:val="24"/>
        </w:rPr>
      </w:pPr>
      <w:r w:rsidRPr="00F16A5E">
        <w:rPr>
          <w:sz w:val="24"/>
        </w:rPr>
        <w:t>Subjects should be in a supine position for at least 5 minutes prior to the ECG measurement. The measurement will include calculating and recording the QTc interval. The Fridericia formula will be the first choice for the QTc correction formula [</w:t>
      </w:r>
      <w:proofErr w:type="spellStart"/>
      <w:r w:rsidRPr="00F16A5E">
        <w:rPr>
          <w:sz w:val="24"/>
        </w:rPr>
        <w:t>QTcF</w:t>
      </w:r>
      <w:proofErr w:type="spellEnd"/>
      <w:r w:rsidRPr="00F16A5E">
        <w:rPr>
          <w:sz w:val="24"/>
        </w:rPr>
        <w:t xml:space="preserve"> = QT/(RR^0.33), RR is the standardized heart rate, obtained by dividing 60 by the heart rate]. When the heart rate is lower than 60 beats/min, the </w:t>
      </w:r>
      <w:proofErr w:type="spellStart"/>
      <w:r w:rsidRPr="00F16A5E">
        <w:rPr>
          <w:sz w:val="24"/>
        </w:rPr>
        <w:t>Bazetts</w:t>
      </w:r>
      <w:proofErr w:type="spellEnd"/>
      <w:r w:rsidRPr="00F16A5E">
        <w:rPr>
          <w:sz w:val="24"/>
        </w:rPr>
        <w:t xml:space="preserve"> formula can be referred to [QTcB = QT/(RR^0.5), RR is the standardized heart rate, obtained by dividing 60 by the heart rate]. Other QTc calculation formulas and methods, if having reference value, need to be discussed with the sponsor </w:t>
      </w:r>
      <w:r w:rsidR="00AF1B50" w:rsidRPr="00F16A5E">
        <w:rPr>
          <w:sz w:val="24"/>
        </w:rPr>
        <w:t>before being adopted</w:t>
      </w:r>
      <w:r w:rsidRPr="00F16A5E">
        <w:rPr>
          <w:sz w:val="24"/>
        </w:rPr>
        <w:t>.</w:t>
      </w:r>
    </w:p>
    <w:p w14:paraId="6049DA7F" w14:textId="5474E759" w:rsidR="00E812D4" w:rsidRPr="00F16A5E" w:rsidRDefault="00E812D4" w:rsidP="00E812D4">
      <w:pPr>
        <w:widowControl/>
        <w:spacing w:beforeLines="50" w:before="156" w:line="300" w:lineRule="auto"/>
        <w:ind w:leftChars="200" w:left="420"/>
        <w:rPr>
          <w:sz w:val="24"/>
        </w:rPr>
      </w:pPr>
      <w:r w:rsidRPr="00F16A5E">
        <w:rPr>
          <w:sz w:val="24"/>
        </w:rPr>
        <w:t>During the entire study period, for the safety of the subjects, an electrocardiogram can be added at any time if necessary.</w:t>
      </w:r>
    </w:p>
    <w:p w14:paraId="78A51678" w14:textId="6EDF76FA"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220" w:name="_Toc7170279"/>
      <w:bookmarkStart w:id="221" w:name="_Toc9456211"/>
      <w:bookmarkStart w:id="222" w:name="_Toc20224883"/>
      <w:bookmarkStart w:id="223" w:name="_Toc71149185"/>
      <w:r w:rsidRPr="00F16A5E">
        <w:rPr>
          <w:rFonts w:ascii="Times New Roman" w:eastAsia="宋体" w:hAnsi="Times New Roman"/>
          <w:sz w:val="24"/>
        </w:rPr>
        <w:t>8.2</w:t>
      </w:r>
      <w:bookmarkEnd w:id="220"/>
      <w:bookmarkEnd w:id="221"/>
      <w:bookmarkEnd w:id="222"/>
      <w:r w:rsidR="00DA382F" w:rsidRPr="00F16A5E">
        <w:rPr>
          <w:rFonts w:ascii="Times New Roman" w:eastAsia="宋体" w:hAnsi="Times New Roman"/>
          <w:sz w:val="24"/>
        </w:rPr>
        <w:tab/>
        <w:t>Adverse Events and Serious Adverse Events</w:t>
      </w:r>
      <w:bookmarkEnd w:id="223"/>
    </w:p>
    <w:p w14:paraId="705BF346" w14:textId="63C1CF52" w:rsidR="006E18E9" w:rsidRPr="00F16A5E" w:rsidRDefault="006E18E9" w:rsidP="006E18E9">
      <w:pPr>
        <w:pStyle w:val="3"/>
        <w:keepLines w:val="0"/>
        <w:spacing w:before="60" w:after="60" w:line="360" w:lineRule="auto"/>
        <w:rPr>
          <w:sz w:val="24"/>
          <w:szCs w:val="24"/>
        </w:rPr>
      </w:pPr>
      <w:bookmarkStart w:id="224" w:name="_Toc442954165"/>
      <w:bookmarkStart w:id="225" w:name="_Toc442973733"/>
      <w:bookmarkStart w:id="226" w:name="_Toc444892796"/>
      <w:bookmarkStart w:id="227" w:name="_Toc445283461"/>
      <w:bookmarkStart w:id="228" w:name="_Toc487477901"/>
      <w:bookmarkStart w:id="229" w:name="_Toc7170280"/>
      <w:bookmarkStart w:id="230" w:name="_Toc9456212"/>
      <w:bookmarkStart w:id="231" w:name="_Toc20224884"/>
      <w:bookmarkStart w:id="232" w:name="_Toc71149186"/>
      <w:r w:rsidRPr="00F16A5E">
        <w:rPr>
          <w:sz w:val="24"/>
          <w:szCs w:val="24"/>
        </w:rPr>
        <w:t>8.2.1</w:t>
      </w:r>
      <w:bookmarkEnd w:id="224"/>
      <w:bookmarkEnd w:id="225"/>
      <w:bookmarkEnd w:id="226"/>
      <w:bookmarkEnd w:id="227"/>
      <w:bookmarkEnd w:id="228"/>
      <w:bookmarkEnd w:id="229"/>
      <w:bookmarkEnd w:id="230"/>
      <w:bookmarkEnd w:id="231"/>
      <w:r w:rsidR="00DA382F" w:rsidRPr="00F16A5E">
        <w:rPr>
          <w:sz w:val="24"/>
          <w:szCs w:val="24"/>
        </w:rPr>
        <w:tab/>
        <w:t>Definition of Adverse Event</w:t>
      </w:r>
      <w:bookmarkEnd w:id="232"/>
    </w:p>
    <w:p w14:paraId="49A16B31" w14:textId="7B8CBDB2" w:rsidR="00DA382F" w:rsidRPr="00F16A5E" w:rsidRDefault="00DA382F" w:rsidP="00DA382F">
      <w:pPr>
        <w:spacing w:beforeLines="50" w:before="156" w:line="300" w:lineRule="auto"/>
        <w:rPr>
          <w:bCs/>
          <w:sz w:val="24"/>
        </w:rPr>
      </w:pPr>
      <w:bookmarkStart w:id="233" w:name="_Hlk12348322"/>
      <w:r w:rsidRPr="00F16A5E">
        <w:rPr>
          <w:bCs/>
          <w:sz w:val="24"/>
        </w:rPr>
        <w:t>An Adverse Event (AE) is defined as any unfavorable and unintended sign (including an abnormal laboratory finding), symptom, or disease (new or exacerbated) temporally associated with the use of an investigational drug, whether considered related to study drug or not.</w:t>
      </w:r>
    </w:p>
    <w:p w14:paraId="509A09E5" w14:textId="77777777" w:rsidR="00DA382F" w:rsidRPr="00F16A5E" w:rsidRDefault="00DA382F" w:rsidP="00DA382F">
      <w:pPr>
        <w:spacing w:beforeLines="50" w:before="156" w:line="300" w:lineRule="auto"/>
        <w:rPr>
          <w:bCs/>
          <w:sz w:val="24"/>
        </w:rPr>
      </w:pPr>
      <w:r w:rsidRPr="00F16A5E">
        <w:rPr>
          <w:bCs/>
          <w:sz w:val="24"/>
        </w:rPr>
        <w:lastRenderedPageBreak/>
        <w:t>In this trial, the following events do not need to be reported as AE:</w:t>
      </w:r>
    </w:p>
    <w:p w14:paraId="407A80E4" w14:textId="77777777" w:rsidR="00DA382F" w:rsidRPr="00F16A5E" w:rsidRDefault="00DA382F" w:rsidP="00EA5F3A">
      <w:pPr>
        <w:pStyle w:val="aa"/>
        <w:numPr>
          <w:ilvl w:val="0"/>
          <w:numId w:val="21"/>
        </w:numPr>
        <w:tabs>
          <w:tab w:val="left" w:pos="2460"/>
        </w:tabs>
        <w:spacing w:beforeLines="50" w:before="156" w:line="300" w:lineRule="auto"/>
        <w:ind w:firstLineChars="0"/>
        <w:rPr>
          <w:rFonts w:ascii="Times New Roman" w:hAnsi="Times New Roman"/>
          <w:bCs/>
          <w:sz w:val="24"/>
        </w:rPr>
      </w:pPr>
      <w:r w:rsidRPr="00F16A5E">
        <w:rPr>
          <w:rFonts w:ascii="Times New Roman" w:hAnsi="Times New Roman"/>
          <w:bCs/>
          <w:sz w:val="24"/>
        </w:rPr>
        <w:t>Clinically invasive examinations themselves are not considered as adverse events, but the causes of these examinations should be regarded as adverse events.</w:t>
      </w:r>
    </w:p>
    <w:p w14:paraId="76F94E95" w14:textId="391ADC7B" w:rsidR="00DA382F" w:rsidRPr="00F16A5E" w:rsidRDefault="00DA382F" w:rsidP="00EA5F3A">
      <w:pPr>
        <w:pStyle w:val="aa"/>
        <w:numPr>
          <w:ilvl w:val="0"/>
          <w:numId w:val="21"/>
        </w:numPr>
        <w:tabs>
          <w:tab w:val="left" w:pos="2460"/>
        </w:tabs>
        <w:spacing w:beforeLines="50" w:before="156" w:line="300" w:lineRule="auto"/>
        <w:ind w:firstLineChars="0"/>
        <w:rPr>
          <w:rFonts w:ascii="Times New Roman" w:hAnsi="Times New Roman"/>
          <w:bCs/>
          <w:sz w:val="24"/>
        </w:rPr>
      </w:pPr>
      <w:r w:rsidRPr="00F16A5E">
        <w:rPr>
          <w:rFonts w:ascii="Times New Roman" w:hAnsi="Times New Roman"/>
          <w:bCs/>
          <w:sz w:val="24"/>
        </w:rPr>
        <w:t>The daily fluctuations or manifestations of the symptoms of the existing disease do not need to be reported as an AE or SAE when there is no aggravation or deterioration after entering the clinical trial.</w:t>
      </w:r>
    </w:p>
    <w:p w14:paraId="37581AD1" w14:textId="2A80E75F" w:rsidR="006E18E9" w:rsidRPr="00F16A5E" w:rsidRDefault="006E18E9" w:rsidP="006E18E9">
      <w:pPr>
        <w:pStyle w:val="3"/>
        <w:keepLines w:val="0"/>
        <w:spacing w:before="60" w:after="60" w:line="360" w:lineRule="auto"/>
        <w:rPr>
          <w:sz w:val="24"/>
          <w:szCs w:val="24"/>
        </w:rPr>
      </w:pPr>
      <w:bookmarkStart w:id="234" w:name="_Toc7170281"/>
      <w:bookmarkStart w:id="235" w:name="_Toc9456213"/>
      <w:bookmarkStart w:id="236" w:name="_Toc20224885"/>
      <w:bookmarkStart w:id="237" w:name="_Toc71149187"/>
      <w:bookmarkEnd w:id="233"/>
      <w:r w:rsidRPr="00F16A5E">
        <w:rPr>
          <w:sz w:val="24"/>
          <w:szCs w:val="24"/>
        </w:rPr>
        <w:t>8.2.2</w:t>
      </w:r>
      <w:bookmarkEnd w:id="234"/>
      <w:bookmarkEnd w:id="235"/>
      <w:bookmarkEnd w:id="236"/>
      <w:r w:rsidR="00DA382F" w:rsidRPr="00F16A5E">
        <w:rPr>
          <w:sz w:val="24"/>
          <w:szCs w:val="24"/>
        </w:rPr>
        <w:tab/>
        <w:t>Definition of Serious Adverse Event</w:t>
      </w:r>
      <w:bookmarkEnd w:id="237"/>
    </w:p>
    <w:p w14:paraId="5A667AB6" w14:textId="2AD48249" w:rsidR="00DA79A4" w:rsidRPr="00F16A5E" w:rsidRDefault="00DA79A4" w:rsidP="00DA79A4">
      <w:pPr>
        <w:spacing w:beforeLines="50" w:before="156" w:line="300" w:lineRule="auto"/>
        <w:rPr>
          <w:sz w:val="24"/>
        </w:rPr>
      </w:pPr>
      <w:r w:rsidRPr="00F16A5E">
        <w:rPr>
          <w:sz w:val="24"/>
        </w:rPr>
        <w:t>A Serious Adverse Event (SAE) is any untoward medical occurrence that, at any dose:</w:t>
      </w:r>
    </w:p>
    <w:p w14:paraId="287E7661" w14:textId="77777777" w:rsidR="00DA79A4" w:rsidRPr="00F16A5E" w:rsidRDefault="00DA79A4" w:rsidP="00EA5F3A">
      <w:pPr>
        <w:numPr>
          <w:ilvl w:val="0"/>
          <w:numId w:val="14"/>
        </w:numPr>
        <w:spacing w:beforeLines="50" w:before="156" w:line="300" w:lineRule="auto"/>
        <w:rPr>
          <w:sz w:val="24"/>
        </w:rPr>
      </w:pPr>
      <w:r w:rsidRPr="00F16A5E">
        <w:rPr>
          <w:sz w:val="24"/>
        </w:rPr>
        <w:t>Resulted in death;</w:t>
      </w:r>
    </w:p>
    <w:p w14:paraId="4A098B08" w14:textId="16902E0C" w:rsidR="006E18E9" w:rsidRPr="00F16A5E" w:rsidRDefault="00DA79A4" w:rsidP="00EA5F3A">
      <w:pPr>
        <w:numPr>
          <w:ilvl w:val="0"/>
          <w:numId w:val="14"/>
        </w:numPr>
        <w:spacing w:beforeLines="50" w:before="156" w:line="300" w:lineRule="auto"/>
        <w:rPr>
          <w:sz w:val="24"/>
        </w:rPr>
      </w:pPr>
      <w:r w:rsidRPr="00F16A5E">
        <w:rPr>
          <w:sz w:val="24"/>
        </w:rPr>
        <w:t>Is life-threatening;</w:t>
      </w:r>
    </w:p>
    <w:p w14:paraId="4BA41DD0" w14:textId="4D1E9BA9" w:rsidR="006E18E9" w:rsidRPr="00F16A5E" w:rsidRDefault="00DA79A4" w:rsidP="00DA79A4">
      <w:pPr>
        <w:spacing w:beforeLines="50" w:before="156" w:line="300" w:lineRule="auto"/>
        <w:ind w:left="840"/>
        <w:rPr>
          <w:sz w:val="24"/>
        </w:rPr>
      </w:pPr>
      <w:r w:rsidRPr="00F16A5E">
        <w:rPr>
          <w:sz w:val="24"/>
        </w:rPr>
        <w:t>NOTE: The term “life threatening” in the definition of “serious” refers to an event in which the subject is at risk of death at the time of the event. It does not refer to an event, which hypothetically might have caused death, if it were more severe.</w:t>
      </w:r>
    </w:p>
    <w:p w14:paraId="72188555" w14:textId="30516337" w:rsidR="006E18E9" w:rsidRPr="00F16A5E" w:rsidRDefault="00DA79A4" w:rsidP="00EA5F3A">
      <w:pPr>
        <w:numPr>
          <w:ilvl w:val="0"/>
          <w:numId w:val="14"/>
        </w:numPr>
        <w:spacing w:beforeLines="50" w:before="156" w:line="300" w:lineRule="auto"/>
        <w:rPr>
          <w:sz w:val="24"/>
        </w:rPr>
      </w:pPr>
      <w:r w:rsidRPr="00F16A5E">
        <w:rPr>
          <w:sz w:val="24"/>
        </w:rPr>
        <w:t>Requires hospitalization or prolongation of existing hospitalization;</w:t>
      </w:r>
    </w:p>
    <w:p w14:paraId="31C006BD" w14:textId="39C05E22" w:rsidR="006E18E9" w:rsidRPr="00F16A5E" w:rsidRDefault="00DA79A4" w:rsidP="00DA79A4">
      <w:pPr>
        <w:spacing w:beforeLines="50" w:before="156" w:line="300" w:lineRule="auto"/>
        <w:ind w:left="840"/>
        <w:rPr>
          <w:sz w:val="24"/>
        </w:rPr>
      </w:pPr>
      <w:r w:rsidRPr="00F16A5E">
        <w:rPr>
          <w:sz w:val="24"/>
        </w:rPr>
        <w:t>NOTE: In general, hospitalization signifies that the subject has been detained (usually involving at least an overnight stay) at the hospital or emergency ward for observation and/or treatment that would not have been appropriate in the physician’s office or outpatient setting. Complications that occur during hospitalization are AEs. If a complication prolongs hospitalization or fulfills any other serious criteria, the event is serious. When in doubt as to whether “hospitalization” occurred or was necessary, the AE should be considered serious.</w:t>
      </w:r>
    </w:p>
    <w:p w14:paraId="2ECF5A0D" w14:textId="5D3D48C4" w:rsidR="006E18E9" w:rsidRPr="00F16A5E" w:rsidRDefault="00DA79A4" w:rsidP="00EA5F3A">
      <w:pPr>
        <w:numPr>
          <w:ilvl w:val="0"/>
          <w:numId w:val="14"/>
        </w:numPr>
        <w:spacing w:beforeLines="50" w:before="156" w:line="300" w:lineRule="auto"/>
        <w:rPr>
          <w:sz w:val="24"/>
        </w:rPr>
      </w:pPr>
      <w:r w:rsidRPr="00F16A5E">
        <w:rPr>
          <w:sz w:val="24"/>
        </w:rPr>
        <w:t>Resulted in persistent or significant disability or incapacity.</w:t>
      </w:r>
    </w:p>
    <w:p w14:paraId="2D1945FA" w14:textId="6BB40FF4" w:rsidR="00DA79A4" w:rsidRPr="00F16A5E" w:rsidRDefault="00DA79A4" w:rsidP="00DA79A4">
      <w:pPr>
        <w:spacing w:beforeLines="50" w:before="156" w:line="300" w:lineRule="auto"/>
        <w:ind w:left="840"/>
        <w:rPr>
          <w:sz w:val="24"/>
        </w:rPr>
      </w:pPr>
      <w:r w:rsidRPr="00F16A5E">
        <w:rPr>
          <w:sz w:val="24"/>
        </w:rPr>
        <w:t>NOTE: The term disability means a substantial disruption of a person’s ability to conduct normal life functions.</w:t>
      </w:r>
    </w:p>
    <w:p w14:paraId="63BE72F2" w14:textId="3D9E433D" w:rsidR="006E18E9" w:rsidRPr="00F16A5E" w:rsidRDefault="00DA79A4" w:rsidP="00DA79A4">
      <w:pPr>
        <w:spacing w:beforeLines="50" w:before="156" w:line="300" w:lineRule="auto"/>
        <w:ind w:left="840"/>
        <w:rPr>
          <w:sz w:val="24"/>
        </w:rPr>
      </w:pPr>
      <w:r w:rsidRPr="00F16A5E">
        <w:rPr>
          <w:sz w:val="24"/>
        </w:rPr>
        <w:t>This definition is not intended to include experiences of relatively minor medical significance, such as uncomplicated headache, nausea, vomiting, diarrhea, influenza, and accidental trauma (</w:t>
      </w:r>
      <w:proofErr w:type="spellStart"/>
      <w:r w:rsidRPr="00F16A5E">
        <w:rPr>
          <w:sz w:val="24"/>
        </w:rPr>
        <w:t>eg</w:t>
      </w:r>
      <w:proofErr w:type="spellEnd"/>
      <w:r w:rsidRPr="00F16A5E">
        <w:rPr>
          <w:sz w:val="24"/>
        </w:rPr>
        <w:t>, sprained ankle), which may interfere or prevent everyday life functions but do not constitute a substantial disruption.</w:t>
      </w:r>
    </w:p>
    <w:p w14:paraId="1C4CA008" w14:textId="1725A7B7" w:rsidR="006E18E9" w:rsidRPr="00F16A5E" w:rsidRDefault="00DA79A4" w:rsidP="00EA5F3A">
      <w:pPr>
        <w:numPr>
          <w:ilvl w:val="0"/>
          <w:numId w:val="14"/>
        </w:numPr>
        <w:spacing w:beforeLines="50" w:before="156" w:line="300" w:lineRule="auto"/>
        <w:rPr>
          <w:sz w:val="24"/>
        </w:rPr>
      </w:pPr>
      <w:r w:rsidRPr="00F16A5E">
        <w:rPr>
          <w:sz w:val="24"/>
        </w:rPr>
        <w:t>A congenital anomaly/birth defect.</w:t>
      </w:r>
    </w:p>
    <w:p w14:paraId="42A41EE2" w14:textId="005842C8" w:rsidR="006E18E9" w:rsidRPr="00F16A5E" w:rsidRDefault="00DA79A4" w:rsidP="00EA5F3A">
      <w:pPr>
        <w:numPr>
          <w:ilvl w:val="0"/>
          <w:numId w:val="14"/>
        </w:numPr>
        <w:spacing w:beforeLines="50" w:before="156" w:line="300" w:lineRule="auto"/>
        <w:rPr>
          <w:color w:val="FF0000"/>
          <w:spacing w:val="5"/>
          <w:sz w:val="24"/>
          <w:lang w:val="x-none"/>
        </w:rPr>
      </w:pPr>
      <w:r w:rsidRPr="00F16A5E">
        <w:rPr>
          <w:sz w:val="24"/>
        </w:rPr>
        <w:t>Is a significant medical event.</w:t>
      </w:r>
    </w:p>
    <w:p w14:paraId="2D41A4FC" w14:textId="0787C393" w:rsidR="006E18E9" w:rsidRPr="00F16A5E" w:rsidRDefault="00DA79A4" w:rsidP="00DA79A4">
      <w:pPr>
        <w:spacing w:beforeLines="50" w:before="156" w:line="300" w:lineRule="auto"/>
        <w:ind w:left="840"/>
        <w:rPr>
          <w:color w:val="FF0000"/>
          <w:spacing w:val="5"/>
          <w:sz w:val="24"/>
          <w:lang w:val="x-none"/>
        </w:rPr>
      </w:pPr>
      <w:r w:rsidRPr="00F16A5E">
        <w:rPr>
          <w:sz w:val="24"/>
        </w:rPr>
        <w:t xml:space="preserve">NOTE: Significant medical events may not be immediately life-threatening, cause death or hospitalization, but may endanger the subject or require medical interventions to prevent the </w:t>
      </w:r>
      <w:r w:rsidRPr="00F16A5E">
        <w:rPr>
          <w:sz w:val="24"/>
        </w:rPr>
        <w:lastRenderedPageBreak/>
        <w:t>occurrence of one of the above situations, for example, intensive treatment for allergic bronchospasm in the emergency room or at home, cachexia or convulsions not hospitalized, drug dependence or addiction, etc. Medical and scientific judgment must be used to determine whether it is a significant medical event.</w:t>
      </w:r>
    </w:p>
    <w:p w14:paraId="4A632C11" w14:textId="215BF48B" w:rsidR="006E18E9" w:rsidRPr="00F16A5E" w:rsidRDefault="00DA79A4" w:rsidP="00DA79A4">
      <w:pPr>
        <w:keepNext/>
        <w:autoSpaceDE w:val="0"/>
        <w:autoSpaceDN w:val="0"/>
        <w:spacing w:beforeLines="50" w:before="156" w:line="300" w:lineRule="auto"/>
        <w:ind w:left="425"/>
        <w:rPr>
          <w:b/>
          <w:sz w:val="24"/>
        </w:rPr>
      </w:pPr>
      <w:r w:rsidRPr="00F16A5E">
        <w:rPr>
          <w:b/>
          <w:sz w:val="24"/>
        </w:rPr>
        <w:t>Hospitalization or prolonged hospitalization under the following circumstances will not be reported as a serious adverse event:</w:t>
      </w:r>
    </w:p>
    <w:p w14:paraId="16EA53A6" w14:textId="77777777" w:rsidR="00DA79A4" w:rsidRPr="00F16A5E" w:rsidRDefault="00DA79A4" w:rsidP="00EA5F3A">
      <w:pPr>
        <w:numPr>
          <w:ilvl w:val="0"/>
          <w:numId w:val="13"/>
        </w:numPr>
        <w:tabs>
          <w:tab w:val="left" w:pos="845"/>
        </w:tabs>
        <w:spacing w:beforeLines="50" w:before="156" w:line="300" w:lineRule="auto"/>
        <w:ind w:leftChars="200" w:left="840"/>
        <w:rPr>
          <w:sz w:val="24"/>
        </w:rPr>
      </w:pPr>
      <w:bookmarkStart w:id="238" w:name="_Hlk12348627"/>
      <w:r w:rsidRPr="00F16A5E">
        <w:rPr>
          <w:sz w:val="24"/>
        </w:rPr>
        <w:t>Hospitalization or prolongation of existing hospitalization due to social or administrative reasons (such as homelessness, annual medical examination, hospitalization reimbursement);</w:t>
      </w:r>
    </w:p>
    <w:p w14:paraId="3697C486" w14:textId="342C8412" w:rsidR="00DA79A4" w:rsidRPr="00F16A5E" w:rsidRDefault="00DA79A4" w:rsidP="00EA5F3A">
      <w:pPr>
        <w:numPr>
          <w:ilvl w:val="0"/>
          <w:numId w:val="13"/>
        </w:numPr>
        <w:tabs>
          <w:tab w:val="left" w:pos="845"/>
        </w:tabs>
        <w:spacing w:beforeLines="50" w:before="156" w:line="300" w:lineRule="auto"/>
        <w:ind w:leftChars="200" w:left="840"/>
        <w:rPr>
          <w:sz w:val="24"/>
        </w:rPr>
      </w:pPr>
      <w:r w:rsidRPr="00F16A5E">
        <w:rPr>
          <w:sz w:val="24"/>
        </w:rPr>
        <w:t xml:space="preserve">Hospitalization caused by the </w:t>
      </w:r>
      <w:r w:rsidR="00064A41" w:rsidRPr="00F16A5E">
        <w:rPr>
          <w:sz w:val="24"/>
        </w:rPr>
        <w:t xml:space="preserve">protocol-required </w:t>
      </w:r>
      <w:r w:rsidRPr="00F16A5E">
        <w:rPr>
          <w:sz w:val="24"/>
        </w:rPr>
        <w:t xml:space="preserve">procedures </w:t>
      </w:r>
      <w:r w:rsidR="00064A41" w:rsidRPr="00F16A5E">
        <w:rPr>
          <w:sz w:val="24"/>
        </w:rPr>
        <w:t>during</w:t>
      </w:r>
      <w:r w:rsidRPr="00F16A5E">
        <w:rPr>
          <w:sz w:val="24"/>
        </w:rPr>
        <w:t xml:space="preserve"> the clinical trial;</w:t>
      </w:r>
    </w:p>
    <w:p w14:paraId="775B0B83" w14:textId="77777777" w:rsidR="00DA79A4" w:rsidRPr="00F16A5E" w:rsidRDefault="00DA79A4" w:rsidP="00EA5F3A">
      <w:pPr>
        <w:numPr>
          <w:ilvl w:val="0"/>
          <w:numId w:val="13"/>
        </w:numPr>
        <w:tabs>
          <w:tab w:val="left" w:pos="845"/>
        </w:tabs>
        <w:spacing w:beforeLines="50" w:before="156" w:line="300" w:lineRule="auto"/>
        <w:ind w:leftChars="200" w:left="840"/>
        <w:rPr>
          <w:sz w:val="24"/>
        </w:rPr>
      </w:pPr>
      <w:r w:rsidRPr="00F16A5E">
        <w:rPr>
          <w:sz w:val="24"/>
        </w:rPr>
        <w:t>Admitted to the hospital due to diagnosis or pre-planned surgery or medical procedure (planned before entering the study) for an existing disease, and no aggravation after signing the informed consent;</w:t>
      </w:r>
    </w:p>
    <w:p w14:paraId="7AD5A1B0" w14:textId="77777777" w:rsidR="00DA79A4" w:rsidRPr="00F16A5E" w:rsidRDefault="00DA79A4" w:rsidP="00EA5F3A">
      <w:pPr>
        <w:numPr>
          <w:ilvl w:val="0"/>
          <w:numId w:val="13"/>
        </w:numPr>
        <w:tabs>
          <w:tab w:val="left" w:pos="845"/>
        </w:tabs>
        <w:spacing w:beforeLines="50" w:before="156" w:line="300" w:lineRule="auto"/>
        <w:ind w:leftChars="200" w:left="840"/>
        <w:rPr>
          <w:sz w:val="24"/>
        </w:rPr>
      </w:pPr>
      <w:r w:rsidRPr="00F16A5E">
        <w:rPr>
          <w:sz w:val="24"/>
        </w:rPr>
        <w:t>Receiving treatment or admission in the following institutions does not constitute "hospitalization” (However, if it meets any other SAE criteria, the event must be treated as SAE and reported immediately) -- No more than 24 hours for treatment and observation in emergency department, outpatient department, and observation ward; outpatient operating room surgery, rehabilitation facilities, hospice hospitals or medical nursing homes, nursing homes, nursing or respite care centers;</w:t>
      </w:r>
    </w:p>
    <w:p w14:paraId="139DC027" w14:textId="70A8DBF0" w:rsidR="00DA79A4" w:rsidRPr="00F16A5E" w:rsidRDefault="00DA79A4" w:rsidP="00EA5F3A">
      <w:pPr>
        <w:numPr>
          <w:ilvl w:val="0"/>
          <w:numId w:val="13"/>
        </w:numPr>
        <w:tabs>
          <w:tab w:val="left" w:pos="845"/>
        </w:tabs>
        <w:spacing w:beforeLines="50" w:before="156" w:line="300" w:lineRule="auto"/>
        <w:ind w:leftChars="200" w:left="840"/>
        <w:rPr>
          <w:sz w:val="24"/>
        </w:rPr>
      </w:pPr>
      <w:r w:rsidRPr="00F16A5E">
        <w:rPr>
          <w:sz w:val="24"/>
        </w:rPr>
        <w:t>For routine treatment or monitoring of the study indication, and does not involve the aggravation of the condition.</w:t>
      </w:r>
    </w:p>
    <w:p w14:paraId="7150FFF2" w14:textId="0C58FD20" w:rsidR="006E18E9" w:rsidRPr="00F16A5E" w:rsidRDefault="006E18E9" w:rsidP="006E18E9">
      <w:pPr>
        <w:pStyle w:val="3"/>
        <w:keepLines w:val="0"/>
        <w:spacing w:before="60" w:after="60" w:line="360" w:lineRule="auto"/>
        <w:rPr>
          <w:sz w:val="24"/>
          <w:szCs w:val="24"/>
        </w:rPr>
      </w:pPr>
      <w:bookmarkStart w:id="239" w:name="_Toc20224886"/>
      <w:bookmarkStart w:id="240" w:name="_Toc71149188"/>
      <w:bookmarkStart w:id="241" w:name="_Toc7170282"/>
      <w:bookmarkStart w:id="242" w:name="_Toc9456214"/>
      <w:bookmarkEnd w:id="238"/>
      <w:r w:rsidRPr="00F16A5E">
        <w:rPr>
          <w:sz w:val="24"/>
          <w:szCs w:val="24"/>
        </w:rPr>
        <w:t>8.2.3</w:t>
      </w:r>
      <w:bookmarkEnd w:id="239"/>
      <w:r w:rsidR="00DA79A4" w:rsidRPr="00F16A5E">
        <w:rPr>
          <w:sz w:val="24"/>
          <w:szCs w:val="24"/>
        </w:rPr>
        <w:tab/>
        <w:t>Definition of Suspected Unexpected Serious Adverse Reaction</w:t>
      </w:r>
      <w:bookmarkEnd w:id="240"/>
    </w:p>
    <w:p w14:paraId="4B77D1FC" w14:textId="24404E27" w:rsidR="006E18E9" w:rsidRPr="00F16A5E" w:rsidRDefault="00DA79A4" w:rsidP="00DA79A4">
      <w:pPr>
        <w:spacing w:beforeLines="50" w:before="156" w:line="300" w:lineRule="auto"/>
        <w:rPr>
          <w:spacing w:val="5"/>
          <w:sz w:val="24"/>
        </w:rPr>
      </w:pPr>
      <w:r w:rsidRPr="00F16A5E">
        <w:rPr>
          <w:b/>
          <w:bCs/>
          <w:spacing w:val="5"/>
          <w:sz w:val="24"/>
        </w:rPr>
        <w:t xml:space="preserve">Suspected Unexpected Serious Adverse Reactions (SUSARs) </w:t>
      </w:r>
      <w:r w:rsidRPr="00F16A5E">
        <w:rPr>
          <w:spacing w:val="5"/>
          <w:sz w:val="24"/>
        </w:rPr>
        <w:t xml:space="preserve">refer to the suspected and unexpected serious adverse reactions whose nature and severity of clinical manifestations exceed the safety information referenced in the </w:t>
      </w:r>
      <w:r w:rsidR="00C8602B" w:rsidRPr="00F16A5E">
        <w:rPr>
          <w:spacing w:val="5"/>
          <w:sz w:val="24"/>
        </w:rPr>
        <w:t>I</w:t>
      </w:r>
      <w:r w:rsidRPr="00F16A5E">
        <w:rPr>
          <w:spacing w:val="5"/>
          <w:sz w:val="24"/>
        </w:rPr>
        <w:t xml:space="preserve">nvestigator’s </w:t>
      </w:r>
      <w:r w:rsidR="00C8602B" w:rsidRPr="00F16A5E">
        <w:rPr>
          <w:spacing w:val="5"/>
          <w:sz w:val="24"/>
        </w:rPr>
        <w:t>B</w:t>
      </w:r>
      <w:r w:rsidRPr="00F16A5E">
        <w:rPr>
          <w:spacing w:val="5"/>
          <w:sz w:val="24"/>
        </w:rPr>
        <w:t>rochure of the study drug.</w:t>
      </w:r>
    </w:p>
    <w:p w14:paraId="4EBFA01D" w14:textId="507A6C17" w:rsidR="006E18E9" w:rsidRPr="00F16A5E" w:rsidRDefault="006E18E9" w:rsidP="006E18E9">
      <w:pPr>
        <w:pStyle w:val="3"/>
        <w:keepLines w:val="0"/>
        <w:spacing w:before="60" w:after="60" w:line="360" w:lineRule="auto"/>
        <w:rPr>
          <w:sz w:val="24"/>
          <w:szCs w:val="24"/>
        </w:rPr>
      </w:pPr>
      <w:bookmarkStart w:id="243" w:name="_Toc20224887"/>
      <w:bookmarkStart w:id="244" w:name="_Toc71149189"/>
      <w:r w:rsidRPr="00F16A5E">
        <w:rPr>
          <w:sz w:val="24"/>
          <w:szCs w:val="24"/>
        </w:rPr>
        <w:t>8.2.4</w:t>
      </w:r>
      <w:bookmarkEnd w:id="241"/>
      <w:bookmarkEnd w:id="242"/>
      <w:bookmarkEnd w:id="243"/>
      <w:r w:rsidR="0052743E" w:rsidRPr="00F16A5E">
        <w:rPr>
          <w:sz w:val="24"/>
          <w:szCs w:val="24"/>
        </w:rPr>
        <w:tab/>
        <w:t>Classification of Adverse Events</w:t>
      </w:r>
      <w:bookmarkEnd w:id="244"/>
    </w:p>
    <w:p w14:paraId="286E6422" w14:textId="7F0BBCBD" w:rsidR="006E18E9" w:rsidRPr="00F16A5E" w:rsidRDefault="006E18E9" w:rsidP="006E18E9">
      <w:pPr>
        <w:spacing w:line="360" w:lineRule="auto"/>
        <w:outlineLvl w:val="3"/>
        <w:rPr>
          <w:b/>
          <w:sz w:val="24"/>
          <w:szCs w:val="23"/>
        </w:rPr>
      </w:pPr>
      <w:bookmarkStart w:id="245" w:name="OLE_LINK33"/>
      <w:bookmarkStart w:id="246" w:name="OLE_LINK34"/>
      <w:r w:rsidRPr="00F16A5E">
        <w:rPr>
          <w:b/>
          <w:sz w:val="24"/>
          <w:szCs w:val="23"/>
        </w:rPr>
        <w:t>8.2.4.1</w:t>
      </w:r>
      <w:r w:rsidR="0052743E" w:rsidRPr="00F16A5E">
        <w:rPr>
          <w:b/>
          <w:sz w:val="24"/>
          <w:szCs w:val="23"/>
        </w:rPr>
        <w:tab/>
        <w:t>Severity of Adverse Events</w:t>
      </w:r>
    </w:p>
    <w:p w14:paraId="517B21C7" w14:textId="77777777" w:rsidR="0052743E" w:rsidRPr="00F16A5E" w:rsidRDefault="0052743E" w:rsidP="0052743E">
      <w:pPr>
        <w:spacing w:beforeLines="50" w:before="156" w:line="300" w:lineRule="auto"/>
        <w:jc w:val="left"/>
        <w:rPr>
          <w:spacing w:val="5"/>
          <w:sz w:val="24"/>
        </w:rPr>
      </w:pPr>
      <w:r w:rsidRPr="00F16A5E">
        <w:rPr>
          <w:spacing w:val="5"/>
          <w:sz w:val="24"/>
        </w:rPr>
        <w:t>The investigator is required to grade the severity of each AE.</w:t>
      </w:r>
    </w:p>
    <w:p w14:paraId="7BCBA648" w14:textId="77777777" w:rsidR="0052743E" w:rsidRPr="00F16A5E" w:rsidRDefault="0052743E" w:rsidP="0052743E">
      <w:pPr>
        <w:spacing w:beforeLines="50" w:before="156" w:line="300" w:lineRule="auto"/>
        <w:jc w:val="left"/>
        <w:rPr>
          <w:spacing w:val="5"/>
          <w:sz w:val="24"/>
        </w:rPr>
      </w:pPr>
      <w:r w:rsidRPr="00F16A5E">
        <w:rPr>
          <w:spacing w:val="5"/>
          <w:sz w:val="24"/>
        </w:rPr>
        <w:t>The Division of Microbiology and Infectious Diseases (DMID) Adverse Event Severity Scale, 2007 version will be used by the investigator to evaluate each adverse event and serious adverse event reported during the trial.</w:t>
      </w:r>
    </w:p>
    <w:p w14:paraId="490919E9" w14:textId="6DB7A6B2" w:rsidR="0052743E" w:rsidRPr="00F16A5E" w:rsidRDefault="0052743E" w:rsidP="0052743E">
      <w:pPr>
        <w:spacing w:beforeLines="50" w:before="156" w:line="300" w:lineRule="auto"/>
        <w:jc w:val="left"/>
        <w:rPr>
          <w:spacing w:val="5"/>
          <w:sz w:val="24"/>
        </w:rPr>
      </w:pPr>
      <w:r w:rsidRPr="00F16A5E">
        <w:rPr>
          <w:spacing w:val="5"/>
          <w:sz w:val="24"/>
        </w:rPr>
        <w:t>For adverse events that cannot be classified according to DMID, the severity of each adverse event can be graded through the clinical description, respectively:</w:t>
      </w:r>
    </w:p>
    <w:p w14:paraId="38DA86C8" w14:textId="77777777" w:rsidR="0052743E" w:rsidRPr="00F16A5E" w:rsidRDefault="0052743E" w:rsidP="00EA5F3A">
      <w:pPr>
        <w:pStyle w:val="aa"/>
        <w:numPr>
          <w:ilvl w:val="0"/>
          <w:numId w:val="15"/>
        </w:numPr>
        <w:spacing w:beforeLines="50" w:before="156" w:line="300" w:lineRule="auto"/>
        <w:ind w:firstLineChars="0"/>
        <w:rPr>
          <w:rFonts w:ascii="Times New Roman" w:hAnsi="Times New Roman"/>
          <w:sz w:val="24"/>
        </w:rPr>
      </w:pPr>
      <w:r w:rsidRPr="00F16A5E">
        <w:rPr>
          <w:rFonts w:ascii="Times New Roman" w:hAnsi="Times New Roman"/>
          <w:sz w:val="24"/>
        </w:rPr>
        <w:lastRenderedPageBreak/>
        <w:t>Grade 1: Mild; temporary or mild discomfort (48 hours); no medical intervention/treatment required</w:t>
      </w:r>
    </w:p>
    <w:p w14:paraId="327171BC" w14:textId="77777777" w:rsidR="0052743E" w:rsidRPr="00F16A5E" w:rsidRDefault="0052743E" w:rsidP="00EA5F3A">
      <w:pPr>
        <w:pStyle w:val="aa"/>
        <w:numPr>
          <w:ilvl w:val="0"/>
          <w:numId w:val="15"/>
        </w:numPr>
        <w:spacing w:beforeLines="50" w:before="156" w:line="300" w:lineRule="auto"/>
        <w:ind w:firstLineChars="0"/>
        <w:rPr>
          <w:rFonts w:ascii="Times New Roman" w:hAnsi="Times New Roman"/>
          <w:sz w:val="24"/>
        </w:rPr>
      </w:pPr>
      <w:r w:rsidRPr="00F16A5E">
        <w:rPr>
          <w:rFonts w:ascii="Times New Roman" w:hAnsi="Times New Roman"/>
          <w:sz w:val="24"/>
        </w:rPr>
        <w:t>Grade 2: Moderate; mild to moderate activity limitation-some auxiliary support may be needed; no or little medical intervention/treatment is required</w:t>
      </w:r>
    </w:p>
    <w:p w14:paraId="45251349" w14:textId="77777777" w:rsidR="0052743E" w:rsidRPr="00F16A5E" w:rsidRDefault="0052743E" w:rsidP="00EA5F3A">
      <w:pPr>
        <w:pStyle w:val="aa"/>
        <w:numPr>
          <w:ilvl w:val="0"/>
          <w:numId w:val="15"/>
        </w:numPr>
        <w:spacing w:beforeLines="50" w:before="156" w:line="300" w:lineRule="auto"/>
        <w:ind w:firstLineChars="0"/>
        <w:rPr>
          <w:rFonts w:ascii="Times New Roman" w:hAnsi="Times New Roman"/>
          <w:sz w:val="24"/>
        </w:rPr>
      </w:pPr>
      <w:r w:rsidRPr="00F16A5E">
        <w:rPr>
          <w:rFonts w:ascii="Times New Roman" w:hAnsi="Times New Roman"/>
          <w:sz w:val="24"/>
        </w:rPr>
        <w:t>Grade 3: Severe; significantly restricted activities, usually requires some auxiliary support; requires medical intervention/treatment, may require hospitalization</w:t>
      </w:r>
    </w:p>
    <w:p w14:paraId="3982E01E" w14:textId="3A61B721" w:rsidR="0052743E" w:rsidRPr="00F16A5E" w:rsidRDefault="0052743E" w:rsidP="00EA5F3A">
      <w:pPr>
        <w:pStyle w:val="aa"/>
        <w:numPr>
          <w:ilvl w:val="0"/>
          <w:numId w:val="15"/>
        </w:numPr>
        <w:spacing w:beforeLines="50" w:before="156" w:line="300" w:lineRule="auto"/>
        <w:ind w:firstLineChars="0"/>
        <w:rPr>
          <w:rFonts w:ascii="Times New Roman" w:hAnsi="Times New Roman"/>
          <w:sz w:val="24"/>
        </w:rPr>
      </w:pPr>
      <w:r w:rsidRPr="00F16A5E">
        <w:rPr>
          <w:rFonts w:ascii="Times New Roman" w:hAnsi="Times New Roman"/>
          <w:sz w:val="24"/>
        </w:rPr>
        <w:t>Grade 4: Life-threatening; severely restricted activities, requiring significant auxiliary support; requiring significant medical intervention/treatment, hospitalization or hospice care</w:t>
      </w:r>
    </w:p>
    <w:bookmarkEnd w:id="245"/>
    <w:bookmarkEnd w:id="246"/>
    <w:p w14:paraId="1003DC17" w14:textId="5B560D88" w:rsidR="0052743E" w:rsidRPr="00F16A5E" w:rsidRDefault="0052743E" w:rsidP="0052743E">
      <w:pPr>
        <w:spacing w:beforeLines="50" w:before="156" w:line="300" w:lineRule="auto"/>
        <w:rPr>
          <w:sz w:val="24"/>
        </w:rPr>
      </w:pPr>
      <w:r w:rsidRPr="00F16A5E">
        <w:rPr>
          <w:sz w:val="24"/>
        </w:rPr>
        <w:t>The seriousness of an adverse event should be judged based on the outcome of the subject/adverse event or the measures taken with the subject/adverse event. The severity of an adverse event is usually related to whether it threatens the life of the subject or is related to the body function, and is used to determine whether the SAE criteria is met. The severity is used to describe the degree of an event. The event itself may not have significant medical significance. Therefore, severe adverse events should not be confused with serious adverse events. Both adverse events and serious adverse events can be evaluated as severe. When an adverse event meets at least one severity standard (8.2.2), it can be judged as a serious adverse event.</w:t>
      </w:r>
    </w:p>
    <w:p w14:paraId="19EDDCE0" w14:textId="1C842F9C" w:rsidR="006E18E9" w:rsidRPr="00F16A5E" w:rsidRDefault="006E18E9" w:rsidP="006E18E9">
      <w:pPr>
        <w:spacing w:line="360" w:lineRule="auto"/>
        <w:outlineLvl w:val="3"/>
        <w:rPr>
          <w:b/>
          <w:sz w:val="24"/>
          <w:szCs w:val="23"/>
        </w:rPr>
      </w:pPr>
      <w:r w:rsidRPr="00F16A5E">
        <w:rPr>
          <w:b/>
          <w:sz w:val="24"/>
          <w:szCs w:val="23"/>
        </w:rPr>
        <w:t>8.2.4.2</w:t>
      </w:r>
      <w:r w:rsidR="0052743E" w:rsidRPr="00F16A5E">
        <w:rPr>
          <w:b/>
          <w:sz w:val="24"/>
          <w:szCs w:val="23"/>
        </w:rPr>
        <w:tab/>
        <w:t>Relatedness Assessment</w:t>
      </w:r>
    </w:p>
    <w:p w14:paraId="5EE0C01F" w14:textId="2B556B62" w:rsidR="0052743E" w:rsidRPr="00F16A5E" w:rsidRDefault="0052743E" w:rsidP="0052743E">
      <w:pPr>
        <w:spacing w:beforeLines="50" w:before="156" w:line="300" w:lineRule="auto"/>
        <w:rPr>
          <w:sz w:val="24"/>
          <w:szCs w:val="18"/>
          <w:lang w:val="x-none"/>
        </w:rPr>
      </w:pPr>
      <w:r w:rsidRPr="00F16A5E">
        <w:rPr>
          <w:sz w:val="24"/>
          <w:szCs w:val="18"/>
          <w:lang w:val="x-none"/>
        </w:rPr>
        <w:t xml:space="preserve">The relationship between the adverse event and the study drug will be assessed according to the 5-level classification criteria of “definitely related, probably related, possibly related, possibly unrelated, and definitely unrelated". The first three levels will be aggregated as adverse </w:t>
      </w:r>
      <w:r w:rsidR="00C8602B" w:rsidRPr="00F16A5E">
        <w:rPr>
          <w:sz w:val="24"/>
          <w:szCs w:val="18"/>
          <w:lang w:val="x-none"/>
        </w:rPr>
        <w:t xml:space="preserve">drug </w:t>
      </w:r>
      <w:r w:rsidRPr="00F16A5E">
        <w:rPr>
          <w:sz w:val="24"/>
          <w:szCs w:val="18"/>
          <w:lang w:val="x-none"/>
        </w:rPr>
        <w:t>reactions and included in the calculation of the adverse reaction rate.</w:t>
      </w:r>
    </w:p>
    <w:p w14:paraId="35DB75DA" w14:textId="7F0F71B6" w:rsidR="0052743E" w:rsidRPr="00F16A5E" w:rsidRDefault="0052743E" w:rsidP="0052743E">
      <w:pPr>
        <w:spacing w:beforeLines="50" w:before="156" w:line="300" w:lineRule="auto"/>
        <w:rPr>
          <w:sz w:val="24"/>
          <w:szCs w:val="18"/>
          <w:lang w:val="x-none"/>
        </w:rPr>
      </w:pPr>
      <w:r w:rsidRPr="00F16A5E">
        <w:rPr>
          <w:sz w:val="24"/>
          <w:szCs w:val="18"/>
          <w:lang w:val="x-none"/>
        </w:rPr>
        <w:t>Assessing the causality between adverse events and the given treatment requires a clinical decision based on all available information at the time of the case report. The assessment should be based on whether there is a rational causal relationship with the investigational treatment. Generally speaking, the investigator needs to provide facts (evidence) or basis to explain the causality. Factors that should be considered when evaluating the relationship between adverse events and investigational treatment include but are not limited to:</w:t>
      </w:r>
    </w:p>
    <w:p w14:paraId="6E1390E4" w14:textId="77777777" w:rsidR="0052743E" w:rsidRPr="00F16A5E" w:rsidRDefault="0052743E" w:rsidP="0052743E">
      <w:pPr>
        <w:pStyle w:val="aa"/>
        <w:numPr>
          <w:ilvl w:val="0"/>
          <w:numId w:val="1"/>
        </w:numPr>
        <w:tabs>
          <w:tab w:val="left" w:pos="2460"/>
        </w:tabs>
        <w:snapToGrid w:val="0"/>
        <w:spacing w:beforeLines="50" w:before="156" w:line="300" w:lineRule="auto"/>
        <w:ind w:firstLineChars="0"/>
        <w:rPr>
          <w:rFonts w:ascii="Times New Roman" w:hAnsi="Times New Roman"/>
          <w:sz w:val="24"/>
          <w:szCs w:val="18"/>
          <w:lang w:val="x-none"/>
        </w:rPr>
      </w:pPr>
      <w:r w:rsidRPr="00F16A5E">
        <w:rPr>
          <w:rFonts w:ascii="Times New Roman" w:hAnsi="Times New Roman"/>
          <w:sz w:val="24"/>
          <w:szCs w:val="18"/>
          <w:lang w:val="x-none"/>
        </w:rPr>
        <w:t>Temporal sequence of administration and adverse events: The event onset time must be behind the administration.</w:t>
      </w:r>
    </w:p>
    <w:p w14:paraId="7FAA7CAD" w14:textId="77777777" w:rsidR="0052743E" w:rsidRPr="00F16A5E" w:rsidRDefault="0052743E" w:rsidP="0052743E">
      <w:pPr>
        <w:pStyle w:val="aa"/>
        <w:numPr>
          <w:ilvl w:val="0"/>
          <w:numId w:val="1"/>
        </w:numPr>
        <w:tabs>
          <w:tab w:val="left" w:pos="2460"/>
        </w:tabs>
        <w:snapToGrid w:val="0"/>
        <w:spacing w:beforeLines="50" w:before="156" w:line="300" w:lineRule="auto"/>
        <w:ind w:firstLineChars="0"/>
        <w:rPr>
          <w:rFonts w:ascii="Times New Roman" w:hAnsi="Times New Roman"/>
          <w:sz w:val="24"/>
          <w:szCs w:val="18"/>
          <w:lang w:val="x-none"/>
        </w:rPr>
      </w:pPr>
      <w:r w:rsidRPr="00F16A5E">
        <w:rPr>
          <w:rFonts w:ascii="Times New Roman" w:hAnsi="Times New Roman"/>
          <w:sz w:val="24"/>
          <w:szCs w:val="18"/>
          <w:lang w:val="x-none"/>
        </w:rPr>
        <w:t>The time interval from drug exposure to the occurrence of the event should be evaluated in conjunction with the clinical condition at the time of the event.</w:t>
      </w:r>
    </w:p>
    <w:p w14:paraId="4A7DF0CF" w14:textId="77777777" w:rsidR="0052743E" w:rsidRPr="00F16A5E" w:rsidRDefault="0052743E" w:rsidP="0052743E">
      <w:pPr>
        <w:pStyle w:val="aa"/>
        <w:numPr>
          <w:ilvl w:val="0"/>
          <w:numId w:val="1"/>
        </w:numPr>
        <w:tabs>
          <w:tab w:val="left" w:pos="2460"/>
        </w:tabs>
        <w:snapToGrid w:val="0"/>
        <w:spacing w:beforeLines="50" w:before="156" w:line="300" w:lineRule="auto"/>
        <w:ind w:firstLineChars="0"/>
        <w:rPr>
          <w:rFonts w:ascii="Times New Roman" w:hAnsi="Times New Roman"/>
          <w:sz w:val="24"/>
          <w:szCs w:val="18"/>
          <w:lang w:val="x-none"/>
        </w:rPr>
      </w:pPr>
      <w:r w:rsidRPr="00F16A5E">
        <w:rPr>
          <w:rFonts w:ascii="Times New Roman" w:hAnsi="Times New Roman"/>
          <w:sz w:val="24"/>
          <w:szCs w:val="18"/>
          <w:lang w:val="x-none"/>
        </w:rPr>
        <w:t xml:space="preserve">The subject's recovery after withholding the drug (de-challenge) and the recurrence after resuming the drug (re-challenge): For questionable events, from the perspective of the usual clinical situation, consider the subject's response after the withholding or after resuming the </w:t>
      </w:r>
      <w:r w:rsidRPr="00F16A5E">
        <w:rPr>
          <w:rFonts w:ascii="Times New Roman" w:hAnsi="Times New Roman"/>
          <w:sz w:val="24"/>
          <w:szCs w:val="18"/>
          <w:lang w:val="x-none"/>
        </w:rPr>
        <w:lastRenderedPageBreak/>
        <w:t>drug.</w:t>
      </w:r>
    </w:p>
    <w:p w14:paraId="5C8C07B2" w14:textId="77777777" w:rsidR="0052743E" w:rsidRPr="00F16A5E" w:rsidRDefault="0052743E" w:rsidP="0052743E">
      <w:pPr>
        <w:pStyle w:val="aa"/>
        <w:numPr>
          <w:ilvl w:val="0"/>
          <w:numId w:val="1"/>
        </w:numPr>
        <w:tabs>
          <w:tab w:val="left" w:pos="2460"/>
        </w:tabs>
        <w:snapToGrid w:val="0"/>
        <w:spacing w:beforeLines="50" w:before="156" w:line="300" w:lineRule="auto"/>
        <w:ind w:firstLineChars="0"/>
        <w:rPr>
          <w:rFonts w:ascii="Times New Roman" w:hAnsi="Times New Roman"/>
          <w:sz w:val="24"/>
          <w:szCs w:val="18"/>
          <w:lang w:val="x-none"/>
        </w:rPr>
      </w:pPr>
      <w:r w:rsidRPr="00F16A5E">
        <w:rPr>
          <w:rFonts w:ascii="Times New Roman" w:hAnsi="Times New Roman"/>
          <w:sz w:val="24"/>
          <w:szCs w:val="18"/>
          <w:lang w:val="x-none"/>
        </w:rPr>
        <w:t>Potential, concomitant, and intercurrent diseases: the evaluation of each event should take into account the natural history, the course of the disease being treated, and any other diseases the subject is suffering from.</w:t>
      </w:r>
    </w:p>
    <w:p w14:paraId="031010FC" w14:textId="77777777" w:rsidR="0052743E" w:rsidRPr="00F16A5E" w:rsidRDefault="0052743E" w:rsidP="0052743E">
      <w:pPr>
        <w:pStyle w:val="aa"/>
        <w:numPr>
          <w:ilvl w:val="0"/>
          <w:numId w:val="1"/>
        </w:numPr>
        <w:tabs>
          <w:tab w:val="left" w:pos="2460"/>
        </w:tabs>
        <w:snapToGrid w:val="0"/>
        <w:spacing w:beforeLines="50" w:before="156" w:line="300" w:lineRule="auto"/>
        <w:ind w:firstLineChars="0"/>
        <w:rPr>
          <w:rFonts w:ascii="Times New Roman" w:hAnsi="Times New Roman"/>
          <w:sz w:val="24"/>
          <w:szCs w:val="18"/>
          <w:lang w:val="x-none"/>
        </w:rPr>
      </w:pPr>
      <w:r w:rsidRPr="00F16A5E">
        <w:rPr>
          <w:rFonts w:ascii="Times New Roman" w:hAnsi="Times New Roman"/>
          <w:sz w:val="24"/>
          <w:szCs w:val="18"/>
          <w:lang w:val="x-none"/>
        </w:rPr>
        <w:t>Concomitant medications or interventions: other medications or interventions received by the subject should be checked and evaluated to determine whether there is a possible causal relationship with the event.</w:t>
      </w:r>
    </w:p>
    <w:p w14:paraId="0E8A42FD" w14:textId="1A683471" w:rsidR="0052743E" w:rsidRPr="00F16A5E" w:rsidRDefault="0052743E" w:rsidP="0052743E">
      <w:pPr>
        <w:pStyle w:val="aa"/>
        <w:numPr>
          <w:ilvl w:val="0"/>
          <w:numId w:val="1"/>
        </w:numPr>
        <w:tabs>
          <w:tab w:val="left" w:pos="2460"/>
        </w:tabs>
        <w:snapToGrid w:val="0"/>
        <w:spacing w:beforeLines="50" w:before="156" w:line="300" w:lineRule="auto"/>
        <w:ind w:firstLineChars="0"/>
        <w:rPr>
          <w:rFonts w:ascii="Times New Roman" w:hAnsi="Times New Roman"/>
          <w:sz w:val="24"/>
          <w:szCs w:val="18"/>
          <w:lang w:val="x-none"/>
        </w:rPr>
      </w:pPr>
      <w:r w:rsidRPr="00F16A5E">
        <w:rPr>
          <w:rFonts w:ascii="Times New Roman" w:hAnsi="Times New Roman"/>
          <w:sz w:val="24"/>
          <w:szCs w:val="18"/>
          <w:lang w:val="x-none"/>
        </w:rPr>
        <w:t>Pharmacology and pharmacokinetics of investigational treatments: The pharmacokinetic characteristics (absorption, distribution, metabolism, and excretion) of investigational treatments should be considered together with the pharmacodynamics in the individual subjects.</w:t>
      </w:r>
    </w:p>
    <w:p w14:paraId="31E662E7" w14:textId="7F735C3D" w:rsidR="006E18E9" w:rsidRPr="00F16A5E" w:rsidRDefault="006E18E9" w:rsidP="006E18E9">
      <w:pPr>
        <w:pStyle w:val="3"/>
        <w:keepLines w:val="0"/>
        <w:spacing w:before="60" w:after="60" w:line="360" w:lineRule="auto"/>
        <w:rPr>
          <w:sz w:val="24"/>
          <w:szCs w:val="24"/>
        </w:rPr>
      </w:pPr>
      <w:bookmarkStart w:id="247" w:name="_8.2.5_Collection_&amp;"/>
      <w:bookmarkStart w:id="248" w:name="_Toc7170283"/>
      <w:bookmarkStart w:id="249" w:name="_Toc9456215"/>
      <w:bookmarkStart w:id="250" w:name="_Toc20224888"/>
      <w:bookmarkStart w:id="251" w:name="_Toc71149190"/>
      <w:bookmarkEnd w:id="247"/>
      <w:r w:rsidRPr="00F16A5E">
        <w:rPr>
          <w:sz w:val="24"/>
          <w:szCs w:val="24"/>
        </w:rPr>
        <w:t>8.2.5</w:t>
      </w:r>
      <w:bookmarkEnd w:id="248"/>
      <w:bookmarkEnd w:id="249"/>
      <w:bookmarkEnd w:id="250"/>
      <w:r w:rsidR="0052743E" w:rsidRPr="00F16A5E">
        <w:rPr>
          <w:sz w:val="24"/>
          <w:szCs w:val="24"/>
        </w:rPr>
        <w:tab/>
        <w:t>Collection &amp; Follow-up of Adverse Events</w:t>
      </w:r>
      <w:bookmarkEnd w:id="251"/>
    </w:p>
    <w:p w14:paraId="6A3506CD" w14:textId="19B9D6DE" w:rsidR="006E18E9" w:rsidRPr="00F16A5E" w:rsidRDefault="0052743E" w:rsidP="0092189B">
      <w:pPr>
        <w:tabs>
          <w:tab w:val="left" w:pos="2460"/>
        </w:tabs>
        <w:spacing w:beforeLines="50" w:before="156" w:line="300" w:lineRule="auto"/>
        <w:rPr>
          <w:sz w:val="24"/>
        </w:rPr>
      </w:pPr>
      <w:r w:rsidRPr="00F16A5E">
        <w:rPr>
          <w:sz w:val="24"/>
        </w:rPr>
        <w:t>Any abnormal symptoms, signs, or laboratory tests that occur after the subject signs the informed consent form and before first dose of the investigational drug will</w:t>
      </w:r>
      <w:r w:rsidR="0092189B" w:rsidRPr="00F16A5E">
        <w:rPr>
          <w:sz w:val="24"/>
        </w:rPr>
        <w:t xml:space="preserve"> usually</w:t>
      </w:r>
      <w:r w:rsidRPr="00F16A5E">
        <w:rPr>
          <w:sz w:val="24"/>
        </w:rPr>
        <w:t xml:space="preserve"> be recorded in the eCRF as a medical history/concomitant disease instead of an AE, unless the investigator determines that it is related to the medical procedure specified in the study protocol or meets the SAE criteria.</w:t>
      </w:r>
    </w:p>
    <w:p w14:paraId="7080D074" w14:textId="6E4AF3BB" w:rsidR="0052743E" w:rsidRPr="00F16A5E" w:rsidRDefault="0052743E" w:rsidP="0092189B">
      <w:pPr>
        <w:tabs>
          <w:tab w:val="left" w:pos="2460"/>
        </w:tabs>
        <w:spacing w:beforeLines="50" w:before="156" w:line="300" w:lineRule="auto"/>
        <w:rPr>
          <w:sz w:val="24"/>
        </w:rPr>
      </w:pPr>
      <w:r w:rsidRPr="00F16A5E">
        <w:rPr>
          <w:sz w:val="24"/>
        </w:rPr>
        <w:t>All AEs and SAEs that occur after starting the study drug until 28 days after last dose should be collected. New AEs and SAEs that occur &gt;28 days after the last dose will no longer be recorded and followed up unless the investigator believes that they are related to the study drug.</w:t>
      </w:r>
    </w:p>
    <w:p w14:paraId="1385EC9F" w14:textId="322B21B1" w:rsidR="0052743E" w:rsidRPr="00F16A5E" w:rsidRDefault="0052743E" w:rsidP="0092189B">
      <w:pPr>
        <w:tabs>
          <w:tab w:val="left" w:pos="2460"/>
        </w:tabs>
        <w:spacing w:beforeLines="50" w:before="156" w:line="300" w:lineRule="auto"/>
        <w:rPr>
          <w:sz w:val="24"/>
        </w:rPr>
      </w:pPr>
      <w:r w:rsidRPr="00F16A5E">
        <w:rPr>
          <w:sz w:val="24"/>
        </w:rPr>
        <w:t xml:space="preserve">All AEs and SAEs should be followed until resolution (return to normal or baseline), the condition </w:t>
      </w:r>
      <w:r w:rsidR="005265B5" w:rsidRPr="00F16A5E">
        <w:rPr>
          <w:sz w:val="24"/>
        </w:rPr>
        <w:t xml:space="preserve">have </w:t>
      </w:r>
      <w:r w:rsidRPr="00F16A5E">
        <w:rPr>
          <w:sz w:val="24"/>
        </w:rPr>
        <w:t>stabilize</w:t>
      </w:r>
      <w:r w:rsidR="005265B5" w:rsidRPr="00F16A5E">
        <w:rPr>
          <w:sz w:val="24"/>
        </w:rPr>
        <w:t>d</w:t>
      </w:r>
      <w:r w:rsidRPr="00F16A5E">
        <w:rPr>
          <w:sz w:val="24"/>
        </w:rPr>
        <w:t xml:space="preserve"> (the symptoms will not be further aggravated or improved), the event is otherwise explained, or until withdrawal of consent, whichever occurs first.</w:t>
      </w:r>
    </w:p>
    <w:p w14:paraId="6194FD61" w14:textId="6B6B6B1F" w:rsidR="006E18E9" w:rsidRPr="00F16A5E" w:rsidRDefault="006E18E9" w:rsidP="006E18E9">
      <w:pPr>
        <w:pStyle w:val="3"/>
        <w:keepLines w:val="0"/>
        <w:spacing w:before="60" w:after="60" w:line="360" w:lineRule="auto"/>
        <w:rPr>
          <w:sz w:val="24"/>
          <w:szCs w:val="24"/>
        </w:rPr>
      </w:pPr>
      <w:bookmarkStart w:id="252" w:name="_8.2.6_Assessment_of"/>
      <w:bookmarkStart w:id="253" w:name="_Toc9456216"/>
      <w:bookmarkStart w:id="254" w:name="_Toc20224889"/>
      <w:bookmarkStart w:id="255" w:name="_Toc71149191"/>
      <w:bookmarkEnd w:id="252"/>
      <w:r w:rsidRPr="00F16A5E">
        <w:rPr>
          <w:sz w:val="24"/>
          <w:szCs w:val="24"/>
        </w:rPr>
        <w:t>8.2.6</w:t>
      </w:r>
      <w:bookmarkEnd w:id="253"/>
      <w:bookmarkEnd w:id="254"/>
      <w:r w:rsidR="0092189B" w:rsidRPr="00F16A5E">
        <w:rPr>
          <w:sz w:val="24"/>
          <w:szCs w:val="24"/>
        </w:rPr>
        <w:tab/>
        <w:t>Assessment of Adverse Events</w:t>
      </w:r>
      <w:bookmarkEnd w:id="255"/>
    </w:p>
    <w:p w14:paraId="6474CDEA" w14:textId="2E161404" w:rsidR="0092189B" w:rsidRPr="00F16A5E" w:rsidRDefault="0092189B" w:rsidP="0092189B">
      <w:pPr>
        <w:pStyle w:val="aa"/>
        <w:spacing w:line="360" w:lineRule="auto"/>
        <w:ind w:firstLineChars="0" w:firstLine="0"/>
        <w:rPr>
          <w:rFonts w:ascii="Times New Roman" w:hAnsi="Times New Roman"/>
          <w:sz w:val="24"/>
        </w:rPr>
      </w:pPr>
      <w:r w:rsidRPr="00F16A5E">
        <w:rPr>
          <w:rFonts w:ascii="Times New Roman" w:hAnsi="Times New Roman"/>
          <w:sz w:val="24"/>
        </w:rPr>
        <w:t>At each visit, all adverse events and serious adverse events observed or mentioned by the subject will be accurately recorded by the investigator in the source document and entered into the "Adverse Events" page of eCRF. The elements to be recorded includes but is not limited to:</w:t>
      </w:r>
    </w:p>
    <w:p w14:paraId="700C7EAB" w14:textId="77777777" w:rsidR="0092189B" w:rsidRPr="00F16A5E" w:rsidRDefault="0092189B" w:rsidP="00EA5F3A">
      <w:pPr>
        <w:numPr>
          <w:ilvl w:val="0"/>
          <w:numId w:val="13"/>
        </w:numPr>
        <w:tabs>
          <w:tab w:val="left" w:pos="845"/>
        </w:tabs>
        <w:spacing w:line="360" w:lineRule="auto"/>
        <w:ind w:leftChars="200" w:left="840"/>
        <w:rPr>
          <w:sz w:val="24"/>
        </w:rPr>
      </w:pPr>
      <w:r w:rsidRPr="00F16A5E">
        <w:rPr>
          <w:sz w:val="24"/>
        </w:rPr>
        <w:t>Diagnosis/description of AE;</w:t>
      </w:r>
    </w:p>
    <w:p w14:paraId="2A645F35" w14:textId="77777777" w:rsidR="0092189B" w:rsidRPr="00F16A5E" w:rsidRDefault="0092189B" w:rsidP="00EA5F3A">
      <w:pPr>
        <w:numPr>
          <w:ilvl w:val="0"/>
          <w:numId w:val="13"/>
        </w:numPr>
        <w:tabs>
          <w:tab w:val="left" w:pos="845"/>
        </w:tabs>
        <w:spacing w:line="360" w:lineRule="auto"/>
        <w:ind w:leftChars="200" w:left="840"/>
        <w:rPr>
          <w:sz w:val="24"/>
        </w:rPr>
      </w:pPr>
      <w:r w:rsidRPr="00F16A5E">
        <w:rPr>
          <w:sz w:val="24"/>
        </w:rPr>
        <w:t>Start and end dates of AE;</w:t>
      </w:r>
    </w:p>
    <w:p w14:paraId="67A53C1C" w14:textId="77777777" w:rsidR="0092189B" w:rsidRPr="00F16A5E" w:rsidRDefault="0092189B" w:rsidP="00EA5F3A">
      <w:pPr>
        <w:numPr>
          <w:ilvl w:val="0"/>
          <w:numId w:val="13"/>
        </w:numPr>
        <w:tabs>
          <w:tab w:val="left" w:pos="845"/>
        </w:tabs>
        <w:spacing w:line="360" w:lineRule="auto"/>
        <w:ind w:leftChars="200" w:left="840"/>
        <w:rPr>
          <w:sz w:val="24"/>
        </w:rPr>
      </w:pPr>
      <w:r w:rsidRPr="00F16A5E">
        <w:rPr>
          <w:sz w:val="24"/>
        </w:rPr>
        <w:t>Change in severity grade and date;</w:t>
      </w:r>
    </w:p>
    <w:p w14:paraId="48FFDF6E" w14:textId="77777777" w:rsidR="0092189B" w:rsidRPr="00F16A5E" w:rsidRDefault="0092189B" w:rsidP="00EA5F3A">
      <w:pPr>
        <w:numPr>
          <w:ilvl w:val="0"/>
          <w:numId w:val="13"/>
        </w:numPr>
        <w:tabs>
          <w:tab w:val="left" w:pos="845"/>
        </w:tabs>
        <w:spacing w:line="360" w:lineRule="auto"/>
        <w:ind w:leftChars="200" w:left="840"/>
        <w:rPr>
          <w:sz w:val="24"/>
        </w:rPr>
      </w:pPr>
      <w:r w:rsidRPr="00F16A5E">
        <w:rPr>
          <w:sz w:val="24"/>
        </w:rPr>
        <w:t xml:space="preserve">Whether it is SAE and seriousness standard; </w:t>
      </w:r>
    </w:p>
    <w:p w14:paraId="1B2B4FF6" w14:textId="77777777" w:rsidR="0092189B" w:rsidRPr="00F16A5E" w:rsidRDefault="0092189B" w:rsidP="00EA5F3A">
      <w:pPr>
        <w:numPr>
          <w:ilvl w:val="0"/>
          <w:numId w:val="13"/>
        </w:numPr>
        <w:tabs>
          <w:tab w:val="left" w:pos="845"/>
        </w:tabs>
        <w:spacing w:line="360" w:lineRule="auto"/>
        <w:ind w:leftChars="200" w:left="840"/>
        <w:rPr>
          <w:sz w:val="24"/>
        </w:rPr>
      </w:pPr>
      <w:r w:rsidRPr="00F16A5E">
        <w:rPr>
          <w:sz w:val="24"/>
        </w:rPr>
        <w:t>Relationship to study drug;</w:t>
      </w:r>
    </w:p>
    <w:p w14:paraId="67A75167" w14:textId="77777777" w:rsidR="0092189B" w:rsidRPr="00F16A5E" w:rsidRDefault="0092189B" w:rsidP="00EA5F3A">
      <w:pPr>
        <w:numPr>
          <w:ilvl w:val="0"/>
          <w:numId w:val="13"/>
        </w:numPr>
        <w:tabs>
          <w:tab w:val="left" w:pos="845"/>
        </w:tabs>
        <w:spacing w:line="360" w:lineRule="auto"/>
        <w:ind w:leftChars="200" w:left="840"/>
        <w:rPr>
          <w:sz w:val="24"/>
        </w:rPr>
      </w:pPr>
      <w:r w:rsidRPr="00F16A5E">
        <w:rPr>
          <w:sz w:val="24"/>
        </w:rPr>
        <w:t>Action taken with study drug;</w:t>
      </w:r>
    </w:p>
    <w:p w14:paraId="18EACFBC" w14:textId="77777777" w:rsidR="0092189B" w:rsidRPr="00F16A5E" w:rsidRDefault="0092189B" w:rsidP="00EA5F3A">
      <w:pPr>
        <w:numPr>
          <w:ilvl w:val="0"/>
          <w:numId w:val="13"/>
        </w:numPr>
        <w:tabs>
          <w:tab w:val="left" w:pos="845"/>
        </w:tabs>
        <w:spacing w:line="360" w:lineRule="auto"/>
        <w:ind w:leftChars="200" w:left="840"/>
        <w:rPr>
          <w:sz w:val="24"/>
        </w:rPr>
      </w:pPr>
      <w:r w:rsidRPr="00F16A5E">
        <w:rPr>
          <w:sz w:val="24"/>
        </w:rPr>
        <w:t>Outcome of AE;</w:t>
      </w:r>
    </w:p>
    <w:p w14:paraId="7BD6E4A9" w14:textId="6D25407A" w:rsidR="0092189B" w:rsidRPr="00F16A5E" w:rsidRDefault="0092189B" w:rsidP="00EA5F3A">
      <w:pPr>
        <w:numPr>
          <w:ilvl w:val="0"/>
          <w:numId w:val="13"/>
        </w:numPr>
        <w:tabs>
          <w:tab w:val="left" w:pos="845"/>
        </w:tabs>
        <w:spacing w:line="360" w:lineRule="auto"/>
        <w:ind w:leftChars="200" w:left="840"/>
        <w:rPr>
          <w:sz w:val="24"/>
        </w:rPr>
      </w:pPr>
      <w:r w:rsidRPr="00F16A5E">
        <w:rPr>
          <w:sz w:val="24"/>
        </w:rPr>
        <w:lastRenderedPageBreak/>
        <w:t>Whether the subject is withdrawn from the clinical trial due to adverse events.</w:t>
      </w:r>
    </w:p>
    <w:p w14:paraId="09C640F5" w14:textId="0C5D89C5" w:rsidR="006E18E9" w:rsidRPr="00F16A5E" w:rsidRDefault="00BE07C9" w:rsidP="006E18E9">
      <w:pPr>
        <w:pStyle w:val="3"/>
        <w:keepLines w:val="0"/>
        <w:spacing w:before="60" w:after="60" w:line="360" w:lineRule="auto"/>
        <w:rPr>
          <w:sz w:val="24"/>
          <w:szCs w:val="24"/>
        </w:rPr>
      </w:pPr>
      <w:bookmarkStart w:id="256" w:name="_Toc71149192"/>
      <w:r w:rsidRPr="00F16A5E">
        <w:rPr>
          <w:sz w:val="24"/>
          <w:szCs w:val="24"/>
        </w:rPr>
        <w:t>8.2.7</w:t>
      </w:r>
      <w:r w:rsidR="0092189B" w:rsidRPr="00F16A5E">
        <w:rPr>
          <w:sz w:val="24"/>
          <w:szCs w:val="24"/>
        </w:rPr>
        <w:tab/>
        <w:t>Reporting and Follow-up of Abnormal Laboratory Tests</w:t>
      </w:r>
      <w:bookmarkEnd w:id="256"/>
    </w:p>
    <w:p w14:paraId="3A6AA6E8" w14:textId="3E646578" w:rsidR="0092189B" w:rsidRPr="00F16A5E" w:rsidRDefault="0092189B" w:rsidP="00862314">
      <w:pPr>
        <w:pStyle w:val="aa"/>
        <w:spacing w:beforeLines="50" w:before="156" w:line="300" w:lineRule="auto"/>
        <w:ind w:firstLineChars="0" w:firstLine="0"/>
        <w:rPr>
          <w:rFonts w:ascii="Times New Roman" w:hAnsi="Times New Roman"/>
          <w:sz w:val="24"/>
          <w:szCs w:val="24"/>
        </w:rPr>
      </w:pPr>
      <w:r w:rsidRPr="00F16A5E">
        <w:rPr>
          <w:rFonts w:ascii="Times New Roman" w:hAnsi="Times New Roman"/>
          <w:sz w:val="24"/>
          <w:szCs w:val="24"/>
        </w:rPr>
        <w:t xml:space="preserve">For each abnormal laboratory test result, the investigator needs to confirm whether it is an abnormal change from the baseline for the subject (for example, </w:t>
      </w:r>
      <w:r w:rsidR="0030384E" w:rsidRPr="00F16A5E">
        <w:rPr>
          <w:rFonts w:ascii="Times New Roman" w:hAnsi="Times New Roman"/>
          <w:sz w:val="24"/>
          <w:szCs w:val="24"/>
        </w:rPr>
        <w:t>clinically</w:t>
      </w:r>
      <w:r w:rsidRPr="00F16A5E">
        <w:rPr>
          <w:rFonts w:ascii="Times New Roman" w:hAnsi="Times New Roman"/>
          <w:sz w:val="24"/>
          <w:szCs w:val="24"/>
        </w:rPr>
        <w:t xml:space="preserve"> significant). It is not necessary to make a judgment when the abnormal value is observed for the first time. In order to confirm the initial laboratory test results, the investigator can also perform re-examination or additional examination. Abnormalities in laboratory tests that are not clinically significant will not be recorded as adverse events. Any abnormal laboratory results that have clinical significance or require urgent treatment, that is, those who meet one or more of the following conditions, should be recorded as adverse events and followed up until they have resolved or stabilized.</w:t>
      </w:r>
    </w:p>
    <w:p w14:paraId="14F2BEAC" w14:textId="77777777" w:rsidR="00862314" w:rsidRPr="00F16A5E" w:rsidRDefault="00862314" w:rsidP="00EA5F3A">
      <w:pPr>
        <w:numPr>
          <w:ilvl w:val="0"/>
          <w:numId w:val="13"/>
        </w:numPr>
        <w:spacing w:before="50" w:line="300" w:lineRule="auto"/>
        <w:ind w:leftChars="200" w:left="840"/>
        <w:rPr>
          <w:sz w:val="24"/>
        </w:rPr>
      </w:pPr>
      <w:r w:rsidRPr="00F16A5E">
        <w:rPr>
          <w:sz w:val="24"/>
        </w:rPr>
        <w:t>Accompanied by clinical symptoms;</w:t>
      </w:r>
    </w:p>
    <w:p w14:paraId="3F897911" w14:textId="77777777" w:rsidR="00862314" w:rsidRPr="00F16A5E" w:rsidRDefault="00862314" w:rsidP="00EA5F3A">
      <w:pPr>
        <w:numPr>
          <w:ilvl w:val="0"/>
          <w:numId w:val="13"/>
        </w:numPr>
        <w:spacing w:before="50" w:line="300" w:lineRule="auto"/>
        <w:ind w:leftChars="200" w:left="840"/>
        <w:rPr>
          <w:sz w:val="24"/>
        </w:rPr>
      </w:pPr>
      <w:r w:rsidRPr="00F16A5E">
        <w:rPr>
          <w:sz w:val="24"/>
        </w:rPr>
        <w:t>Leading to study drug changes (such as treatment discontinuation);</w:t>
      </w:r>
    </w:p>
    <w:p w14:paraId="17F65DF1" w14:textId="77777777" w:rsidR="00862314" w:rsidRPr="00F16A5E" w:rsidRDefault="00862314" w:rsidP="00EA5F3A">
      <w:pPr>
        <w:numPr>
          <w:ilvl w:val="0"/>
          <w:numId w:val="13"/>
        </w:numPr>
        <w:spacing w:before="50" w:line="300" w:lineRule="auto"/>
        <w:ind w:leftChars="200" w:left="840"/>
        <w:rPr>
          <w:sz w:val="24"/>
        </w:rPr>
      </w:pPr>
      <w:r w:rsidRPr="00F16A5E">
        <w:rPr>
          <w:sz w:val="24"/>
        </w:rPr>
        <w:t>Leading to any change in concomitant treatment (such as addition, interruption, termination, or other changes to concomitant medications or therapies).</w:t>
      </w:r>
    </w:p>
    <w:p w14:paraId="019AAD3F" w14:textId="6DD49B1C" w:rsidR="0092189B" w:rsidRPr="00F16A5E" w:rsidRDefault="00862314" w:rsidP="00862314">
      <w:pPr>
        <w:pStyle w:val="aa"/>
        <w:spacing w:before="50" w:line="300" w:lineRule="auto"/>
        <w:ind w:firstLineChars="0" w:firstLine="0"/>
        <w:rPr>
          <w:rFonts w:ascii="Times New Roman" w:hAnsi="Times New Roman"/>
          <w:sz w:val="24"/>
          <w:szCs w:val="24"/>
        </w:rPr>
      </w:pPr>
      <w:r w:rsidRPr="00F16A5E">
        <w:rPr>
          <w:rFonts w:ascii="Times New Roman" w:hAnsi="Times New Roman"/>
          <w:sz w:val="24"/>
          <w:szCs w:val="24"/>
        </w:rPr>
        <w:t>Any abnormal laboratory result that meets the criteria for serious adverse events will be reported as SAEs, in addition to being recorded as AEs.</w:t>
      </w:r>
    </w:p>
    <w:p w14:paraId="60B91C2D" w14:textId="7A53AFE5" w:rsidR="006E18E9" w:rsidRPr="00F16A5E" w:rsidRDefault="006E18E9" w:rsidP="006E18E9">
      <w:pPr>
        <w:pStyle w:val="3"/>
        <w:keepLines w:val="0"/>
        <w:spacing w:before="60" w:after="60" w:line="360" w:lineRule="auto"/>
        <w:rPr>
          <w:sz w:val="24"/>
          <w:szCs w:val="24"/>
        </w:rPr>
      </w:pPr>
      <w:bookmarkStart w:id="257" w:name="_Toc7170285"/>
      <w:bookmarkStart w:id="258" w:name="_Toc9456217"/>
      <w:bookmarkStart w:id="259" w:name="_Toc20224890"/>
      <w:bookmarkStart w:id="260" w:name="_Toc71149193"/>
      <w:r w:rsidRPr="00F16A5E">
        <w:rPr>
          <w:sz w:val="24"/>
          <w:szCs w:val="24"/>
        </w:rPr>
        <w:t>8.2.</w:t>
      </w:r>
      <w:r w:rsidR="00BE07C9" w:rsidRPr="00F16A5E">
        <w:rPr>
          <w:sz w:val="24"/>
          <w:szCs w:val="24"/>
        </w:rPr>
        <w:t>8</w:t>
      </w:r>
      <w:bookmarkEnd w:id="257"/>
      <w:bookmarkEnd w:id="258"/>
      <w:bookmarkEnd w:id="259"/>
      <w:r w:rsidR="00862314" w:rsidRPr="00F16A5E">
        <w:rPr>
          <w:sz w:val="24"/>
          <w:szCs w:val="24"/>
        </w:rPr>
        <w:tab/>
        <w:t>Reporting of Serious Adverse Events</w:t>
      </w:r>
      <w:bookmarkEnd w:id="260"/>
    </w:p>
    <w:p w14:paraId="387AC709" w14:textId="603B2397" w:rsidR="006E18E9" w:rsidRPr="00F16A5E" w:rsidRDefault="00862314" w:rsidP="00862314">
      <w:pPr>
        <w:pStyle w:val="aa"/>
        <w:spacing w:beforeLines="50" w:before="156" w:line="300" w:lineRule="auto"/>
        <w:ind w:firstLineChars="0" w:firstLine="0"/>
        <w:rPr>
          <w:rFonts w:ascii="Times New Roman" w:hAnsi="Times New Roman"/>
          <w:sz w:val="24"/>
        </w:rPr>
      </w:pPr>
      <w:r w:rsidRPr="00F16A5E">
        <w:rPr>
          <w:rFonts w:ascii="Times New Roman" w:hAnsi="Times New Roman"/>
          <w:sz w:val="24"/>
        </w:rPr>
        <w:t xml:space="preserve">In the event of a serious adverse event, the investigator must immediately take appropriate treatment measures to the subject. In addition to recording according to section </w:t>
      </w:r>
      <w:hyperlink w:anchor="_8.2.6_Assessment_of" w:history="1">
        <w:r w:rsidRPr="00F16A5E">
          <w:rPr>
            <w:rStyle w:val="ae"/>
            <w:rFonts w:ascii="Times New Roman" w:hAnsi="Times New Roman"/>
            <w:sz w:val="24"/>
          </w:rPr>
          <w:t>8.2.6</w:t>
        </w:r>
      </w:hyperlink>
      <w:r w:rsidRPr="00F16A5E">
        <w:rPr>
          <w:rFonts w:ascii="Times New Roman" w:hAnsi="Times New Roman"/>
          <w:sz w:val="24"/>
        </w:rPr>
        <w:t xml:space="preserve">, the investigator </w:t>
      </w:r>
      <w:r w:rsidR="00847BB7" w:rsidRPr="00F16A5E">
        <w:rPr>
          <w:rFonts w:ascii="Times New Roman" w:hAnsi="Times New Roman"/>
          <w:sz w:val="24"/>
        </w:rPr>
        <w:t>should</w:t>
      </w:r>
      <w:r w:rsidRPr="00F16A5E">
        <w:rPr>
          <w:rFonts w:ascii="Times New Roman" w:hAnsi="Times New Roman"/>
          <w:sz w:val="24"/>
        </w:rPr>
        <w:t xml:space="preserve"> also complete the SAE report form provided or agreed by the sponsor, and report it to the sponsor within 24 hours after knowledge. The contact information of the sponsor is as follows: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51"/>
        <w:gridCol w:w="1826"/>
        <w:gridCol w:w="4051"/>
      </w:tblGrid>
      <w:tr w:rsidR="00862314" w:rsidRPr="00F16A5E" w14:paraId="1441508F" w14:textId="77777777" w:rsidTr="00862314">
        <w:trPr>
          <w:trHeight w:val="397"/>
          <w:jc w:val="center"/>
        </w:trPr>
        <w:tc>
          <w:tcPr>
            <w:tcW w:w="1948" w:type="pct"/>
            <w:shd w:val="clear" w:color="auto" w:fill="E7E6E6" w:themeFill="background2"/>
            <w:vAlign w:val="center"/>
          </w:tcPr>
          <w:p w14:paraId="4EC4D998" w14:textId="471DE7E3" w:rsidR="00862314" w:rsidRPr="00F16A5E" w:rsidRDefault="00862314" w:rsidP="00310B16">
            <w:pPr>
              <w:rPr>
                <w:b/>
                <w:bCs/>
              </w:rPr>
            </w:pPr>
            <w:r w:rsidRPr="00F16A5E">
              <w:rPr>
                <w:b/>
                <w:bCs/>
              </w:rPr>
              <w:t>Company</w:t>
            </w:r>
          </w:p>
        </w:tc>
        <w:tc>
          <w:tcPr>
            <w:tcW w:w="948" w:type="pct"/>
            <w:shd w:val="clear" w:color="auto" w:fill="E7E6E6" w:themeFill="background2"/>
            <w:vAlign w:val="center"/>
          </w:tcPr>
          <w:p w14:paraId="70DC783A" w14:textId="77777777" w:rsidR="00862314" w:rsidRPr="00F16A5E" w:rsidRDefault="00862314" w:rsidP="00310B16">
            <w:pPr>
              <w:rPr>
                <w:b/>
                <w:bCs/>
              </w:rPr>
            </w:pPr>
            <w:r w:rsidRPr="00F16A5E">
              <w:rPr>
                <w:b/>
                <w:bCs/>
              </w:rPr>
              <w:t>Contact</w:t>
            </w:r>
          </w:p>
        </w:tc>
        <w:tc>
          <w:tcPr>
            <w:tcW w:w="2104" w:type="pct"/>
            <w:shd w:val="clear" w:color="auto" w:fill="E7E6E6" w:themeFill="background2"/>
            <w:vAlign w:val="center"/>
          </w:tcPr>
          <w:p w14:paraId="54FD4B5F" w14:textId="77777777" w:rsidR="00862314" w:rsidRPr="00F16A5E" w:rsidRDefault="00862314" w:rsidP="00310B16">
            <w:pPr>
              <w:rPr>
                <w:b/>
                <w:bCs/>
              </w:rPr>
            </w:pPr>
            <w:r w:rsidRPr="00F16A5E">
              <w:rPr>
                <w:b/>
                <w:bCs/>
              </w:rPr>
              <w:t>Email</w:t>
            </w:r>
          </w:p>
        </w:tc>
      </w:tr>
      <w:tr w:rsidR="00862314" w:rsidRPr="00F16A5E" w14:paraId="130C5B90" w14:textId="77777777" w:rsidTr="00862314">
        <w:trPr>
          <w:trHeight w:val="359"/>
          <w:jc w:val="center"/>
        </w:trPr>
        <w:tc>
          <w:tcPr>
            <w:tcW w:w="1948" w:type="pct"/>
            <w:vAlign w:val="center"/>
          </w:tcPr>
          <w:p w14:paraId="28BC37A5" w14:textId="6878CF5A" w:rsidR="00862314" w:rsidRPr="00F16A5E" w:rsidRDefault="00862314" w:rsidP="00310B16">
            <w:r w:rsidRPr="00F16A5E">
              <w:t>Beijing InnoCare Pharma Tech. Co.</w:t>
            </w:r>
            <w:r w:rsidR="0030384E" w:rsidRPr="00F16A5E">
              <w:t xml:space="preserve"> </w:t>
            </w:r>
            <w:r w:rsidRPr="00F16A5E">
              <w:t>Ltd</w:t>
            </w:r>
            <w:r w:rsidR="0030384E" w:rsidRPr="00F16A5E">
              <w:t>.</w:t>
            </w:r>
          </w:p>
        </w:tc>
        <w:tc>
          <w:tcPr>
            <w:tcW w:w="948" w:type="pct"/>
            <w:vAlign w:val="center"/>
          </w:tcPr>
          <w:p w14:paraId="57AF8989" w14:textId="77777777" w:rsidR="00862314" w:rsidRPr="00F16A5E" w:rsidRDefault="00862314" w:rsidP="00310B16">
            <w:r w:rsidRPr="00F16A5E">
              <w:t>Pharmacovigilance</w:t>
            </w:r>
          </w:p>
        </w:tc>
        <w:tc>
          <w:tcPr>
            <w:tcW w:w="2104" w:type="pct"/>
            <w:vAlign w:val="center"/>
          </w:tcPr>
          <w:p w14:paraId="043C2963" w14:textId="77777777" w:rsidR="00862314" w:rsidRPr="00F16A5E" w:rsidRDefault="00862314" w:rsidP="00310B16">
            <w:r w:rsidRPr="00F16A5E">
              <w:t>Email: drugsafety@innocarepharma.com</w:t>
            </w:r>
          </w:p>
        </w:tc>
      </w:tr>
    </w:tbl>
    <w:p w14:paraId="4AB7DC4F" w14:textId="2B441EF2" w:rsidR="00862314" w:rsidRPr="00F16A5E" w:rsidRDefault="00862314" w:rsidP="00862314">
      <w:pPr>
        <w:pStyle w:val="aa"/>
        <w:spacing w:beforeLines="50" w:before="156" w:line="300" w:lineRule="auto"/>
        <w:ind w:firstLineChars="0" w:firstLine="0"/>
        <w:rPr>
          <w:rFonts w:ascii="Times New Roman" w:hAnsi="Times New Roman"/>
          <w:sz w:val="24"/>
        </w:rPr>
      </w:pPr>
      <w:r w:rsidRPr="00F16A5E">
        <w:rPr>
          <w:rFonts w:ascii="Times New Roman" w:hAnsi="Times New Roman"/>
          <w:sz w:val="24"/>
        </w:rPr>
        <w:t>If the criteria of SUSAR is met, the investigator and the sponsor should also make corresponding reports in accordance with the respective responsibilities of the investigator and the sponsor specified in the current GCP and other applicable regulations or regulatory requirements.</w:t>
      </w:r>
    </w:p>
    <w:p w14:paraId="23800912" w14:textId="7F38DE4F" w:rsidR="006E18E9" w:rsidRPr="00F16A5E" w:rsidRDefault="006E18E9" w:rsidP="006E18E9">
      <w:pPr>
        <w:pStyle w:val="3"/>
        <w:keepLines w:val="0"/>
        <w:spacing w:before="60" w:after="60" w:line="360" w:lineRule="auto"/>
        <w:rPr>
          <w:sz w:val="24"/>
          <w:szCs w:val="24"/>
        </w:rPr>
      </w:pPr>
      <w:bookmarkStart w:id="261" w:name="_Toc7170289"/>
      <w:bookmarkStart w:id="262" w:name="_Toc9456218"/>
      <w:bookmarkStart w:id="263" w:name="_Toc20224891"/>
      <w:bookmarkStart w:id="264" w:name="_Toc71149194"/>
      <w:r w:rsidRPr="00F16A5E">
        <w:rPr>
          <w:sz w:val="24"/>
          <w:szCs w:val="24"/>
        </w:rPr>
        <w:t>8.2.9</w:t>
      </w:r>
      <w:bookmarkEnd w:id="261"/>
      <w:bookmarkEnd w:id="262"/>
      <w:bookmarkEnd w:id="263"/>
      <w:r w:rsidR="00862314" w:rsidRPr="00F16A5E">
        <w:rPr>
          <w:sz w:val="24"/>
          <w:szCs w:val="24"/>
        </w:rPr>
        <w:tab/>
        <w:t>Pregnancy Reporting</w:t>
      </w:r>
      <w:bookmarkEnd w:id="264"/>
    </w:p>
    <w:p w14:paraId="25C76D2F" w14:textId="0AE413BA" w:rsidR="00862314" w:rsidRPr="00F16A5E" w:rsidRDefault="00862314" w:rsidP="00862314">
      <w:pPr>
        <w:pStyle w:val="aa"/>
        <w:spacing w:beforeLines="50" w:before="156" w:line="300" w:lineRule="auto"/>
        <w:ind w:firstLineChars="0" w:firstLine="0"/>
        <w:rPr>
          <w:rFonts w:ascii="Times New Roman" w:hAnsi="Times New Roman"/>
          <w:sz w:val="24"/>
          <w:szCs w:val="24"/>
        </w:rPr>
      </w:pPr>
      <w:r w:rsidRPr="00F16A5E">
        <w:rPr>
          <w:rFonts w:ascii="Times New Roman" w:hAnsi="Times New Roman"/>
          <w:sz w:val="24"/>
          <w:szCs w:val="24"/>
        </w:rPr>
        <w:t xml:space="preserve">In order to ensure the safety of the subjects, if the partner of the male subject or the female subject becomes pregnant during the study, the subject should immediately </w:t>
      </w:r>
      <w:r w:rsidR="00A102DF" w:rsidRPr="00F16A5E">
        <w:rPr>
          <w:rFonts w:ascii="Times New Roman" w:hAnsi="Times New Roman"/>
          <w:sz w:val="24"/>
          <w:szCs w:val="24"/>
        </w:rPr>
        <w:t>inform</w:t>
      </w:r>
      <w:r w:rsidRPr="00F16A5E">
        <w:rPr>
          <w:rFonts w:ascii="Times New Roman" w:hAnsi="Times New Roman"/>
          <w:sz w:val="24"/>
          <w:szCs w:val="24"/>
        </w:rPr>
        <w:t xml:space="preserve"> the investigator. The investigator should fill in the pregnancy report form in the clinical trial and report to the sponsor within 24 hours after </w:t>
      </w:r>
      <w:proofErr w:type="spellStart"/>
      <w:r w:rsidR="00A102DF" w:rsidRPr="00F16A5E">
        <w:rPr>
          <w:rFonts w:ascii="Times New Roman" w:hAnsi="Times New Roman"/>
          <w:sz w:val="24"/>
          <w:szCs w:val="24"/>
        </w:rPr>
        <w:t>knowledgment</w:t>
      </w:r>
      <w:proofErr w:type="spellEnd"/>
      <w:r w:rsidRPr="00F16A5E">
        <w:rPr>
          <w:rFonts w:ascii="Times New Roman" w:hAnsi="Times New Roman"/>
          <w:sz w:val="24"/>
          <w:szCs w:val="24"/>
        </w:rPr>
        <w:t>, and follow up to the end of pregnancy or termination of pregnancy (natural, accidental or therapeutic abortion) or birth of the newborn, and report the outcome to the sponsor by completing the follow-up pregnancy form.</w:t>
      </w:r>
    </w:p>
    <w:p w14:paraId="67A4AD1D" w14:textId="60F798E4" w:rsidR="00862314" w:rsidRPr="00F16A5E" w:rsidRDefault="00862314" w:rsidP="00862314">
      <w:pPr>
        <w:pStyle w:val="aa"/>
        <w:spacing w:beforeLines="50" w:before="156" w:line="300" w:lineRule="auto"/>
        <w:ind w:firstLineChars="0" w:firstLine="0"/>
        <w:rPr>
          <w:rFonts w:ascii="Times New Roman" w:hAnsi="Times New Roman"/>
          <w:sz w:val="24"/>
          <w:szCs w:val="24"/>
        </w:rPr>
      </w:pPr>
      <w:r w:rsidRPr="00F16A5E">
        <w:rPr>
          <w:rFonts w:ascii="Times New Roman" w:hAnsi="Times New Roman"/>
          <w:sz w:val="24"/>
          <w:szCs w:val="24"/>
        </w:rPr>
        <w:lastRenderedPageBreak/>
        <w:t>If</w:t>
      </w:r>
      <w:r w:rsidR="00A102DF" w:rsidRPr="00F16A5E">
        <w:rPr>
          <w:rFonts w:ascii="Times New Roman" w:hAnsi="Times New Roman"/>
          <w:sz w:val="24"/>
          <w:szCs w:val="24"/>
        </w:rPr>
        <w:t xml:space="preserve"> a</w:t>
      </w:r>
      <w:r w:rsidRPr="00F16A5E">
        <w:rPr>
          <w:rFonts w:ascii="Times New Roman" w:hAnsi="Times New Roman"/>
          <w:sz w:val="24"/>
          <w:szCs w:val="24"/>
        </w:rPr>
        <w:t xml:space="preserve"> female subject become</w:t>
      </w:r>
      <w:r w:rsidR="00A102DF" w:rsidRPr="00F16A5E">
        <w:rPr>
          <w:rFonts w:ascii="Times New Roman" w:hAnsi="Times New Roman"/>
          <w:sz w:val="24"/>
          <w:szCs w:val="24"/>
        </w:rPr>
        <w:t>s</w:t>
      </w:r>
      <w:r w:rsidRPr="00F16A5E">
        <w:rPr>
          <w:rFonts w:ascii="Times New Roman" w:hAnsi="Times New Roman"/>
          <w:sz w:val="24"/>
          <w:szCs w:val="24"/>
        </w:rPr>
        <w:t xml:space="preserve"> pregnant, </w:t>
      </w:r>
      <w:r w:rsidR="00A102DF" w:rsidRPr="00F16A5E">
        <w:rPr>
          <w:rFonts w:ascii="Times New Roman" w:hAnsi="Times New Roman"/>
          <w:sz w:val="24"/>
          <w:szCs w:val="24"/>
        </w:rPr>
        <w:t>she</w:t>
      </w:r>
      <w:r w:rsidRPr="00F16A5E">
        <w:rPr>
          <w:rFonts w:ascii="Times New Roman" w:hAnsi="Times New Roman"/>
          <w:sz w:val="24"/>
          <w:szCs w:val="24"/>
        </w:rPr>
        <w:t xml:space="preserve"> must be withdrawn from the study immediately, and the event should be recorded, reported, and followed up in accordance with the standard operating procedures (SOP</w:t>
      </w:r>
      <w:r w:rsidR="00A102DF" w:rsidRPr="00F16A5E">
        <w:rPr>
          <w:rFonts w:ascii="Times New Roman" w:hAnsi="Times New Roman"/>
          <w:sz w:val="24"/>
          <w:szCs w:val="24"/>
        </w:rPr>
        <w:t>s</w:t>
      </w:r>
      <w:r w:rsidRPr="00F16A5E">
        <w:rPr>
          <w:rFonts w:ascii="Times New Roman" w:hAnsi="Times New Roman"/>
          <w:sz w:val="24"/>
          <w:szCs w:val="24"/>
        </w:rPr>
        <w:t xml:space="preserve">) of </w:t>
      </w:r>
      <w:r w:rsidR="00A102DF" w:rsidRPr="00F16A5E">
        <w:rPr>
          <w:rFonts w:ascii="Times New Roman" w:hAnsi="Times New Roman"/>
          <w:sz w:val="24"/>
          <w:szCs w:val="24"/>
        </w:rPr>
        <w:t xml:space="preserve">the </w:t>
      </w:r>
      <w:r w:rsidRPr="00F16A5E">
        <w:rPr>
          <w:rFonts w:ascii="Times New Roman" w:hAnsi="Times New Roman"/>
          <w:sz w:val="24"/>
          <w:szCs w:val="24"/>
        </w:rPr>
        <w:t xml:space="preserve">clinical research institution; If the partner of a male subject </w:t>
      </w:r>
      <w:r w:rsidR="00A102DF" w:rsidRPr="00F16A5E">
        <w:rPr>
          <w:rFonts w:ascii="Times New Roman" w:hAnsi="Times New Roman"/>
          <w:sz w:val="24"/>
          <w:szCs w:val="24"/>
        </w:rPr>
        <w:t>become</w:t>
      </w:r>
      <w:r w:rsidRPr="00F16A5E">
        <w:rPr>
          <w:rFonts w:ascii="Times New Roman" w:hAnsi="Times New Roman"/>
          <w:sz w:val="24"/>
          <w:szCs w:val="24"/>
        </w:rPr>
        <w:t xml:space="preserve"> pregnant, the male subject is not required to withdraw from the study, but the pregnancy event of his partner needs to be handled in the same way as the pregnancy event </w:t>
      </w:r>
      <w:r w:rsidR="00A102DF" w:rsidRPr="00F16A5E">
        <w:rPr>
          <w:rFonts w:ascii="Times New Roman" w:hAnsi="Times New Roman"/>
          <w:sz w:val="24"/>
          <w:szCs w:val="24"/>
        </w:rPr>
        <w:t>in</w:t>
      </w:r>
      <w:r w:rsidRPr="00F16A5E">
        <w:rPr>
          <w:rFonts w:ascii="Times New Roman" w:hAnsi="Times New Roman"/>
          <w:sz w:val="24"/>
          <w:szCs w:val="24"/>
        </w:rPr>
        <w:t xml:space="preserve"> a female subject, that is, the event should be recorded, reported, and followed up.</w:t>
      </w:r>
    </w:p>
    <w:p w14:paraId="756B321E" w14:textId="267B61AC" w:rsidR="00862314" w:rsidRPr="00F16A5E" w:rsidRDefault="00862314" w:rsidP="00862314">
      <w:pPr>
        <w:pStyle w:val="aa"/>
        <w:spacing w:beforeLines="50" w:before="156" w:line="300" w:lineRule="auto"/>
        <w:ind w:firstLineChars="0" w:firstLine="0"/>
        <w:rPr>
          <w:rFonts w:ascii="Times New Roman" w:hAnsi="Times New Roman"/>
          <w:sz w:val="24"/>
          <w:szCs w:val="24"/>
        </w:rPr>
      </w:pPr>
      <w:r w:rsidRPr="00F16A5E">
        <w:rPr>
          <w:rFonts w:ascii="Times New Roman" w:hAnsi="Times New Roman"/>
          <w:sz w:val="24"/>
          <w:szCs w:val="24"/>
        </w:rPr>
        <w:t>If the pregnancy result meet the SAE criteria, such as ectopic pregnancy, spontaneous abortion, intrauterine fetal death, neonatal death or congenital abnormalities (</w:t>
      </w:r>
      <w:r w:rsidR="00A102DF" w:rsidRPr="00F16A5E">
        <w:rPr>
          <w:rFonts w:ascii="Times New Roman" w:hAnsi="Times New Roman"/>
          <w:sz w:val="24"/>
          <w:szCs w:val="24"/>
        </w:rPr>
        <w:t>which can occur in live births, terminated fetuses, intrauterine dead fetus , or dead newborns</w:t>
      </w:r>
      <w:r w:rsidRPr="00F16A5E">
        <w:rPr>
          <w:rFonts w:ascii="Times New Roman" w:hAnsi="Times New Roman"/>
          <w:sz w:val="24"/>
          <w:szCs w:val="24"/>
        </w:rPr>
        <w:t xml:space="preserve">), in addition to </w:t>
      </w:r>
      <w:r w:rsidR="00A102DF" w:rsidRPr="00F16A5E">
        <w:rPr>
          <w:rFonts w:ascii="Times New Roman" w:hAnsi="Times New Roman"/>
          <w:sz w:val="24"/>
          <w:szCs w:val="24"/>
        </w:rPr>
        <w:t>completing</w:t>
      </w:r>
      <w:r w:rsidRPr="00F16A5E">
        <w:rPr>
          <w:rFonts w:ascii="Times New Roman" w:hAnsi="Times New Roman"/>
          <w:sz w:val="24"/>
          <w:szCs w:val="24"/>
        </w:rPr>
        <w:t xml:space="preserve"> the pregnancy event report form, the investigator should also follow the SAE report procedure and </w:t>
      </w:r>
      <w:r w:rsidR="00A102DF" w:rsidRPr="00F16A5E">
        <w:rPr>
          <w:rFonts w:ascii="Times New Roman" w:hAnsi="Times New Roman"/>
          <w:sz w:val="24"/>
          <w:szCs w:val="24"/>
        </w:rPr>
        <w:t>complete</w:t>
      </w:r>
      <w:r w:rsidRPr="00F16A5E">
        <w:rPr>
          <w:rFonts w:ascii="Times New Roman" w:hAnsi="Times New Roman"/>
          <w:sz w:val="24"/>
          <w:szCs w:val="24"/>
        </w:rPr>
        <w:t xml:space="preserve"> the SAE report form to report the sponsor within 24 hours </w:t>
      </w:r>
      <w:r w:rsidR="00A102DF" w:rsidRPr="00F16A5E">
        <w:rPr>
          <w:rFonts w:ascii="Times New Roman" w:hAnsi="Times New Roman"/>
          <w:sz w:val="24"/>
          <w:szCs w:val="24"/>
        </w:rPr>
        <w:t xml:space="preserve">after </w:t>
      </w:r>
      <w:proofErr w:type="spellStart"/>
      <w:r w:rsidR="00A102DF" w:rsidRPr="00F16A5E">
        <w:rPr>
          <w:rFonts w:ascii="Times New Roman" w:hAnsi="Times New Roman"/>
          <w:sz w:val="24"/>
          <w:szCs w:val="24"/>
        </w:rPr>
        <w:t>knowledgement</w:t>
      </w:r>
      <w:proofErr w:type="spellEnd"/>
      <w:r w:rsidRPr="00F16A5E">
        <w:rPr>
          <w:rFonts w:ascii="Times New Roman" w:hAnsi="Times New Roman"/>
          <w:sz w:val="24"/>
          <w:szCs w:val="24"/>
        </w:rPr>
        <w:t>.</w:t>
      </w:r>
    </w:p>
    <w:p w14:paraId="25585774" w14:textId="38D60804"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265" w:name="_Toc7510165"/>
      <w:bookmarkStart w:id="266" w:name="_Toc9456219"/>
      <w:bookmarkStart w:id="267" w:name="_Toc20224894"/>
      <w:bookmarkStart w:id="268" w:name="_Toc71149195"/>
      <w:r w:rsidRPr="00F16A5E">
        <w:rPr>
          <w:rFonts w:ascii="Times New Roman" w:eastAsia="宋体" w:hAnsi="Times New Roman"/>
          <w:sz w:val="24"/>
        </w:rPr>
        <w:t>8.3</w:t>
      </w:r>
      <w:bookmarkEnd w:id="265"/>
      <w:bookmarkEnd w:id="266"/>
      <w:bookmarkEnd w:id="267"/>
      <w:r w:rsidR="00862314" w:rsidRPr="00F16A5E">
        <w:rPr>
          <w:rFonts w:ascii="Times New Roman" w:eastAsia="宋体" w:hAnsi="Times New Roman"/>
          <w:sz w:val="24"/>
        </w:rPr>
        <w:tab/>
        <w:t>Pharmacokinetic Evaluation</w:t>
      </w:r>
      <w:bookmarkEnd w:id="268"/>
    </w:p>
    <w:p w14:paraId="358C8FF9" w14:textId="0C2AEB06" w:rsidR="0003067B" w:rsidRPr="00F16A5E" w:rsidRDefault="0003067B" w:rsidP="0003067B">
      <w:pPr>
        <w:pStyle w:val="aa"/>
        <w:spacing w:beforeLines="50" w:before="156" w:line="300" w:lineRule="auto"/>
        <w:ind w:firstLineChars="0" w:firstLine="0"/>
        <w:rPr>
          <w:rFonts w:ascii="Times New Roman" w:hAnsi="Times New Roman"/>
          <w:sz w:val="24"/>
          <w:szCs w:val="24"/>
        </w:rPr>
      </w:pPr>
      <w:r w:rsidRPr="00F16A5E">
        <w:rPr>
          <w:rFonts w:ascii="Times New Roman" w:hAnsi="Times New Roman"/>
          <w:sz w:val="24"/>
          <w:szCs w:val="24"/>
        </w:rPr>
        <w:t xml:space="preserve">All </w:t>
      </w:r>
      <w:r w:rsidR="00F16A5E" w:rsidRPr="00F16A5E">
        <w:rPr>
          <w:rFonts w:ascii="Times New Roman" w:hAnsi="Times New Roman"/>
          <w:sz w:val="24"/>
          <w:szCs w:val="24"/>
        </w:rPr>
        <w:t xml:space="preserve">participating </w:t>
      </w:r>
      <w:r w:rsidRPr="00F16A5E">
        <w:rPr>
          <w:rFonts w:ascii="Times New Roman" w:hAnsi="Times New Roman"/>
          <w:sz w:val="24"/>
          <w:szCs w:val="24"/>
        </w:rPr>
        <w:t>subjects are required to provide PK blood samples, about 3 ml at each blood sampling time point. The blood sample will be tested in a designated laboratory. Subjects will stay fasting from 10 hours pre-dose to 4 hours post-dose at Days 1 and 14, and can be given a piece of Snickers or chocolate 2 hours post-dose. However, only PK samples from orelabrutinib-treated subjects will be measured. Please refer to the "PK Sample Collection Manual” for the specific requirements for blood sample collection, processing and storage.</w:t>
      </w:r>
    </w:p>
    <w:p w14:paraId="1EA064D7" w14:textId="0CF7384B" w:rsidR="0003067B" w:rsidRPr="00F16A5E" w:rsidRDefault="0003067B" w:rsidP="0003067B">
      <w:pPr>
        <w:spacing w:beforeLines="50" w:before="156" w:line="300" w:lineRule="auto"/>
        <w:rPr>
          <w:b/>
          <w:bCs/>
          <w:sz w:val="24"/>
        </w:rPr>
      </w:pPr>
      <w:r w:rsidRPr="00F16A5E">
        <w:rPr>
          <w:b/>
          <w:bCs/>
          <w:sz w:val="24"/>
        </w:rPr>
        <w:t>(1)</w:t>
      </w:r>
      <w:r w:rsidRPr="00F16A5E">
        <w:rPr>
          <w:b/>
          <w:bCs/>
          <w:sz w:val="24"/>
        </w:rPr>
        <w:tab/>
        <w:t>sampling time points for PK samples</w:t>
      </w:r>
    </w:p>
    <w:p w14:paraId="5833549C" w14:textId="3460BE05" w:rsidR="0003067B" w:rsidRPr="00F16A5E" w:rsidRDefault="0003067B" w:rsidP="0003067B">
      <w:pPr>
        <w:pStyle w:val="aa"/>
        <w:spacing w:beforeLines="50" w:before="156" w:line="300" w:lineRule="auto"/>
        <w:ind w:leftChars="200" w:left="420" w:firstLineChars="0" w:firstLine="0"/>
        <w:rPr>
          <w:rFonts w:ascii="Times New Roman" w:hAnsi="Times New Roman"/>
          <w:sz w:val="24"/>
          <w:szCs w:val="24"/>
        </w:rPr>
      </w:pPr>
      <w:r w:rsidRPr="00F16A5E">
        <w:rPr>
          <w:rFonts w:ascii="Times New Roman" w:hAnsi="Times New Roman"/>
          <w:sz w:val="24"/>
          <w:szCs w:val="24"/>
        </w:rPr>
        <w:t>Days 1 and 14: 60 min pre-dose; 30 min, 1 h, 2 h, 4 h, 8 h, 12 h, 24 h (that is, before D2 and D15 administration) post-dose. The time window for Day 14 is ±1 day.</w:t>
      </w:r>
    </w:p>
    <w:p w14:paraId="4441D5BD" w14:textId="77777777" w:rsidR="0003067B" w:rsidRPr="00F16A5E" w:rsidRDefault="0003067B" w:rsidP="0003067B">
      <w:pPr>
        <w:spacing w:beforeLines="50" w:before="156" w:line="300" w:lineRule="auto"/>
        <w:ind w:firstLineChars="175" w:firstLine="420"/>
        <w:rPr>
          <w:sz w:val="24"/>
        </w:rPr>
      </w:pPr>
      <w:r w:rsidRPr="00F16A5E">
        <w:rPr>
          <w:sz w:val="24"/>
        </w:rPr>
        <w:t>The time window is as follows:</w:t>
      </w:r>
    </w:p>
    <w:p w14:paraId="2CB1912C" w14:textId="77777777" w:rsidR="0003067B" w:rsidRPr="00F16A5E" w:rsidRDefault="0003067B" w:rsidP="0003067B">
      <w:pPr>
        <w:pStyle w:val="31"/>
        <w:numPr>
          <w:ilvl w:val="0"/>
          <w:numId w:val="1"/>
        </w:numPr>
        <w:spacing w:line="360" w:lineRule="auto"/>
        <w:ind w:firstLineChars="0"/>
        <w:rPr>
          <w:rFonts w:ascii="Times New Roman" w:hAnsi="Times New Roman"/>
        </w:rPr>
      </w:pPr>
      <w:r w:rsidRPr="00F16A5E">
        <w:rPr>
          <w:rFonts w:ascii="Times New Roman" w:hAnsi="Times New Roman"/>
        </w:rPr>
        <w:t>60 min pre-dose: 60 min pre-dose</w:t>
      </w:r>
    </w:p>
    <w:p w14:paraId="331B12D6" w14:textId="77777777" w:rsidR="0003067B" w:rsidRPr="00F16A5E" w:rsidRDefault="0003067B" w:rsidP="0003067B">
      <w:pPr>
        <w:pStyle w:val="31"/>
        <w:numPr>
          <w:ilvl w:val="0"/>
          <w:numId w:val="1"/>
        </w:numPr>
        <w:spacing w:line="360" w:lineRule="auto"/>
        <w:ind w:firstLineChars="0"/>
        <w:rPr>
          <w:rFonts w:ascii="Times New Roman" w:hAnsi="Times New Roman"/>
        </w:rPr>
      </w:pPr>
      <w:r w:rsidRPr="00F16A5E">
        <w:rPr>
          <w:rFonts w:ascii="Times New Roman" w:hAnsi="Times New Roman"/>
        </w:rPr>
        <w:t>30 min and 1 h post-dose: ±5 min</w:t>
      </w:r>
    </w:p>
    <w:p w14:paraId="30AE6B05" w14:textId="4366D76A" w:rsidR="0003067B" w:rsidRPr="00F16A5E" w:rsidRDefault="0003067B" w:rsidP="0003067B">
      <w:pPr>
        <w:pStyle w:val="31"/>
        <w:numPr>
          <w:ilvl w:val="0"/>
          <w:numId w:val="1"/>
        </w:numPr>
        <w:spacing w:line="360" w:lineRule="auto"/>
        <w:ind w:firstLineChars="0"/>
        <w:rPr>
          <w:rFonts w:ascii="Times New Roman" w:hAnsi="Times New Roman"/>
        </w:rPr>
      </w:pPr>
      <w:r w:rsidRPr="00F16A5E">
        <w:rPr>
          <w:rFonts w:ascii="Times New Roman" w:hAnsi="Times New Roman"/>
        </w:rPr>
        <w:t>2 h</w:t>
      </w:r>
      <w:r w:rsidR="00F16A5E">
        <w:rPr>
          <w:rFonts w:ascii="Times New Roman" w:hAnsi="Times New Roman"/>
        </w:rPr>
        <w:t>-</w:t>
      </w:r>
      <w:r w:rsidRPr="00F16A5E">
        <w:rPr>
          <w:rFonts w:ascii="Times New Roman" w:hAnsi="Times New Roman"/>
        </w:rPr>
        <w:t>12 h post-dose: ±10 min</w:t>
      </w:r>
    </w:p>
    <w:p w14:paraId="03373D56" w14:textId="2E4C5909" w:rsidR="0003067B" w:rsidRPr="00F16A5E" w:rsidRDefault="0003067B" w:rsidP="0003067B">
      <w:pPr>
        <w:pStyle w:val="31"/>
        <w:numPr>
          <w:ilvl w:val="0"/>
          <w:numId w:val="1"/>
        </w:numPr>
        <w:spacing w:line="360" w:lineRule="auto"/>
        <w:ind w:firstLineChars="0"/>
        <w:rPr>
          <w:rFonts w:ascii="Times New Roman" w:hAnsi="Times New Roman"/>
          <w:szCs w:val="24"/>
        </w:rPr>
      </w:pPr>
      <w:r w:rsidRPr="00F16A5E">
        <w:rPr>
          <w:rFonts w:ascii="Times New Roman" w:hAnsi="Times New Roman"/>
          <w:szCs w:val="24"/>
        </w:rPr>
        <w:t>24 h post-dose: ±30 min</w:t>
      </w:r>
    </w:p>
    <w:p w14:paraId="7C66DDBD" w14:textId="58FA55AD" w:rsidR="006E18E9" w:rsidRPr="00F16A5E" w:rsidRDefault="0003067B" w:rsidP="0003067B">
      <w:pPr>
        <w:pStyle w:val="ad"/>
        <w:ind w:firstLine="0"/>
        <w:rPr>
          <w:b/>
          <w:kern w:val="0"/>
          <w:szCs w:val="24"/>
        </w:rPr>
      </w:pPr>
      <w:bookmarkStart w:id="269" w:name="_Toc286243861"/>
      <w:bookmarkStart w:id="270" w:name="_Toc144197532"/>
      <w:bookmarkStart w:id="271" w:name="_Toc144204972"/>
      <w:bookmarkStart w:id="272" w:name="_Toc144205271"/>
      <w:bookmarkStart w:id="273" w:name="_Toc225666600"/>
      <w:r w:rsidRPr="00F16A5E">
        <w:rPr>
          <w:b/>
          <w:szCs w:val="24"/>
        </w:rPr>
        <w:t>(2)</w:t>
      </w:r>
      <w:r w:rsidRPr="00F16A5E">
        <w:rPr>
          <w:b/>
          <w:szCs w:val="24"/>
        </w:rPr>
        <w:tab/>
        <w:t>Pharmacokinetics Parameters</w:t>
      </w:r>
    </w:p>
    <w:p w14:paraId="115584B6" w14:textId="33BC0F45" w:rsidR="006E18E9" w:rsidRPr="00F16A5E" w:rsidRDefault="0003067B" w:rsidP="00F16A5E">
      <w:pPr>
        <w:pStyle w:val="aa"/>
        <w:spacing w:beforeLines="50" w:before="156" w:line="300" w:lineRule="auto"/>
        <w:ind w:leftChars="200" w:left="420" w:firstLineChars="0" w:firstLine="0"/>
        <w:rPr>
          <w:rFonts w:ascii="Times New Roman" w:hAnsi="Times New Roman"/>
          <w:kern w:val="0"/>
          <w:sz w:val="24"/>
          <w:szCs w:val="24"/>
        </w:rPr>
      </w:pPr>
      <w:r w:rsidRPr="00F16A5E">
        <w:rPr>
          <w:rFonts w:ascii="Times New Roman" w:hAnsi="Times New Roman"/>
          <w:kern w:val="0"/>
          <w:sz w:val="24"/>
          <w:szCs w:val="24"/>
        </w:rPr>
        <w:t>Maximum concentration (</w:t>
      </w:r>
      <w:proofErr w:type="spellStart"/>
      <w:r w:rsidRPr="00F16A5E">
        <w:rPr>
          <w:rFonts w:ascii="Times New Roman" w:hAnsi="Times New Roman"/>
          <w:kern w:val="0"/>
          <w:sz w:val="24"/>
          <w:szCs w:val="24"/>
        </w:rPr>
        <w:t>C</w:t>
      </w:r>
      <w:r w:rsidRPr="00F16A5E">
        <w:rPr>
          <w:rFonts w:ascii="Times New Roman" w:hAnsi="Times New Roman"/>
          <w:kern w:val="0"/>
          <w:sz w:val="24"/>
          <w:szCs w:val="24"/>
          <w:vertAlign w:val="subscript"/>
        </w:rPr>
        <w:t>max</w:t>
      </w:r>
      <w:proofErr w:type="spellEnd"/>
      <w:r w:rsidRPr="00F16A5E">
        <w:rPr>
          <w:rFonts w:ascii="Times New Roman" w:hAnsi="Times New Roman"/>
          <w:kern w:val="0"/>
          <w:sz w:val="24"/>
          <w:szCs w:val="24"/>
        </w:rPr>
        <w:t>); time to maximum concentration (</w:t>
      </w:r>
      <w:proofErr w:type="spellStart"/>
      <w:r w:rsidRPr="00F16A5E">
        <w:rPr>
          <w:rFonts w:ascii="Times New Roman" w:hAnsi="Times New Roman"/>
          <w:kern w:val="0"/>
          <w:sz w:val="24"/>
          <w:szCs w:val="24"/>
        </w:rPr>
        <w:t>T</w:t>
      </w:r>
      <w:r w:rsidRPr="00F16A5E">
        <w:rPr>
          <w:rFonts w:ascii="Times New Roman" w:hAnsi="Times New Roman"/>
          <w:kern w:val="0"/>
          <w:sz w:val="24"/>
          <w:szCs w:val="24"/>
          <w:vertAlign w:val="subscript"/>
        </w:rPr>
        <w:t>max</w:t>
      </w:r>
      <w:proofErr w:type="spellEnd"/>
      <w:r w:rsidRPr="00F16A5E">
        <w:rPr>
          <w:rFonts w:ascii="Times New Roman" w:hAnsi="Times New Roman"/>
          <w:kern w:val="0"/>
          <w:sz w:val="24"/>
          <w:szCs w:val="24"/>
        </w:rPr>
        <w:t>); half-life (T</w:t>
      </w:r>
      <w:r w:rsidRPr="00F16A5E">
        <w:rPr>
          <w:rFonts w:ascii="Times New Roman" w:hAnsi="Times New Roman"/>
          <w:kern w:val="0"/>
          <w:sz w:val="24"/>
          <w:szCs w:val="24"/>
          <w:vertAlign w:val="subscript"/>
        </w:rPr>
        <w:t>1/2</w:t>
      </w:r>
      <w:r w:rsidRPr="00F16A5E">
        <w:rPr>
          <w:rFonts w:ascii="Times New Roman" w:hAnsi="Times New Roman"/>
          <w:kern w:val="0"/>
          <w:sz w:val="24"/>
          <w:szCs w:val="24"/>
        </w:rPr>
        <w:t>); area under the drug concentration-time curve (AUC); apparent clearance (CL/F); terminal apparent volume of distribution (</w:t>
      </w:r>
      <w:proofErr w:type="spellStart"/>
      <w:r w:rsidRPr="00F16A5E">
        <w:rPr>
          <w:rFonts w:ascii="Times New Roman" w:hAnsi="Times New Roman"/>
          <w:kern w:val="0"/>
          <w:sz w:val="24"/>
          <w:szCs w:val="24"/>
        </w:rPr>
        <w:t>Vz</w:t>
      </w:r>
      <w:proofErr w:type="spellEnd"/>
      <w:r w:rsidRPr="00F16A5E">
        <w:rPr>
          <w:rFonts w:ascii="Times New Roman" w:hAnsi="Times New Roman"/>
          <w:kern w:val="0"/>
          <w:sz w:val="24"/>
          <w:szCs w:val="24"/>
        </w:rPr>
        <w:t>/F ); accumulation factor (R), etc.</w:t>
      </w:r>
    </w:p>
    <w:p w14:paraId="18D10712" w14:textId="2B4D13B8"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274" w:name="_Toc9456220"/>
      <w:bookmarkStart w:id="275" w:name="_Toc20224895"/>
      <w:bookmarkStart w:id="276" w:name="_Toc71149196"/>
      <w:bookmarkEnd w:id="269"/>
      <w:bookmarkEnd w:id="270"/>
      <w:bookmarkEnd w:id="271"/>
      <w:bookmarkEnd w:id="272"/>
      <w:bookmarkEnd w:id="273"/>
      <w:r w:rsidRPr="00F16A5E">
        <w:rPr>
          <w:rFonts w:ascii="Times New Roman" w:eastAsia="宋体" w:hAnsi="Times New Roman"/>
          <w:sz w:val="24"/>
        </w:rPr>
        <w:lastRenderedPageBreak/>
        <w:t>8.</w:t>
      </w:r>
      <w:bookmarkStart w:id="277" w:name="_Toc345103252"/>
      <w:r w:rsidRPr="00F16A5E">
        <w:rPr>
          <w:rFonts w:ascii="Times New Roman" w:eastAsia="宋体" w:hAnsi="Times New Roman"/>
          <w:sz w:val="24"/>
        </w:rPr>
        <w:t>4</w:t>
      </w:r>
      <w:bookmarkEnd w:id="274"/>
      <w:bookmarkEnd w:id="275"/>
      <w:bookmarkEnd w:id="277"/>
      <w:r w:rsidR="0003067B" w:rsidRPr="00F16A5E">
        <w:rPr>
          <w:rFonts w:ascii="Times New Roman" w:eastAsia="宋体" w:hAnsi="Times New Roman"/>
          <w:sz w:val="24"/>
        </w:rPr>
        <w:tab/>
        <w:t>Pharmacodynamic Evaluation</w:t>
      </w:r>
      <w:bookmarkEnd w:id="276"/>
    </w:p>
    <w:p w14:paraId="260905EC" w14:textId="6802F4D0" w:rsidR="006E18E9" w:rsidRPr="00F16A5E" w:rsidRDefault="0003067B" w:rsidP="0003067B">
      <w:pPr>
        <w:spacing w:beforeLines="50" w:before="156" w:line="300" w:lineRule="auto"/>
        <w:rPr>
          <w:sz w:val="24"/>
          <w:szCs w:val="32"/>
        </w:rPr>
      </w:pPr>
      <w:r w:rsidRPr="00F16A5E">
        <w:rPr>
          <w:sz w:val="24"/>
          <w:szCs w:val="32"/>
        </w:rPr>
        <w:t xml:space="preserve">The PD study involves multiple testing items. If a study center is incapable to carry out a certain PD item </w:t>
      </w:r>
      <w:r w:rsidR="00F16A5E">
        <w:rPr>
          <w:sz w:val="24"/>
          <w:szCs w:val="32"/>
        </w:rPr>
        <w:t>or</w:t>
      </w:r>
      <w:r w:rsidRPr="00F16A5E">
        <w:rPr>
          <w:sz w:val="24"/>
          <w:szCs w:val="32"/>
        </w:rPr>
        <w:t xml:space="preserve"> cannot send samples to the unit with such capabilities in time, subjects enrolled in this study center may not participate in this PD test.</w:t>
      </w:r>
    </w:p>
    <w:p w14:paraId="4334F40B" w14:textId="6472A990" w:rsidR="006E18E9" w:rsidRPr="00F16A5E" w:rsidRDefault="0003067B" w:rsidP="0003067B">
      <w:pPr>
        <w:adjustRightInd w:val="0"/>
        <w:snapToGrid w:val="0"/>
        <w:spacing w:beforeLines="50" w:before="156" w:line="300" w:lineRule="auto"/>
        <w:rPr>
          <w:sz w:val="24"/>
        </w:rPr>
      </w:pPr>
      <w:r w:rsidRPr="00F16A5E">
        <w:rPr>
          <w:sz w:val="24"/>
        </w:rPr>
        <w:t>Approximately 15-18 ml will be collected at each blood sampling time point. The blood sample will be tested in a designated laboratory. Please refer to the "PD Sample Collection Manual” for the specific requirements for blood sample collection and processing.</w:t>
      </w:r>
    </w:p>
    <w:p w14:paraId="449110BF" w14:textId="77777777" w:rsidR="0003067B" w:rsidRPr="00F16A5E" w:rsidRDefault="0003067B" w:rsidP="0003067B">
      <w:pPr>
        <w:adjustRightInd w:val="0"/>
        <w:snapToGrid w:val="0"/>
        <w:spacing w:beforeLines="50" w:before="156" w:line="300" w:lineRule="auto"/>
        <w:rPr>
          <w:b/>
          <w:bCs/>
          <w:sz w:val="24"/>
        </w:rPr>
      </w:pPr>
      <w:r w:rsidRPr="00F16A5E">
        <w:rPr>
          <w:b/>
          <w:bCs/>
          <w:sz w:val="24"/>
        </w:rPr>
        <w:t>(1)</w:t>
      </w:r>
      <w:r w:rsidRPr="00F16A5E">
        <w:rPr>
          <w:b/>
          <w:bCs/>
          <w:sz w:val="24"/>
        </w:rPr>
        <w:tab/>
        <w:t xml:space="preserve">Sampling time points for PD </w:t>
      </w:r>
      <w:proofErr w:type="spellStart"/>
      <w:r w:rsidRPr="00F16A5E">
        <w:rPr>
          <w:b/>
          <w:bCs/>
          <w:sz w:val="24"/>
        </w:rPr>
        <w:t>sampls</w:t>
      </w:r>
      <w:proofErr w:type="spellEnd"/>
    </w:p>
    <w:p w14:paraId="0C3C525F" w14:textId="77777777" w:rsidR="0003067B" w:rsidRPr="00F16A5E" w:rsidRDefault="0003067B" w:rsidP="0003067B">
      <w:pPr>
        <w:adjustRightInd w:val="0"/>
        <w:snapToGrid w:val="0"/>
        <w:spacing w:beforeLines="50" w:before="156" w:line="300" w:lineRule="auto"/>
        <w:rPr>
          <w:sz w:val="24"/>
        </w:rPr>
      </w:pPr>
      <w:r w:rsidRPr="00F16A5E">
        <w:rPr>
          <w:sz w:val="24"/>
        </w:rPr>
        <w:t>Days 1 (or within 7 days before the first dose), 28 and 84: pre-dose.</w:t>
      </w:r>
    </w:p>
    <w:p w14:paraId="0130B7F8" w14:textId="77777777" w:rsidR="0003067B" w:rsidRPr="00F16A5E" w:rsidRDefault="0003067B" w:rsidP="0003067B">
      <w:pPr>
        <w:adjustRightInd w:val="0"/>
        <w:snapToGrid w:val="0"/>
        <w:spacing w:beforeLines="50" w:before="156" w:line="300" w:lineRule="auto"/>
        <w:rPr>
          <w:sz w:val="24"/>
        </w:rPr>
      </w:pPr>
      <w:r w:rsidRPr="00F16A5E">
        <w:rPr>
          <w:sz w:val="24"/>
        </w:rPr>
        <w:t>The time window for Days 28 and 84 is ±3 days.</w:t>
      </w:r>
    </w:p>
    <w:p w14:paraId="450E5413" w14:textId="77777777" w:rsidR="0003067B" w:rsidRPr="00F16A5E" w:rsidRDefault="0003067B" w:rsidP="0003067B">
      <w:pPr>
        <w:adjustRightInd w:val="0"/>
        <w:snapToGrid w:val="0"/>
        <w:spacing w:beforeLines="50" w:before="156" w:line="300" w:lineRule="auto"/>
        <w:rPr>
          <w:b/>
          <w:bCs/>
          <w:sz w:val="24"/>
        </w:rPr>
      </w:pPr>
      <w:r w:rsidRPr="00F16A5E">
        <w:rPr>
          <w:b/>
          <w:bCs/>
          <w:sz w:val="24"/>
        </w:rPr>
        <w:t>(2)</w:t>
      </w:r>
      <w:r w:rsidRPr="00F16A5E">
        <w:rPr>
          <w:b/>
          <w:bCs/>
          <w:sz w:val="24"/>
        </w:rPr>
        <w:tab/>
        <w:t>PD test items</w:t>
      </w:r>
    </w:p>
    <w:p w14:paraId="51BC3279" w14:textId="77777777" w:rsidR="0003067B" w:rsidRPr="00F16A5E" w:rsidRDefault="0003067B" w:rsidP="0003067B">
      <w:pPr>
        <w:adjustRightInd w:val="0"/>
        <w:snapToGrid w:val="0"/>
        <w:spacing w:beforeLines="50" w:before="156" w:line="300" w:lineRule="auto"/>
        <w:rPr>
          <w:sz w:val="24"/>
        </w:rPr>
      </w:pPr>
      <w:r w:rsidRPr="00F16A5E">
        <w:rPr>
          <w:sz w:val="24"/>
        </w:rPr>
        <w:t xml:space="preserve">Blood samples: total B cell count, </w:t>
      </w:r>
      <w:proofErr w:type="spellStart"/>
      <w:r w:rsidRPr="00F16A5E">
        <w:rPr>
          <w:sz w:val="24"/>
        </w:rPr>
        <w:t>B</w:t>
      </w:r>
      <w:r w:rsidRPr="00F16A5E">
        <w:rPr>
          <w:sz w:val="24"/>
          <w:vertAlign w:val="subscript"/>
        </w:rPr>
        <w:t>effs</w:t>
      </w:r>
      <w:proofErr w:type="spellEnd"/>
      <w:r w:rsidRPr="00F16A5E">
        <w:rPr>
          <w:sz w:val="24"/>
        </w:rPr>
        <w:t xml:space="preserve"> count, </w:t>
      </w:r>
      <w:proofErr w:type="spellStart"/>
      <w:r w:rsidRPr="00F16A5E">
        <w:rPr>
          <w:sz w:val="24"/>
        </w:rPr>
        <w:t>B</w:t>
      </w:r>
      <w:r w:rsidRPr="00F16A5E">
        <w:rPr>
          <w:sz w:val="24"/>
          <w:vertAlign w:val="subscript"/>
        </w:rPr>
        <w:t>regs</w:t>
      </w:r>
      <w:proofErr w:type="spellEnd"/>
      <w:r w:rsidRPr="00F16A5E">
        <w:rPr>
          <w:sz w:val="24"/>
        </w:rPr>
        <w:t xml:space="preserve"> count, erythrocyte sedimentation rate;</w:t>
      </w:r>
    </w:p>
    <w:p w14:paraId="1DDFE5A9" w14:textId="3BE91B88" w:rsidR="0003067B" w:rsidRPr="00F16A5E" w:rsidRDefault="0003067B" w:rsidP="0003067B">
      <w:pPr>
        <w:adjustRightInd w:val="0"/>
        <w:snapToGrid w:val="0"/>
        <w:spacing w:beforeLines="50" w:before="156" w:line="300" w:lineRule="auto"/>
        <w:rPr>
          <w:sz w:val="24"/>
        </w:rPr>
      </w:pPr>
      <w:r w:rsidRPr="00F16A5E">
        <w:rPr>
          <w:sz w:val="24"/>
        </w:rPr>
        <w:t>Serum samples (processed from blood samples): serum Ig levels, complement C3, complement C4, anti-dsDNA antibody, ANA, cytokines (IFN-α and IL-6).</w:t>
      </w:r>
    </w:p>
    <w:p w14:paraId="0BAE8F11" w14:textId="40553302"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278" w:name="_Toc9456221"/>
      <w:bookmarkStart w:id="279" w:name="_Toc20224896"/>
      <w:bookmarkStart w:id="280" w:name="_Toc71149197"/>
      <w:r w:rsidRPr="00F16A5E">
        <w:rPr>
          <w:rFonts w:ascii="Times New Roman" w:eastAsia="宋体" w:hAnsi="Times New Roman"/>
          <w:sz w:val="24"/>
        </w:rPr>
        <w:t>8.5</w:t>
      </w:r>
      <w:bookmarkEnd w:id="278"/>
      <w:bookmarkEnd w:id="279"/>
      <w:r w:rsidR="0003067B" w:rsidRPr="00F16A5E">
        <w:rPr>
          <w:rFonts w:ascii="Times New Roman" w:eastAsia="宋体" w:hAnsi="Times New Roman"/>
          <w:sz w:val="24"/>
        </w:rPr>
        <w:tab/>
        <w:t>Target Occupancy Evaluation</w:t>
      </w:r>
      <w:bookmarkEnd w:id="280"/>
    </w:p>
    <w:p w14:paraId="42B3423D" w14:textId="433FAF00" w:rsidR="006E18E9" w:rsidRPr="00F16A5E" w:rsidRDefault="0003067B" w:rsidP="00F305B4">
      <w:pPr>
        <w:adjustRightInd w:val="0"/>
        <w:snapToGrid w:val="0"/>
        <w:spacing w:beforeLines="50" w:before="156" w:line="300" w:lineRule="auto"/>
        <w:rPr>
          <w:kern w:val="0"/>
          <w:sz w:val="24"/>
        </w:rPr>
      </w:pPr>
      <w:r w:rsidRPr="00F16A5E">
        <w:rPr>
          <w:kern w:val="0"/>
          <w:sz w:val="24"/>
        </w:rPr>
        <w:t>Approximately 10 ml samples will be collected at each blood sampling time point, but only PK samples from orelabrutinib-treated subjects will be measured. The blood sample will be tested in a designated laboratory. Please refer to the "BTK Sample Collection Manual” for the specific requirements for blood sample collection and processing.</w:t>
      </w:r>
    </w:p>
    <w:p w14:paraId="7200E770" w14:textId="6BABC591" w:rsidR="006E18E9" w:rsidRPr="00F16A5E" w:rsidRDefault="0003067B" w:rsidP="0003067B">
      <w:pPr>
        <w:pStyle w:val="ad"/>
        <w:keepNext/>
        <w:ind w:firstLine="0"/>
        <w:rPr>
          <w:b/>
          <w:szCs w:val="24"/>
          <w:lang w:val="en-US" w:eastAsia="zh-CN"/>
        </w:rPr>
      </w:pPr>
      <w:r w:rsidRPr="00F16A5E">
        <w:rPr>
          <w:b/>
          <w:szCs w:val="24"/>
        </w:rPr>
        <w:t>(1)</w:t>
      </w:r>
      <w:r w:rsidRPr="00F16A5E">
        <w:rPr>
          <w:b/>
          <w:szCs w:val="24"/>
        </w:rPr>
        <w:tab/>
        <w:t>Sampling time points for target occupancy samples</w:t>
      </w:r>
    </w:p>
    <w:p w14:paraId="49F28D9C" w14:textId="7F7ED9FE" w:rsidR="0003067B" w:rsidRPr="00F16A5E" w:rsidRDefault="0003067B" w:rsidP="00EA5F3A">
      <w:pPr>
        <w:pStyle w:val="31"/>
        <w:numPr>
          <w:ilvl w:val="0"/>
          <w:numId w:val="26"/>
        </w:numPr>
        <w:spacing w:beforeLines="50" w:before="156" w:line="300" w:lineRule="auto"/>
        <w:ind w:firstLineChars="0"/>
        <w:rPr>
          <w:rFonts w:ascii="Times New Roman" w:hAnsi="Times New Roman"/>
          <w:szCs w:val="24"/>
        </w:rPr>
      </w:pPr>
      <w:r w:rsidRPr="00F16A5E">
        <w:rPr>
          <w:rFonts w:ascii="Times New Roman" w:hAnsi="Times New Roman"/>
          <w:szCs w:val="24"/>
        </w:rPr>
        <w:t>Within 60 min pre-dose (or within 5 days before the first administration) and 4 hours (±10 min) post-dose at Day 1;</w:t>
      </w:r>
    </w:p>
    <w:p w14:paraId="64E5DB1C" w14:textId="3A5D59AF" w:rsidR="006E18E9" w:rsidRPr="00F16A5E" w:rsidRDefault="0003067B" w:rsidP="00EA5F3A">
      <w:pPr>
        <w:pStyle w:val="31"/>
        <w:numPr>
          <w:ilvl w:val="0"/>
          <w:numId w:val="26"/>
        </w:numPr>
        <w:spacing w:beforeLines="50" w:before="156" w:line="300" w:lineRule="auto"/>
        <w:ind w:firstLineChars="0"/>
        <w:rPr>
          <w:rFonts w:ascii="Times New Roman" w:hAnsi="Times New Roman"/>
          <w:szCs w:val="24"/>
        </w:rPr>
      </w:pPr>
      <w:r w:rsidRPr="00F16A5E">
        <w:rPr>
          <w:rFonts w:ascii="Times New Roman" w:hAnsi="Times New Roman"/>
          <w:szCs w:val="24"/>
        </w:rPr>
        <w:t>Day 14: Within 60 minutes pre-dose and 4 hours (±10 min) post-dose. The time window for Day 14 is ±1 day.</w:t>
      </w:r>
    </w:p>
    <w:p w14:paraId="4C53440A" w14:textId="6FA6203F" w:rsidR="006E18E9" w:rsidRPr="00F16A5E" w:rsidRDefault="0003067B" w:rsidP="0003067B">
      <w:pPr>
        <w:pStyle w:val="ad"/>
        <w:keepNext/>
        <w:ind w:firstLine="0"/>
        <w:rPr>
          <w:b/>
          <w:szCs w:val="24"/>
        </w:rPr>
      </w:pPr>
      <w:r w:rsidRPr="00F16A5E">
        <w:rPr>
          <w:b/>
          <w:szCs w:val="24"/>
        </w:rPr>
        <w:t>(2)</w:t>
      </w:r>
      <w:r w:rsidRPr="00F16A5E">
        <w:rPr>
          <w:b/>
          <w:szCs w:val="24"/>
        </w:rPr>
        <w:tab/>
        <w:t>Detection of target occupancy</w:t>
      </w:r>
    </w:p>
    <w:p w14:paraId="30EDB76B" w14:textId="2FB01AC9" w:rsidR="00F305B4" w:rsidRPr="00F16A5E" w:rsidRDefault="00F305B4" w:rsidP="00F305B4">
      <w:pPr>
        <w:adjustRightInd w:val="0"/>
        <w:snapToGrid w:val="0"/>
        <w:spacing w:beforeLines="50" w:before="156" w:line="300" w:lineRule="auto"/>
        <w:rPr>
          <w:kern w:val="0"/>
          <w:sz w:val="24"/>
        </w:rPr>
      </w:pPr>
      <w:r w:rsidRPr="00F16A5E">
        <w:rPr>
          <w:kern w:val="0"/>
          <w:sz w:val="24"/>
        </w:rPr>
        <w:t>The blood samples will be sent to the central laboratory to separate PBMC to detect the target occupancy rate of BTK in PBMC by orelabrutinib, which is one of the biomarkers of the efficacy of orelabrutinib.</w:t>
      </w:r>
    </w:p>
    <w:p w14:paraId="3522357B" w14:textId="2AA24EA7" w:rsidR="006E18E9" w:rsidRPr="00F16A5E" w:rsidRDefault="00F305B4" w:rsidP="00F305B4">
      <w:pPr>
        <w:adjustRightInd w:val="0"/>
        <w:snapToGrid w:val="0"/>
        <w:spacing w:beforeLines="50" w:before="156" w:line="300" w:lineRule="auto"/>
        <w:rPr>
          <w:kern w:val="0"/>
          <w:sz w:val="24"/>
        </w:rPr>
      </w:pPr>
      <w:r w:rsidRPr="00F16A5E">
        <w:rPr>
          <w:kern w:val="0"/>
          <w:sz w:val="24"/>
        </w:rPr>
        <w:t>If a study center is incapable to carry out this test and cannot send samples to the unit with such capabilities in time, subjects enrolled in this study center may not participate in this target occupancy study.</w:t>
      </w:r>
    </w:p>
    <w:p w14:paraId="7C6A804E" w14:textId="29304333"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281" w:name="_Toc9456222"/>
      <w:bookmarkStart w:id="282" w:name="_Toc20224897"/>
      <w:bookmarkStart w:id="283" w:name="_Toc71149198"/>
      <w:r w:rsidRPr="00F16A5E">
        <w:rPr>
          <w:rFonts w:ascii="Times New Roman" w:eastAsia="宋体" w:hAnsi="Times New Roman"/>
          <w:sz w:val="24"/>
        </w:rPr>
        <w:lastRenderedPageBreak/>
        <w:t>8.</w:t>
      </w:r>
      <w:bookmarkStart w:id="284" w:name="_Toc345103253"/>
      <w:r w:rsidRPr="00F16A5E">
        <w:rPr>
          <w:rFonts w:ascii="Times New Roman" w:eastAsia="宋体" w:hAnsi="Times New Roman"/>
          <w:sz w:val="24"/>
        </w:rPr>
        <w:t>6</w:t>
      </w:r>
      <w:bookmarkEnd w:id="281"/>
      <w:bookmarkEnd w:id="282"/>
      <w:bookmarkEnd w:id="284"/>
      <w:r w:rsidR="00F305B4" w:rsidRPr="00F16A5E">
        <w:rPr>
          <w:rFonts w:ascii="Times New Roman" w:eastAsia="宋体" w:hAnsi="Times New Roman"/>
          <w:sz w:val="24"/>
        </w:rPr>
        <w:tab/>
        <w:t>Efficacy Evaluation</w:t>
      </w:r>
      <w:bookmarkEnd w:id="283"/>
    </w:p>
    <w:p w14:paraId="1CC91B43" w14:textId="173A6C09" w:rsidR="006E18E9" w:rsidRPr="00F16A5E" w:rsidRDefault="006E18E9" w:rsidP="006E18E9">
      <w:pPr>
        <w:pStyle w:val="3"/>
        <w:keepLines w:val="0"/>
        <w:spacing w:before="60" w:after="60" w:line="360" w:lineRule="auto"/>
        <w:rPr>
          <w:sz w:val="24"/>
          <w:szCs w:val="24"/>
        </w:rPr>
      </w:pPr>
      <w:bookmarkStart w:id="285" w:name="_8.6.1_SRI_Evaluation"/>
      <w:bookmarkStart w:id="286" w:name="_Toc71149199"/>
      <w:bookmarkEnd w:id="285"/>
      <w:r w:rsidRPr="00F16A5E">
        <w:rPr>
          <w:sz w:val="24"/>
          <w:szCs w:val="24"/>
        </w:rPr>
        <w:t>8.6.1</w:t>
      </w:r>
      <w:r w:rsidR="00F305B4" w:rsidRPr="00F16A5E">
        <w:rPr>
          <w:sz w:val="24"/>
          <w:szCs w:val="24"/>
        </w:rPr>
        <w:tab/>
        <w:t>SRI Evaluation</w:t>
      </w:r>
      <w:bookmarkEnd w:id="286"/>
    </w:p>
    <w:p w14:paraId="7FAF52FA" w14:textId="77777777" w:rsidR="00F305B4" w:rsidRPr="00F16A5E" w:rsidRDefault="00F305B4" w:rsidP="00F305B4">
      <w:pPr>
        <w:spacing w:beforeLines="50" w:before="156" w:line="300" w:lineRule="auto"/>
        <w:rPr>
          <w:sz w:val="24"/>
        </w:rPr>
      </w:pPr>
      <w:bookmarkStart w:id="287" w:name="_Toc345103255"/>
      <w:bookmarkStart w:id="288" w:name="_Toc345103256"/>
      <w:bookmarkStart w:id="289" w:name="_Toc345103257"/>
      <w:bookmarkStart w:id="290" w:name="_Toc345103258"/>
      <w:bookmarkStart w:id="291" w:name="_Toc345103259"/>
      <w:bookmarkStart w:id="292" w:name="_Toc345103260"/>
      <w:bookmarkStart w:id="293" w:name="_Toc345103261"/>
      <w:bookmarkStart w:id="294" w:name="_Toc345103262"/>
      <w:bookmarkStart w:id="295" w:name="_Toc345103263"/>
      <w:bookmarkStart w:id="296" w:name="_Toc345103264"/>
      <w:bookmarkStart w:id="297" w:name="_Toc345103265"/>
      <w:bookmarkStart w:id="298" w:name="_Toc345103266"/>
      <w:bookmarkStart w:id="299" w:name="_Toc345103267"/>
      <w:bookmarkStart w:id="300" w:name="_Toc345103268"/>
      <w:bookmarkStart w:id="301" w:name="_Toc345103269"/>
      <w:bookmarkStart w:id="302" w:name="_Toc345103270"/>
      <w:bookmarkStart w:id="303" w:name="_Toc345103271"/>
      <w:bookmarkStart w:id="304" w:name="_Toc345103272"/>
      <w:bookmarkStart w:id="305" w:name="_Toc345103273"/>
      <w:bookmarkStart w:id="306" w:name="_Toc345103274"/>
      <w:bookmarkStart w:id="307" w:name="_Toc345103275"/>
      <w:bookmarkStart w:id="308" w:name="_Toc345103276"/>
      <w:bookmarkStart w:id="309" w:name="_Toc345103292"/>
      <w:bookmarkStart w:id="310" w:name="_Toc345103293"/>
      <w:bookmarkStart w:id="311" w:name="_Toc345103294"/>
      <w:bookmarkStart w:id="312" w:name="_Toc345103295"/>
      <w:bookmarkStart w:id="313" w:name="_Toc345103296"/>
      <w:bookmarkStart w:id="314" w:name="_Toc345103309"/>
      <w:bookmarkStart w:id="315" w:name="_Toc345103310"/>
      <w:bookmarkStart w:id="316" w:name="_Toc345103311"/>
      <w:bookmarkStart w:id="317" w:name="_Toc345103312"/>
      <w:bookmarkStart w:id="318" w:name="_Toc345103363"/>
      <w:bookmarkStart w:id="319" w:name="_Toc345103364"/>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F16A5E">
        <w:rPr>
          <w:sz w:val="24"/>
        </w:rPr>
        <w:t xml:space="preserve">In this study, SRI assessment is a comprehensive index, which includes the assessment of disease activity according to three assessment systems: SLEDAI-2K, British Isles Lupus Assessment Group 2004 (BILAG 2004) and Physician Global Assessment (PGA). </w:t>
      </w:r>
    </w:p>
    <w:p w14:paraId="27D5CA58" w14:textId="263649D8" w:rsidR="00F305B4" w:rsidRPr="00F16A5E" w:rsidRDefault="00F305B4" w:rsidP="00F305B4">
      <w:pPr>
        <w:spacing w:beforeLines="50" w:before="156" w:line="300" w:lineRule="auto"/>
        <w:rPr>
          <w:sz w:val="24"/>
        </w:rPr>
      </w:pPr>
      <w:r w:rsidRPr="00F16A5E">
        <w:rPr>
          <w:sz w:val="24"/>
        </w:rPr>
        <w:t>SRI-4 is defined as: 1) SLEDAI-2K score decreased by ≥ 4 points from baseline; 2) No new BILAG2004 A score or no more than 1 new BILAG2004 B score; 3) PGA score deterioration from baseline &lt;0.3 point. Satisfaction of the above three criteria indicates that the patient has an SRI response.</w:t>
      </w:r>
    </w:p>
    <w:p w14:paraId="768CE5BB" w14:textId="0BBB9872" w:rsidR="00F305B4" w:rsidRPr="00F16A5E" w:rsidRDefault="00F305B4" w:rsidP="00F305B4">
      <w:pPr>
        <w:spacing w:beforeLines="50" w:before="156" w:line="300" w:lineRule="auto"/>
        <w:rPr>
          <w:sz w:val="24"/>
        </w:rPr>
      </w:pPr>
      <w:r w:rsidRPr="00F16A5E">
        <w:rPr>
          <w:sz w:val="24"/>
        </w:rPr>
        <w:t>SRI-6 is defined as: 1) SLEDAI-2K score decreased by ≥ 6 points from baseline; 2) No new BILAG A score or no more than 1 new BILAG B score; 3) PGA score deterioration from baseline &lt;0.3 point. Satisfaction of the above three criteria indicates that the patient has an SRI response.</w:t>
      </w:r>
    </w:p>
    <w:p w14:paraId="0239D8C6" w14:textId="7DC812A0" w:rsidR="006E18E9" w:rsidRPr="00F16A5E" w:rsidRDefault="006E18E9" w:rsidP="006E18E9">
      <w:pPr>
        <w:pStyle w:val="3"/>
        <w:keepLines w:val="0"/>
        <w:spacing w:before="60" w:after="60" w:line="360" w:lineRule="auto"/>
        <w:rPr>
          <w:sz w:val="24"/>
          <w:szCs w:val="24"/>
        </w:rPr>
      </w:pPr>
      <w:bookmarkStart w:id="320" w:name="_Toc71149200"/>
      <w:r w:rsidRPr="00F16A5E">
        <w:rPr>
          <w:sz w:val="24"/>
          <w:szCs w:val="24"/>
        </w:rPr>
        <w:t>8.6.2</w:t>
      </w:r>
      <w:r w:rsidR="00F305B4" w:rsidRPr="00F16A5E">
        <w:rPr>
          <w:sz w:val="24"/>
          <w:szCs w:val="24"/>
        </w:rPr>
        <w:tab/>
        <w:t>SLEDAI-2K Evaluation</w:t>
      </w:r>
      <w:bookmarkEnd w:id="320"/>
    </w:p>
    <w:p w14:paraId="003DDAB5" w14:textId="7CB8FB96" w:rsidR="006E18E9" w:rsidRPr="00F16A5E" w:rsidRDefault="00F305B4" w:rsidP="00F305B4">
      <w:pPr>
        <w:spacing w:beforeLines="50" w:before="156" w:line="300" w:lineRule="auto"/>
      </w:pPr>
      <w:r w:rsidRPr="00F16A5E">
        <w:rPr>
          <w:sz w:val="24"/>
        </w:rPr>
        <w:t xml:space="preserve">SLEDAI-2K is a validated SLE activity index system. This index mainly evaluates the presence of 24 clinical features across 9 organ systems (See </w:t>
      </w:r>
      <w:r w:rsidRPr="00F16A5E">
        <w:rPr>
          <w:color w:val="0000FF"/>
          <w:sz w:val="24"/>
        </w:rPr>
        <w:t>Appendix 2</w:t>
      </w:r>
      <w:r w:rsidRPr="00F16A5E">
        <w:rPr>
          <w:sz w:val="24"/>
        </w:rPr>
        <w:t xml:space="preserve">). Meanwhile, the disease activity of SLE patients in the past 10 days will be measured. The index system will be weighted according to different characteristics. </w:t>
      </w:r>
      <w:r w:rsidR="00CE47C8" w:rsidRPr="00CE47C8">
        <w:rPr>
          <w:sz w:val="24"/>
        </w:rPr>
        <w:t>If at screening, a patient is found to have a certain feature in the past 10 days, the evaluating physician will score the feature. A higher score means a more severe feature. Then simply add the scores to get the total score of SLEDAI-2K, which ranges from 0 to 105.</w:t>
      </w:r>
    </w:p>
    <w:p w14:paraId="5FFBFCC3" w14:textId="271CBA31" w:rsidR="006E18E9" w:rsidRPr="00F16A5E" w:rsidRDefault="006E18E9" w:rsidP="006E18E9">
      <w:pPr>
        <w:pStyle w:val="3"/>
        <w:keepLines w:val="0"/>
        <w:spacing w:before="60" w:after="60" w:line="360" w:lineRule="auto"/>
        <w:rPr>
          <w:sz w:val="24"/>
          <w:szCs w:val="24"/>
        </w:rPr>
      </w:pPr>
      <w:bookmarkStart w:id="321" w:name="_Toc71149201"/>
      <w:r w:rsidRPr="00F16A5E">
        <w:rPr>
          <w:sz w:val="24"/>
          <w:szCs w:val="24"/>
        </w:rPr>
        <w:t>8.6.3</w:t>
      </w:r>
      <w:r w:rsidR="00F305B4" w:rsidRPr="00F16A5E">
        <w:rPr>
          <w:sz w:val="24"/>
          <w:szCs w:val="24"/>
        </w:rPr>
        <w:tab/>
        <w:t>BILAG2004 Evaluation</w:t>
      </w:r>
      <w:bookmarkEnd w:id="321"/>
    </w:p>
    <w:p w14:paraId="611CBFB7" w14:textId="311F3988" w:rsidR="006E18E9" w:rsidRPr="00F16A5E" w:rsidRDefault="00F305B4" w:rsidP="00F305B4">
      <w:pPr>
        <w:spacing w:beforeLines="50" w:before="156" w:line="300" w:lineRule="auto"/>
        <w:rPr>
          <w:sz w:val="24"/>
        </w:rPr>
      </w:pPr>
      <w:r w:rsidRPr="00F16A5E">
        <w:rPr>
          <w:sz w:val="24"/>
        </w:rPr>
        <w:t>The BILAG2004 index is a validated global disease activity index. According to the doctor's treatment intention, it pays attention to the patient's changes in the clinical manifestations of the disease (</w:t>
      </w:r>
      <w:r w:rsidR="00F16A5E" w:rsidRPr="00F16A5E">
        <w:rPr>
          <w:sz w:val="24"/>
        </w:rPr>
        <w:t xml:space="preserve">classified by </w:t>
      </w:r>
      <w:r w:rsidRPr="00F16A5E">
        <w:rPr>
          <w:sz w:val="24"/>
        </w:rPr>
        <w:t xml:space="preserve">absence, improvement, unchanged, worse, or new presence) in the past 4 weeks compared with the previous 4 weeks. It covers 9 organ systems, 97 clinical signs, symptoms and laboratory parameters (see </w:t>
      </w:r>
      <w:r w:rsidRPr="00F16A5E">
        <w:rPr>
          <w:color w:val="0000FF"/>
          <w:sz w:val="24"/>
        </w:rPr>
        <w:t>Appendix 5</w:t>
      </w:r>
      <w:r w:rsidRPr="00F16A5E">
        <w:rPr>
          <w:sz w:val="24"/>
        </w:rPr>
        <w:t>).</w:t>
      </w:r>
    </w:p>
    <w:p w14:paraId="26F3BB3B" w14:textId="24888FB5" w:rsidR="006E18E9" w:rsidRPr="00F16A5E" w:rsidRDefault="006E18E9" w:rsidP="006E18E9">
      <w:pPr>
        <w:pStyle w:val="3"/>
        <w:keepLines w:val="0"/>
        <w:spacing w:before="60" w:after="60" w:line="360" w:lineRule="auto"/>
        <w:rPr>
          <w:sz w:val="24"/>
          <w:szCs w:val="24"/>
        </w:rPr>
      </w:pPr>
      <w:bookmarkStart w:id="322" w:name="_Toc71149202"/>
      <w:r w:rsidRPr="00F16A5E">
        <w:rPr>
          <w:sz w:val="24"/>
          <w:szCs w:val="24"/>
        </w:rPr>
        <w:t>8.6.4</w:t>
      </w:r>
      <w:bookmarkStart w:id="323" w:name="_Hlk43461025"/>
      <w:r w:rsidR="00F305B4" w:rsidRPr="00F16A5E">
        <w:rPr>
          <w:sz w:val="24"/>
          <w:szCs w:val="24"/>
        </w:rPr>
        <w:tab/>
      </w:r>
      <w:r w:rsidRPr="00F16A5E">
        <w:rPr>
          <w:sz w:val="24"/>
        </w:rPr>
        <w:t>PGA</w:t>
      </w:r>
      <w:r w:rsidR="00F305B4" w:rsidRPr="00F16A5E">
        <w:rPr>
          <w:sz w:val="24"/>
        </w:rPr>
        <w:t xml:space="preserve"> Evaluation</w:t>
      </w:r>
      <w:bookmarkEnd w:id="322"/>
    </w:p>
    <w:bookmarkEnd w:id="323"/>
    <w:p w14:paraId="6F62818D" w14:textId="0F2DD83C" w:rsidR="006E18E9" w:rsidRPr="00F16A5E" w:rsidRDefault="00F305B4" w:rsidP="00F305B4">
      <w:pPr>
        <w:spacing w:beforeLines="50" w:before="156" w:line="300" w:lineRule="auto"/>
        <w:rPr>
          <w:sz w:val="24"/>
        </w:rPr>
      </w:pPr>
      <w:r w:rsidRPr="00F16A5E">
        <w:rPr>
          <w:sz w:val="24"/>
        </w:rPr>
        <w:t xml:space="preserve">PGA uses a visual analog scale to assess disease activity, which is a doctor’s assessment of the overall disease activity of SLE (see </w:t>
      </w:r>
      <w:r w:rsidRPr="00F16A5E">
        <w:rPr>
          <w:color w:val="0000FF"/>
          <w:sz w:val="24"/>
        </w:rPr>
        <w:t>Appendix 6</w:t>
      </w:r>
      <w:r w:rsidRPr="00F16A5E">
        <w:rPr>
          <w:sz w:val="24"/>
        </w:rPr>
        <w:t>).</w:t>
      </w:r>
    </w:p>
    <w:p w14:paraId="3110E420" w14:textId="37BB13E6" w:rsidR="006E18E9" w:rsidRPr="00F16A5E" w:rsidRDefault="006E18E9" w:rsidP="006E18E9">
      <w:pPr>
        <w:pStyle w:val="1"/>
        <w:pageBreakBefore/>
        <w:spacing w:beforeLines="0" w:before="120" w:line="360" w:lineRule="auto"/>
        <w:jc w:val="both"/>
        <w:rPr>
          <w:rFonts w:eastAsia="宋体"/>
          <w:sz w:val="24"/>
          <w:lang w:eastAsia="zh-CN"/>
        </w:rPr>
      </w:pPr>
      <w:bookmarkStart w:id="324" w:name="_Toc9456223"/>
      <w:bookmarkStart w:id="325" w:name="_Toc20224898"/>
      <w:bookmarkStart w:id="326" w:name="_Toc71149203"/>
      <w:r w:rsidRPr="00F16A5E">
        <w:rPr>
          <w:rFonts w:eastAsia="宋体"/>
          <w:sz w:val="24"/>
          <w:lang w:eastAsia="zh-CN"/>
        </w:rPr>
        <w:lastRenderedPageBreak/>
        <w:t>9</w:t>
      </w:r>
      <w:bookmarkEnd w:id="324"/>
      <w:bookmarkEnd w:id="325"/>
      <w:r w:rsidR="00F305B4" w:rsidRPr="00F16A5E">
        <w:rPr>
          <w:rFonts w:eastAsia="宋体"/>
          <w:sz w:val="24"/>
          <w:lang w:eastAsia="zh-CN"/>
        </w:rPr>
        <w:tab/>
        <w:t>Statistical Considerations</w:t>
      </w:r>
      <w:bookmarkEnd w:id="326"/>
    </w:p>
    <w:p w14:paraId="32FD310C" w14:textId="463CFA82" w:rsidR="00F305B4" w:rsidRPr="00F16A5E" w:rsidRDefault="00F305B4" w:rsidP="00F305B4">
      <w:pPr>
        <w:spacing w:beforeLines="50" w:before="156" w:line="300" w:lineRule="auto"/>
        <w:rPr>
          <w:sz w:val="24"/>
          <w:lang w:val="x-none"/>
        </w:rPr>
      </w:pPr>
      <w:r w:rsidRPr="00F16A5E">
        <w:rPr>
          <w:sz w:val="24"/>
          <w:lang w:val="x-none"/>
        </w:rPr>
        <w:t>For detailed statistical analysis methods, see Statistical Analysis Plan.</w:t>
      </w:r>
    </w:p>
    <w:p w14:paraId="29CA99D6" w14:textId="6906AFFD" w:rsidR="006E18E9" w:rsidRPr="00F16A5E" w:rsidRDefault="006E18E9" w:rsidP="006E18E9">
      <w:pPr>
        <w:pStyle w:val="2"/>
        <w:keepLines w:val="0"/>
        <w:spacing w:before="60" w:after="60" w:line="360" w:lineRule="auto"/>
        <w:rPr>
          <w:rFonts w:ascii="Times New Roman" w:eastAsia="宋体" w:hAnsi="Times New Roman"/>
          <w:sz w:val="24"/>
        </w:rPr>
      </w:pPr>
      <w:bookmarkStart w:id="327" w:name="_Toc448436657"/>
      <w:bookmarkStart w:id="328" w:name="_Toc487477919"/>
      <w:bookmarkStart w:id="329" w:name="_Toc7170291"/>
      <w:bookmarkStart w:id="330" w:name="_Toc9456224"/>
      <w:bookmarkStart w:id="331" w:name="_Toc20224899"/>
      <w:bookmarkStart w:id="332" w:name="_Toc71149204"/>
      <w:r w:rsidRPr="00F16A5E">
        <w:rPr>
          <w:rFonts w:ascii="Times New Roman" w:eastAsia="宋体" w:hAnsi="Times New Roman"/>
          <w:sz w:val="24"/>
        </w:rPr>
        <w:t>9.1</w:t>
      </w:r>
      <w:bookmarkEnd w:id="327"/>
      <w:bookmarkEnd w:id="328"/>
      <w:bookmarkEnd w:id="329"/>
      <w:bookmarkEnd w:id="330"/>
      <w:bookmarkEnd w:id="331"/>
      <w:r w:rsidR="00F305B4" w:rsidRPr="00F16A5E">
        <w:rPr>
          <w:rFonts w:ascii="Times New Roman" w:eastAsia="宋体" w:hAnsi="Times New Roman"/>
          <w:sz w:val="24"/>
        </w:rPr>
        <w:tab/>
        <w:t>Statistical Assumption</w:t>
      </w:r>
      <w:bookmarkEnd w:id="332"/>
    </w:p>
    <w:p w14:paraId="6A43225C" w14:textId="2C8A18E9" w:rsidR="00F305B4" w:rsidRPr="00F16A5E" w:rsidRDefault="00F305B4" w:rsidP="00F305B4">
      <w:pPr>
        <w:spacing w:beforeLines="50" w:before="156" w:line="300" w:lineRule="auto"/>
        <w:rPr>
          <w:sz w:val="24"/>
          <w:lang w:val="x-none"/>
        </w:rPr>
      </w:pPr>
      <w:r w:rsidRPr="00F16A5E">
        <w:rPr>
          <w:sz w:val="24"/>
          <w:lang w:val="x-none"/>
        </w:rPr>
        <w:t xml:space="preserve">The primary objective of this study is to evaluate the safety and tolerability of oral orelabrutinib in mild-moderate SLE patients. All statistical programming will be conducted using SAS. Descriptive statistics will be mainly used in statistical analysis. </w:t>
      </w:r>
    </w:p>
    <w:p w14:paraId="5C7C64B5" w14:textId="2FC31681" w:rsidR="006E18E9" w:rsidRPr="00F16A5E" w:rsidRDefault="00F305B4" w:rsidP="00F305B4">
      <w:pPr>
        <w:spacing w:beforeLines="50" w:before="156" w:line="300" w:lineRule="auto"/>
        <w:rPr>
          <w:sz w:val="24"/>
          <w:lang w:val="x-none"/>
        </w:rPr>
      </w:pPr>
      <w:r w:rsidRPr="00F16A5E">
        <w:rPr>
          <w:sz w:val="24"/>
          <w:lang w:val="x-none"/>
        </w:rPr>
        <w:t>Unless otherwise specified, all missing data will be treated as it is, without any assumptions for imputation.</w:t>
      </w:r>
    </w:p>
    <w:p w14:paraId="785CA388" w14:textId="7504825E"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333" w:name="_Toc7170292"/>
      <w:bookmarkStart w:id="334" w:name="_Toc9456225"/>
      <w:bookmarkStart w:id="335" w:name="_Toc20224900"/>
      <w:bookmarkStart w:id="336" w:name="_Toc71149205"/>
      <w:r w:rsidRPr="00F16A5E">
        <w:rPr>
          <w:rFonts w:ascii="Times New Roman" w:eastAsia="宋体" w:hAnsi="Times New Roman"/>
          <w:sz w:val="24"/>
        </w:rPr>
        <w:t>9.2</w:t>
      </w:r>
      <w:bookmarkEnd w:id="333"/>
      <w:bookmarkEnd w:id="334"/>
      <w:bookmarkEnd w:id="335"/>
      <w:r w:rsidR="00F305B4" w:rsidRPr="00F16A5E">
        <w:rPr>
          <w:rFonts w:ascii="Times New Roman" w:eastAsia="宋体" w:hAnsi="Times New Roman"/>
          <w:sz w:val="24"/>
        </w:rPr>
        <w:tab/>
        <w:t>Sample Size Estimation</w:t>
      </w:r>
      <w:bookmarkEnd w:id="336"/>
    </w:p>
    <w:p w14:paraId="14FA9B16" w14:textId="4A841DAB" w:rsidR="006E18E9" w:rsidRPr="00F16A5E" w:rsidRDefault="00F305B4" w:rsidP="00F305B4">
      <w:pPr>
        <w:spacing w:beforeLines="50" w:before="156" w:line="300" w:lineRule="auto"/>
        <w:rPr>
          <w:sz w:val="24"/>
        </w:rPr>
      </w:pPr>
      <w:r w:rsidRPr="00F16A5E">
        <w:rPr>
          <w:bCs/>
          <w:sz w:val="24"/>
        </w:rPr>
        <w:t>This is a study to evaluate the safety, PK, PD, and PK/PD relationship of orelabrutinib in patients with mild to moderate SLE. Therefore, no formal sample size calculation ha</w:t>
      </w:r>
      <w:r w:rsidR="004972C4" w:rsidRPr="00F16A5E">
        <w:rPr>
          <w:bCs/>
          <w:sz w:val="24"/>
        </w:rPr>
        <w:t>s</w:t>
      </w:r>
      <w:r w:rsidRPr="00F16A5E">
        <w:rPr>
          <w:bCs/>
          <w:sz w:val="24"/>
        </w:rPr>
        <w:t xml:space="preserve"> been performed. Instead, the sample size of each treatment cohort (N=15) </w:t>
      </w:r>
      <w:r w:rsidR="004972C4" w:rsidRPr="00F16A5E">
        <w:rPr>
          <w:bCs/>
          <w:sz w:val="24"/>
        </w:rPr>
        <w:t>is</w:t>
      </w:r>
      <w:r w:rsidRPr="00F16A5E">
        <w:rPr>
          <w:bCs/>
          <w:sz w:val="24"/>
        </w:rPr>
        <w:t xml:space="preserve"> </w:t>
      </w:r>
      <w:r w:rsidR="004972C4" w:rsidRPr="00F16A5E">
        <w:rPr>
          <w:bCs/>
          <w:sz w:val="24"/>
        </w:rPr>
        <w:t>decided</w:t>
      </w:r>
      <w:r w:rsidRPr="00F16A5E">
        <w:rPr>
          <w:bCs/>
          <w:sz w:val="24"/>
        </w:rPr>
        <w:t xml:space="preserve"> empirically. It is planned to recruit 60 subjects in this study.</w:t>
      </w:r>
    </w:p>
    <w:p w14:paraId="6D1C4613" w14:textId="18ACBEF6"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337" w:name="_Toc493752115"/>
      <w:bookmarkStart w:id="338" w:name="_Toc502904674"/>
      <w:bookmarkStart w:id="339" w:name="_Toc505011264"/>
      <w:bookmarkStart w:id="340" w:name="_Toc7170293"/>
      <w:bookmarkStart w:id="341" w:name="_Toc9456226"/>
      <w:bookmarkStart w:id="342" w:name="_Toc20224901"/>
      <w:bookmarkStart w:id="343" w:name="_Toc71149206"/>
      <w:r w:rsidRPr="00F16A5E">
        <w:rPr>
          <w:rFonts w:ascii="Times New Roman" w:eastAsia="宋体" w:hAnsi="Times New Roman"/>
          <w:sz w:val="24"/>
        </w:rPr>
        <w:t>9.3</w:t>
      </w:r>
      <w:bookmarkEnd w:id="337"/>
      <w:bookmarkEnd w:id="338"/>
      <w:bookmarkEnd w:id="339"/>
      <w:bookmarkEnd w:id="340"/>
      <w:bookmarkEnd w:id="341"/>
      <w:bookmarkEnd w:id="342"/>
      <w:r w:rsidR="00F305B4" w:rsidRPr="00F16A5E">
        <w:rPr>
          <w:rFonts w:ascii="Times New Roman" w:eastAsia="宋体" w:hAnsi="Times New Roman"/>
          <w:sz w:val="24"/>
        </w:rPr>
        <w:tab/>
        <w:t>Analysis Populations</w:t>
      </w:r>
      <w:bookmarkEnd w:id="343"/>
    </w:p>
    <w:p w14:paraId="2B77A6A4" w14:textId="77777777" w:rsidR="005C24CC" w:rsidRPr="00F16A5E" w:rsidRDefault="005C24CC" w:rsidP="005C24CC">
      <w:pPr>
        <w:spacing w:beforeLines="50" w:before="156" w:line="300" w:lineRule="auto"/>
        <w:rPr>
          <w:sz w:val="24"/>
          <w:lang w:val="x-none"/>
        </w:rPr>
      </w:pPr>
      <w:r w:rsidRPr="00F16A5E">
        <w:rPr>
          <w:sz w:val="24"/>
          <w:lang w:val="x-none"/>
        </w:rPr>
        <w:t>(1) Full Analysis Set (FAS): All subjects who have taken the study drug at least once.</w:t>
      </w:r>
    </w:p>
    <w:p w14:paraId="2840B473" w14:textId="77777777" w:rsidR="005C24CC" w:rsidRPr="00F16A5E" w:rsidRDefault="005C24CC" w:rsidP="005C24CC">
      <w:pPr>
        <w:spacing w:beforeLines="50" w:before="156" w:line="300" w:lineRule="auto"/>
        <w:rPr>
          <w:sz w:val="24"/>
          <w:lang w:val="x-none"/>
        </w:rPr>
      </w:pPr>
      <w:r w:rsidRPr="00F16A5E">
        <w:rPr>
          <w:sz w:val="24"/>
          <w:lang w:val="x-none"/>
        </w:rPr>
        <w:t>(2) Safety Set (SS): Subjects who have taken at least one dose of study drug and have safety measurement records.</w:t>
      </w:r>
    </w:p>
    <w:p w14:paraId="55577592" w14:textId="688E3000" w:rsidR="005C24CC" w:rsidRPr="00F16A5E" w:rsidRDefault="005C24CC" w:rsidP="005C24CC">
      <w:pPr>
        <w:spacing w:beforeLines="50" w:before="156" w:line="300" w:lineRule="auto"/>
        <w:rPr>
          <w:sz w:val="24"/>
          <w:lang w:val="x-none"/>
        </w:rPr>
      </w:pPr>
      <w:r w:rsidRPr="00F16A5E">
        <w:rPr>
          <w:sz w:val="24"/>
          <w:lang w:val="x-none"/>
        </w:rPr>
        <w:t xml:space="preserve">(3) Pharmacokinetic Analysis Set (PKAS): Subjects who have taken </w:t>
      </w:r>
      <w:r w:rsidR="00F40AF4" w:rsidRPr="00F16A5E">
        <w:rPr>
          <w:sz w:val="24"/>
          <w:lang w:val="x-none"/>
        </w:rPr>
        <w:t xml:space="preserve">at least one dose of </w:t>
      </w:r>
      <w:r w:rsidRPr="00F16A5E">
        <w:rPr>
          <w:sz w:val="24"/>
          <w:lang w:val="x-none"/>
        </w:rPr>
        <w:t xml:space="preserve">the study drug after enrollment and have at least one </w:t>
      </w:r>
      <w:r w:rsidR="00F40AF4" w:rsidRPr="00F16A5E">
        <w:rPr>
          <w:sz w:val="24"/>
          <w:lang w:val="x-none"/>
        </w:rPr>
        <w:t>valid</w:t>
      </w:r>
      <w:r w:rsidRPr="00F16A5E">
        <w:rPr>
          <w:sz w:val="24"/>
          <w:lang w:val="x-none"/>
        </w:rPr>
        <w:t xml:space="preserve"> PK data after administration.</w:t>
      </w:r>
    </w:p>
    <w:p w14:paraId="0E18556D" w14:textId="17463B0F" w:rsidR="005C24CC" w:rsidRPr="00F16A5E" w:rsidRDefault="005C24CC" w:rsidP="005C24CC">
      <w:pPr>
        <w:spacing w:beforeLines="50" w:before="156" w:line="300" w:lineRule="auto"/>
        <w:rPr>
          <w:sz w:val="24"/>
          <w:lang w:val="x-none"/>
        </w:rPr>
      </w:pPr>
      <w:r w:rsidRPr="00F16A5E">
        <w:rPr>
          <w:sz w:val="24"/>
          <w:lang w:val="x-none"/>
        </w:rPr>
        <w:t>(4) Pharmacodynamics Analysis Set (PDAS): Subjects who have received at least 1 week of study drug treatment and have available PD evaluation data.</w:t>
      </w:r>
    </w:p>
    <w:p w14:paraId="3FE27F06" w14:textId="097F359A"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344" w:name="_Toc7170294"/>
      <w:bookmarkStart w:id="345" w:name="_Toc9456227"/>
      <w:bookmarkStart w:id="346" w:name="_Toc20224902"/>
      <w:bookmarkStart w:id="347" w:name="_Toc71149207"/>
      <w:r w:rsidRPr="00F16A5E">
        <w:rPr>
          <w:rFonts w:ascii="Times New Roman" w:eastAsia="宋体" w:hAnsi="Times New Roman"/>
          <w:sz w:val="24"/>
        </w:rPr>
        <w:t>9.4</w:t>
      </w:r>
      <w:bookmarkEnd w:id="344"/>
      <w:bookmarkEnd w:id="345"/>
      <w:bookmarkEnd w:id="346"/>
      <w:r w:rsidR="005C24CC" w:rsidRPr="00F16A5E">
        <w:rPr>
          <w:rFonts w:ascii="Times New Roman" w:eastAsia="宋体" w:hAnsi="Times New Roman"/>
          <w:sz w:val="24"/>
        </w:rPr>
        <w:tab/>
        <w:t>Statistical Analysis</w:t>
      </w:r>
      <w:bookmarkEnd w:id="347"/>
    </w:p>
    <w:p w14:paraId="6F2FDF58" w14:textId="0A5792A1" w:rsidR="006E18E9" w:rsidRPr="00F16A5E" w:rsidRDefault="006E18E9" w:rsidP="006E18E9">
      <w:pPr>
        <w:pStyle w:val="3"/>
        <w:keepLines w:val="0"/>
        <w:spacing w:before="60" w:after="60" w:line="360" w:lineRule="auto"/>
        <w:rPr>
          <w:sz w:val="24"/>
          <w:szCs w:val="24"/>
        </w:rPr>
      </w:pPr>
      <w:bookmarkStart w:id="348" w:name="_Toc503990749"/>
      <w:bookmarkStart w:id="349" w:name="_Toc7170297"/>
      <w:bookmarkStart w:id="350" w:name="_Toc9456228"/>
      <w:bookmarkStart w:id="351" w:name="_Toc20224903"/>
      <w:bookmarkStart w:id="352" w:name="_Toc71149208"/>
      <w:bookmarkStart w:id="353" w:name="_Toc448436658"/>
      <w:bookmarkStart w:id="354" w:name="_Toc487477920"/>
      <w:bookmarkStart w:id="355" w:name="_Toc503990748"/>
      <w:bookmarkStart w:id="356" w:name="_Toc7170295"/>
      <w:bookmarkStart w:id="357" w:name="_Toc503990746"/>
      <w:r w:rsidRPr="00F16A5E">
        <w:rPr>
          <w:sz w:val="24"/>
          <w:szCs w:val="24"/>
        </w:rPr>
        <w:t>9.4.1</w:t>
      </w:r>
      <w:bookmarkEnd w:id="348"/>
      <w:bookmarkEnd w:id="349"/>
      <w:bookmarkEnd w:id="350"/>
      <w:bookmarkEnd w:id="351"/>
      <w:r w:rsidR="005C24CC" w:rsidRPr="00F16A5E">
        <w:rPr>
          <w:sz w:val="24"/>
          <w:szCs w:val="24"/>
        </w:rPr>
        <w:tab/>
        <w:t>Safety Analysis</w:t>
      </w:r>
      <w:bookmarkEnd w:id="352"/>
    </w:p>
    <w:bookmarkEnd w:id="353"/>
    <w:bookmarkEnd w:id="354"/>
    <w:p w14:paraId="1A982ED4" w14:textId="2F104F54" w:rsidR="006E18E9" w:rsidRPr="00F16A5E" w:rsidRDefault="005C24CC" w:rsidP="005C24CC">
      <w:pPr>
        <w:adjustRightInd w:val="0"/>
        <w:snapToGrid w:val="0"/>
        <w:spacing w:beforeLines="50" w:before="156" w:line="300" w:lineRule="auto"/>
        <w:rPr>
          <w:sz w:val="24"/>
        </w:rPr>
      </w:pPr>
      <w:r w:rsidRPr="00F16A5E">
        <w:rPr>
          <w:sz w:val="24"/>
        </w:rPr>
        <w:t xml:space="preserve">Safety will be assessed through summaries of adverse events, changes in laboratory results, changes in ECG, and changes in vital signs. All collected adverse event data will be listed by assigned dose level and subject No.. All treatment-emergent adverse events will be summarized in coded terms, based on severity and relationship with the </w:t>
      </w:r>
      <w:r w:rsidR="00C8602B" w:rsidRPr="00F16A5E">
        <w:rPr>
          <w:sz w:val="24"/>
        </w:rPr>
        <w:t>investigational</w:t>
      </w:r>
      <w:r w:rsidRPr="00F16A5E">
        <w:rPr>
          <w:sz w:val="24"/>
        </w:rPr>
        <w:t xml:space="preserve"> drug. In addition, all TESAE</w:t>
      </w:r>
      <w:r w:rsidR="007B13C2" w:rsidRPr="00F16A5E">
        <w:rPr>
          <w:sz w:val="24"/>
        </w:rPr>
        <w:t>s</w:t>
      </w:r>
      <w:r w:rsidRPr="00F16A5E">
        <w:rPr>
          <w:sz w:val="24"/>
        </w:rPr>
        <w:t>, TRSAE</w:t>
      </w:r>
      <w:r w:rsidR="007B13C2" w:rsidRPr="00F16A5E">
        <w:rPr>
          <w:sz w:val="24"/>
        </w:rPr>
        <w:t>s</w:t>
      </w:r>
      <w:r w:rsidRPr="00F16A5E">
        <w:rPr>
          <w:sz w:val="24"/>
        </w:rPr>
        <w:t xml:space="preserve"> and TRAE</w:t>
      </w:r>
      <w:r w:rsidR="007B13C2" w:rsidRPr="00F16A5E">
        <w:rPr>
          <w:sz w:val="24"/>
        </w:rPr>
        <w:t>s</w:t>
      </w:r>
      <w:r w:rsidRPr="00F16A5E">
        <w:rPr>
          <w:sz w:val="24"/>
        </w:rPr>
        <w:t xml:space="preserve"> will be listed and summarized separately. The adverse events leading to drug discontinuation will also be separately listed and summarized.</w:t>
      </w:r>
    </w:p>
    <w:p w14:paraId="5B49383B" w14:textId="0A780C08" w:rsidR="006E18E9" w:rsidRPr="00F16A5E" w:rsidRDefault="005C24CC" w:rsidP="005C24CC">
      <w:pPr>
        <w:adjustRightInd w:val="0"/>
        <w:snapToGrid w:val="0"/>
        <w:spacing w:beforeLines="50" w:before="156" w:line="300" w:lineRule="auto"/>
        <w:rPr>
          <w:sz w:val="24"/>
        </w:rPr>
      </w:pPr>
      <w:r w:rsidRPr="00F16A5E">
        <w:rPr>
          <w:sz w:val="24"/>
          <w:szCs w:val="22"/>
        </w:rPr>
        <w:t>The relationship between exposure and TRSAE</w:t>
      </w:r>
      <w:r w:rsidR="004972C4" w:rsidRPr="00F16A5E">
        <w:rPr>
          <w:sz w:val="24"/>
          <w:szCs w:val="22"/>
        </w:rPr>
        <w:t>s</w:t>
      </w:r>
      <w:r w:rsidRPr="00F16A5E">
        <w:rPr>
          <w:sz w:val="24"/>
          <w:szCs w:val="22"/>
        </w:rPr>
        <w:t xml:space="preserve"> will be analyzed, as long as the data allows.</w:t>
      </w:r>
    </w:p>
    <w:p w14:paraId="22FF18A3" w14:textId="0B20D023" w:rsidR="006E18E9" w:rsidRPr="00F16A5E" w:rsidRDefault="006E18E9" w:rsidP="006E18E9">
      <w:pPr>
        <w:pStyle w:val="3"/>
        <w:keepLines w:val="0"/>
        <w:spacing w:before="60" w:after="60" w:line="360" w:lineRule="auto"/>
        <w:rPr>
          <w:sz w:val="24"/>
          <w:szCs w:val="24"/>
        </w:rPr>
      </w:pPr>
      <w:bookmarkStart w:id="358" w:name="_Toc7170296"/>
      <w:bookmarkStart w:id="359" w:name="_Toc9456229"/>
      <w:bookmarkStart w:id="360" w:name="_Toc20224904"/>
      <w:bookmarkStart w:id="361" w:name="_Toc71149209"/>
      <w:r w:rsidRPr="00F16A5E">
        <w:rPr>
          <w:sz w:val="24"/>
          <w:szCs w:val="24"/>
        </w:rPr>
        <w:lastRenderedPageBreak/>
        <w:t>9.4.2</w:t>
      </w:r>
      <w:bookmarkEnd w:id="358"/>
      <w:bookmarkEnd w:id="359"/>
      <w:bookmarkEnd w:id="360"/>
      <w:r w:rsidR="005C24CC" w:rsidRPr="00F16A5E">
        <w:rPr>
          <w:sz w:val="24"/>
          <w:szCs w:val="24"/>
        </w:rPr>
        <w:tab/>
        <w:t>Pharmacokinetic Analyses</w:t>
      </w:r>
      <w:bookmarkEnd w:id="361"/>
    </w:p>
    <w:p w14:paraId="2F60D997" w14:textId="499738CE" w:rsidR="006E18E9" w:rsidRPr="00F16A5E" w:rsidRDefault="005C24CC" w:rsidP="005C24CC">
      <w:pPr>
        <w:adjustRightInd w:val="0"/>
        <w:snapToGrid w:val="0"/>
        <w:spacing w:beforeLines="50" w:before="156" w:line="300" w:lineRule="auto"/>
        <w:rPr>
          <w:sz w:val="24"/>
        </w:rPr>
      </w:pPr>
      <w:r w:rsidRPr="00F16A5E">
        <w:rPr>
          <w:sz w:val="24"/>
        </w:rPr>
        <w:t>Only PK samples from orelabrutinib-treated subjects will be measured. Only subjects who have sufficient samples to fully calculate the PK parameters will be included in the data analysis. The plasma concentration of orelabrutinib will be tabulated and summarized, and individual and average plasma concentration-time curves (C-T curves) will be plotted. The standard non-compartment model analysis will be used to calculate the pharmacokinetic parameters after single-dose and multiple-dose administration. A list summary and descriptive statistical analysis of the generated PK parameters will be performed, and the arithmetic mean, standard deviation, coefficient of variation, median, maximum, minimum, geometric mean and coefficient of variation of geometric mean of each parameter will be calculated. Inter-subject variability and drug accumulation will be assessed. Additional PK analyses will be performed as appropriate.</w:t>
      </w:r>
    </w:p>
    <w:p w14:paraId="31884E6C" w14:textId="13FA6D38" w:rsidR="006E18E9" w:rsidRPr="00F16A5E" w:rsidRDefault="006E18E9" w:rsidP="006E18E9">
      <w:pPr>
        <w:pStyle w:val="3"/>
        <w:keepLines w:val="0"/>
        <w:spacing w:before="60" w:after="60" w:line="360" w:lineRule="auto"/>
        <w:rPr>
          <w:sz w:val="24"/>
          <w:szCs w:val="24"/>
        </w:rPr>
      </w:pPr>
      <w:bookmarkStart w:id="362" w:name="_Toc9456230"/>
      <w:bookmarkStart w:id="363" w:name="_Toc20224905"/>
      <w:bookmarkStart w:id="364" w:name="_Toc71149210"/>
      <w:r w:rsidRPr="00F16A5E">
        <w:rPr>
          <w:sz w:val="24"/>
          <w:szCs w:val="24"/>
        </w:rPr>
        <w:t>9.4.3</w:t>
      </w:r>
      <w:bookmarkEnd w:id="362"/>
      <w:bookmarkEnd w:id="363"/>
      <w:r w:rsidR="005C24CC" w:rsidRPr="00F16A5E">
        <w:rPr>
          <w:sz w:val="24"/>
          <w:szCs w:val="24"/>
        </w:rPr>
        <w:tab/>
        <w:t>Pharmacodynamics Analysis</w:t>
      </w:r>
      <w:bookmarkEnd w:id="364"/>
    </w:p>
    <w:p w14:paraId="55355389" w14:textId="111FE4F3" w:rsidR="006E18E9" w:rsidRPr="00F16A5E" w:rsidRDefault="005C24CC" w:rsidP="005C24CC">
      <w:pPr>
        <w:adjustRightInd w:val="0"/>
        <w:snapToGrid w:val="0"/>
        <w:spacing w:beforeLines="50" w:before="156" w:line="300" w:lineRule="auto"/>
        <w:rPr>
          <w:kern w:val="0"/>
          <w:sz w:val="24"/>
        </w:rPr>
      </w:pPr>
      <w:r w:rsidRPr="00F16A5E">
        <w:rPr>
          <w:sz w:val="24"/>
        </w:rPr>
        <w:t>Only subjects who have received at least 1 week of treatment and have baseline values and sufficient samples will be included in the data analysis so as to calculate the corresponding endpoints. All data will be tabulated and descriptively summarized and plotted by dose group and scheduled visit. For Ig levels, the measured Ig values at each scheduled visit and their changes from baseline will be summarized by dose group, including absolute change values and relative change percentages. All the other biomarkers will be presented and summarized the same way as mentioned above.</w:t>
      </w:r>
    </w:p>
    <w:p w14:paraId="79D2817D" w14:textId="6DDA7198" w:rsidR="006E18E9" w:rsidRPr="00F16A5E" w:rsidRDefault="006E18E9" w:rsidP="006E18E9">
      <w:pPr>
        <w:pStyle w:val="3"/>
        <w:keepLines w:val="0"/>
        <w:spacing w:before="60" w:after="60" w:line="360" w:lineRule="auto"/>
        <w:rPr>
          <w:sz w:val="24"/>
          <w:szCs w:val="24"/>
        </w:rPr>
      </w:pPr>
      <w:bookmarkStart w:id="365" w:name="_Toc9456231"/>
      <w:bookmarkStart w:id="366" w:name="_Toc20224906"/>
      <w:bookmarkStart w:id="367" w:name="_Toc71149211"/>
      <w:r w:rsidRPr="00F16A5E">
        <w:rPr>
          <w:sz w:val="24"/>
          <w:szCs w:val="24"/>
        </w:rPr>
        <w:t>9.4.4</w:t>
      </w:r>
      <w:bookmarkEnd w:id="355"/>
      <w:bookmarkEnd w:id="356"/>
      <w:bookmarkEnd w:id="365"/>
      <w:bookmarkEnd w:id="366"/>
      <w:r w:rsidR="005C24CC" w:rsidRPr="00F16A5E">
        <w:rPr>
          <w:sz w:val="24"/>
          <w:szCs w:val="24"/>
        </w:rPr>
        <w:tab/>
        <w:t>Efficacy Analyses</w:t>
      </w:r>
      <w:bookmarkEnd w:id="367"/>
    </w:p>
    <w:p w14:paraId="1BBE86A2" w14:textId="2B22D75C" w:rsidR="006E18E9" w:rsidRPr="00F16A5E" w:rsidRDefault="005C24CC" w:rsidP="005C24CC">
      <w:pPr>
        <w:adjustRightInd w:val="0"/>
        <w:snapToGrid w:val="0"/>
        <w:spacing w:beforeLines="50" w:before="156" w:line="300" w:lineRule="auto"/>
        <w:rPr>
          <w:sz w:val="24"/>
        </w:rPr>
      </w:pPr>
      <w:r w:rsidRPr="00F16A5E">
        <w:rPr>
          <w:sz w:val="24"/>
        </w:rPr>
        <w:t>In this study, the analysis results of all efficacy data will be tabulated, and the distribution of each efficacy index will be descriptively summarized or plotted by dose group and scheduled visit.</w:t>
      </w:r>
    </w:p>
    <w:p w14:paraId="773FAFD1" w14:textId="2577A132" w:rsidR="006E18E9" w:rsidRPr="00F16A5E" w:rsidRDefault="006E18E9" w:rsidP="006E18E9">
      <w:pPr>
        <w:pStyle w:val="1"/>
        <w:pageBreakBefore/>
        <w:spacing w:beforeLines="0" w:before="120" w:line="360" w:lineRule="auto"/>
        <w:jc w:val="both"/>
        <w:rPr>
          <w:rFonts w:eastAsia="宋体"/>
          <w:sz w:val="24"/>
          <w:lang w:eastAsia="zh-CN"/>
        </w:rPr>
      </w:pPr>
      <w:bookmarkStart w:id="368" w:name="_Toc503990750"/>
      <w:bookmarkStart w:id="369" w:name="_Toc7170300"/>
      <w:bookmarkStart w:id="370" w:name="_Toc9456232"/>
      <w:bookmarkStart w:id="371" w:name="_Toc20224907"/>
      <w:bookmarkStart w:id="372" w:name="_Toc71149212"/>
      <w:bookmarkEnd w:id="357"/>
      <w:r w:rsidRPr="00F16A5E">
        <w:rPr>
          <w:rFonts w:eastAsia="宋体"/>
          <w:sz w:val="24"/>
          <w:lang w:eastAsia="zh-CN"/>
        </w:rPr>
        <w:lastRenderedPageBreak/>
        <w:t>10</w:t>
      </w:r>
      <w:bookmarkEnd w:id="368"/>
      <w:bookmarkEnd w:id="369"/>
      <w:bookmarkEnd w:id="370"/>
      <w:bookmarkEnd w:id="371"/>
      <w:r w:rsidR="005C24CC" w:rsidRPr="00F16A5E">
        <w:rPr>
          <w:rFonts w:eastAsia="宋体"/>
          <w:sz w:val="24"/>
          <w:lang w:eastAsia="zh-CN"/>
        </w:rPr>
        <w:tab/>
        <w:t>Supporting Documents and Operational Considerations</w:t>
      </w:r>
      <w:bookmarkEnd w:id="372"/>
    </w:p>
    <w:p w14:paraId="6148E341" w14:textId="33119E70" w:rsidR="006E18E9" w:rsidRPr="00F16A5E" w:rsidRDefault="006E18E9" w:rsidP="006E18E9">
      <w:pPr>
        <w:pStyle w:val="2"/>
        <w:keepLines w:val="0"/>
        <w:spacing w:before="60" w:after="60" w:line="360" w:lineRule="auto"/>
        <w:rPr>
          <w:rFonts w:ascii="Times New Roman" w:eastAsia="宋体" w:hAnsi="Times New Roman"/>
          <w:sz w:val="24"/>
        </w:rPr>
      </w:pPr>
      <w:bookmarkStart w:id="373" w:name="_Toc7170301"/>
      <w:bookmarkStart w:id="374" w:name="_Toc9456233"/>
      <w:bookmarkStart w:id="375" w:name="_Toc20224908"/>
      <w:bookmarkStart w:id="376" w:name="_Toc71149213"/>
      <w:r w:rsidRPr="00F16A5E">
        <w:rPr>
          <w:rFonts w:ascii="Times New Roman" w:eastAsia="宋体" w:hAnsi="Times New Roman"/>
          <w:sz w:val="24"/>
        </w:rPr>
        <w:t>10.1</w:t>
      </w:r>
      <w:bookmarkEnd w:id="373"/>
      <w:bookmarkEnd w:id="374"/>
      <w:bookmarkEnd w:id="375"/>
      <w:r w:rsidR="005C24CC" w:rsidRPr="00F16A5E">
        <w:rPr>
          <w:rFonts w:ascii="Times New Roman" w:eastAsia="宋体" w:hAnsi="Times New Roman"/>
          <w:sz w:val="24"/>
        </w:rPr>
        <w:tab/>
        <w:t>Regulations, Ethics, and Study Supervision</w:t>
      </w:r>
      <w:bookmarkEnd w:id="376"/>
    </w:p>
    <w:p w14:paraId="4443180B" w14:textId="166F39DE" w:rsidR="006E18E9" w:rsidRPr="00F16A5E" w:rsidRDefault="006E18E9" w:rsidP="006E18E9">
      <w:pPr>
        <w:pStyle w:val="3"/>
        <w:keepLines w:val="0"/>
        <w:spacing w:before="60" w:after="60" w:line="360" w:lineRule="auto"/>
        <w:rPr>
          <w:sz w:val="24"/>
          <w:szCs w:val="24"/>
        </w:rPr>
      </w:pPr>
      <w:bookmarkStart w:id="377" w:name="_Toc7170302"/>
      <w:bookmarkStart w:id="378" w:name="_Toc9456234"/>
      <w:bookmarkStart w:id="379" w:name="_Toc20224909"/>
      <w:bookmarkStart w:id="380" w:name="_Toc71149214"/>
      <w:r w:rsidRPr="00F16A5E">
        <w:rPr>
          <w:sz w:val="24"/>
          <w:szCs w:val="24"/>
        </w:rPr>
        <w:t>10.1.1</w:t>
      </w:r>
      <w:bookmarkEnd w:id="377"/>
      <w:bookmarkEnd w:id="378"/>
      <w:bookmarkEnd w:id="379"/>
      <w:r w:rsidR="005C24CC" w:rsidRPr="00F16A5E">
        <w:rPr>
          <w:sz w:val="24"/>
          <w:szCs w:val="24"/>
        </w:rPr>
        <w:tab/>
        <w:t>Informed Consenting Proce</w:t>
      </w:r>
      <w:r w:rsidR="00064A41" w:rsidRPr="00F16A5E">
        <w:rPr>
          <w:sz w:val="24"/>
          <w:szCs w:val="24"/>
        </w:rPr>
        <w:t>ss</w:t>
      </w:r>
      <w:bookmarkEnd w:id="380"/>
    </w:p>
    <w:p w14:paraId="44FB6333" w14:textId="729ED599" w:rsidR="005C24CC" w:rsidRPr="00F16A5E" w:rsidRDefault="005C24CC" w:rsidP="005C24CC">
      <w:pPr>
        <w:spacing w:beforeLines="50" w:before="156" w:line="300" w:lineRule="auto"/>
        <w:rPr>
          <w:bCs/>
          <w:sz w:val="24"/>
        </w:rPr>
      </w:pPr>
      <w:r w:rsidRPr="00F16A5E">
        <w:rPr>
          <w:bCs/>
          <w:sz w:val="24"/>
        </w:rPr>
        <w:t>Before a subject is enrolled in this trial, the investigator must fully introduce the purpose, procedures a</w:t>
      </w:r>
      <w:r w:rsidR="00064A41" w:rsidRPr="00F16A5E">
        <w:rPr>
          <w:bCs/>
          <w:sz w:val="24"/>
        </w:rPr>
        <w:t>s well as</w:t>
      </w:r>
      <w:r w:rsidRPr="00F16A5E">
        <w:rPr>
          <w:bCs/>
          <w:sz w:val="24"/>
        </w:rPr>
        <w:t xml:space="preserve"> possible risks and benefits of the clinical trial to the subject (in special circumstances, to the subject ’s legal representative); Subjects should be informed that they have the right to withdraw from the study at any time. Before enrollment, each subject must sign an informed consent form (in special cases signed by the legal representative of the subject). It is the responsibility of the investigator to obtain the informed consent form signed by both the doctor and the patient with date and contact details, before each subject enters the trial.</w:t>
      </w:r>
    </w:p>
    <w:p w14:paraId="708B071A" w14:textId="1549F1D4" w:rsidR="005C24CC" w:rsidRPr="00F16A5E" w:rsidRDefault="005C24CC" w:rsidP="005C24CC">
      <w:pPr>
        <w:spacing w:beforeLines="50" w:before="156" w:line="300" w:lineRule="auto"/>
        <w:rPr>
          <w:bCs/>
          <w:sz w:val="24"/>
        </w:rPr>
      </w:pPr>
      <w:r w:rsidRPr="00F16A5E">
        <w:rPr>
          <w:bCs/>
          <w:sz w:val="24"/>
        </w:rPr>
        <w:t>Any changes to the subject ’s informed consent must be submitted to the Ethics Committee for review and approval. Every patient or independent witness affected by the modification of the informed consent form, and those involved in the discussion of the informed consent form must sign and date the new version of the informed consent form. The informed consent form will be in duplicate, one copy will be kept on file at the National Drug Clinical Trial Institution and the other copy will be kept by the subject. Subjects who have not obtained informed consent or have not signed the informed consent form will not be allowed to enter the study.</w:t>
      </w:r>
    </w:p>
    <w:p w14:paraId="0E8B3DD3" w14:textId="404F0981" w:rsidR="006E18E9" w:rsidRPr="00F16A5E" w:rsidRDefault="006E18E9" w:rsidP="006E18E9">
      <w:pPr>
        <w:pStyle w:val="3"/>
        <w:keepLines w:val="0"/>
        <w:spacing w:before="60" w:after="60" w:line="360" w:lineRule="auto"/>
        <w:rPr>
          <w:sz w:val="24"/>
          <w:szCs w:val="24"/>
        </w:rPr>
      </w:pPr>
      <w:bookmarkStart w:id="381" w:name="_Toc7170304"/>
      <w:bookmarkStart w:id="382" w:name="_Toc9456235"/>
      <w:bookmarkStart w:id="383" w:name="_Toc20224910"/>
      <w:bookmarkStart w:id="384" w:name="_Toc71149215"/>
      <w:r w:rsidRPr="00F16A5E">
        <w:rPr>
          <w:sz w:val="24"/>
          <w:szCs w:val="24"/>
        </w:rPr>
        <w:t>10.1.2</w:t>
      </w:r>
      <w:bookmarkEnd w:id="381"/>
      <w:bookmarkEnd w:id="382"/>
      <w:bookmarkEnd w:id="383"/>
      <w:r w:rsidR="005C24CC" w:rsidRPr="00F16A5E">
        <w:rPr>
          <w:sz w:val="24"/>
          <w:szCs w:val="24"/>
        </w:rPr>
        <w:tab/>
        <w:t>Confidentiality and Privacy</w:t>
      </w:r>
      <w:bookmarkEnd w:id="384"/>
    </w:p>
    <w:p w14:paraId="0ECF76A3" w14:textId="2101CDA5" w:rsidR="006E18E9" w:rsidRPr="00F16A5E" w:rsidRDefault="005C24CC" w:rsidP="005C24CC">
      <w:pPr>
        <w:spacing w:beforeLines="50" w:before="156" w:line="300" w:lineRule="auto"/>
        <w:rPr>
          <w:sz w:val="24"/>
        </w:rPr>
      </w:pPr>
      <w:r w:rsidRPr="00F16A5E">
        <w:rPr>
          <w:sz w:val="24"/>
        </w:rPr>
        <w:t>All information about the health status of the subjects obtained during the study will be treated as confidential. To disclose any relevant information, a written agreement will be required.</w:t>
      </w:r>
    </w:p>
    <w:p w14:paraId="5D3AEBBC" w14:textId="5118E84A" w:rsidR="005C24CC" w:rsidRPr="00F16A5E" w:rsidRDefault="003E7DF2" w:rsidP="003E7DF2">
      <w:pPr>
        <w:spacing w:beforeLines="50" w:before="156" w:line="300" w:lineRule="auto"/>
        <w:rPr>
          <w:sz w:val="24"/>
        </w:rPr>
      </w:pPr>
      <w:r w:rsidRPr="00F16A5E">
        <w:rPr>
          <w:sz w:val="24"/>
        </w:rPr>
        <w:t>The investigator must ensure that the identity of each subject will not be disclosed. In the eCRF and other documents submitted to the sponsor, subjects shall not be identified by their names. Instead, subjects will only be shown with the assigned enrollment number (screening number and/or randomization number) to ensure the confidentiality of all study documents. Throughout the study period, each subject will use a unique number. The investigator will keep a separate log based on the number only.</w:t>
      </w:r>
    </w:p>
    <w:p w14:paraId="43944B3B" w14:textId="77D1880A" w:rsidR="003E7DF2" w:rsidRPr="00F16A5E" w:rsidRDefault="00F70418" w:rsidP="00F70418">
      <w:pPr>
        <w:spacing w:beforeLines="50" w:before="156" w:line="300" w:lineRule="auto"/>
        <w:rPr>
          <w:sz w:val="24"/>
        </w:rPr>
      </w:pPr>
      <w:r w:rsidRPr="00F16A5E">
        <w:rPr>
          <w:sz w:val="24"/>
        </w:rPr>
        <w:t>In order to comply with the government's regulatory guidelines and ensure the safety of the subjects, it is necessary for the sponsor and its representatives, the local study review committee or the Chinese competent authority to review the medical records of the subjects because they are closely related to this study. The full name of the subject can only be disclosed to the drug regulatory agency or other authorized government organization or health care official (if necessary), and the person designated by the sponsor.</w:t>
      </w:r>
    </w:p>
    <w:p w14:paraId="3C5CD926" w14:textId="68022DE2" w:rsidR="00F70418" w:rsidRPr="00F16A5E" w:rsidRDefault="00F70418" w:rsidP="00F70418">
      <w:pPr>
        <w:spacing w:beforeLines="50" w:before="156" w:line="300" w:lineRule="auto"/>
        <w:rPr>
          <w:sz w:val="24"/>
        </w:rPr>
      </w:pPr>
      <w:r w:rsidRPr="00F16A5E">
        <w:rPr>
          <w:sz w:val="24"/>
        </w:rPr>
        <w:t xml:space="preserve">Documents that will not be submitted to the sponsor (such as informed consent) will be kept by the </w:t>
      </w:r>
      <w:r w:rsidRPr="00F16A5E">
        <w:rPr>
          <w:sz w:val="24"/>
        </w:rPr>
        <w:lastRenderedPageBreak/>
        <w:t>investigator in an absolutely confidential manner, but the monitors appointed by the sponsor and the inspectors from the regulatory agency have the authority to access them. The documents that can identify the subject by name must not leave the study center, and the subject's identity will be kept confidential in all publications related to the study.</w:t>
      </w:r>
    </w:p>
    <w:p w14:paraId="312FA180" w14:textId="3CCF4156" w:rsidR="006E18E9" w:rsidRPr="00F16A5E" w:rsidRDefault="006E18E9" w:rsidP="006E18E9">
      <w:pPr>
        <w:pStyle w:val="3"/>
        <w:keepLines w:val="0"/>
        <w:spacing w:before="60" w:after="60" w:line="360" w:lineRule="auto"/>
        <w:rPr>
          <w:sz w:val="24"/>
          <w:szCs w:val="24"/>
        </w:rPr>
      </w:pPr>
      <w:bookmarkStart w:id="385" w:name="_Toc7170306"/>
      <w:bookmarkStart w:id="386" w:name="_Toc9456236"/>
      <w:bookmarkStart w:id="387" w:name="_Toc20224911"/>
      <w:bookmarkStart w:id="388" w:name="_Toc71149216"/>
      <w:r w:rsidRPr="00F16A5E">
        <w:rPr>
          <w:sz w:val="24"/>
          <w:szCs w:val="24"/>
        </w:rPr>
        <w:t>10.1.3</w:t>
      </w:r>
      <w:bookmarkEnd w:id="385"/>
      <w:bookmarkEnd w:id="386"/>
      <w:bookmarkEnd w:id="387"/>
      <w:r w:rsidR="00F70418" w:rsidRPr="00F16A5E">
        <w:rPr>
          <w:sz w:val="24"/>
          <w:szCs w:val="24"/>
        </w:rPr>
        <w:tab/>
        <w:t>Key Role and Study Management</w:t>
      </w:r>
      <w:bookmarkEnd w:id="388"/>
    </w:p>
    <w:p w14:paraId="065127C1" w14:textId="440F94D5" w:rsidR="00F70418" w:rsidRPr="00F16A5E" w:rsidRDefault="00F70418" w:rsidP="00F70418">
      <w:pPr>
        <w:spacing w:beforeLines="50" w:before="156" w:line="300" w:lineRule="auto"/>
        <w:rPr>
          <w:sz w:val="24"/>
        </w:rPr>
      </w:pPr>
      <w:r w:rsidRPr="00F16A5E">
        <w:rPr>
          <w:sz w:val="24"/>
        </w:rPr>
        <w:t xml:space="preserve">The sponsor will provide the study center with study-related </w:t>
      </w:r>
      <w:r w:rsidR="00945C2D" w:rsidRPr="00F16A5E">
        <w:rPr>
          <w:sz w:val="24"/>
        </w:rPr>
        <w:t>I</w:t>
      </w:r>
      <w:r w:rsidRPr="00F16A5E">
        <w:rPr>
          <w:sz w:val="24"/>
        </w:rPr>
        <w:t xml:space="preserve">nvestigator’s </w:t>
      </w:r>
      <w:r w:rsidR="00945C2D" w:rsidRPr="00F16A5E">
        <w:rPr>
          <w:sz w:val="24"/>
        </w:rPr>
        <w:t>B</w:t>
      </w:r>
      <w:r w:rsidRPr="00F16A5E">
        <w:rPr>
          <w:sz w:val="24"/>
        </w:rPr>
        <w:t xml:space="preserve">rochure and other materials and study funding, and provide the qualified investigational drugs for free as well as study materials including drug clinical trial approval documents, the sponsor’s business license, drug production license, copies of Good Manufacturing Practice (GMP) certificates, and original copy of drug inspection report, etc. The </w:t>
      </w:r>
      <w:r w:rsidR="00461B39" w:rsidRPr="00F16A5E">
        <w:rPr>
          <w:sz w:val="24"/>
        </w:rPr>
        <w:t>study protocol</w:t>
      </w:r>
      <w:r w:rsidRPr="00F16A5E">
        <w:rPr>
          <w:sz w:val="24"/>
        </w:rPr>
        <w:t xml:space="preserve"> will be jointly formulated by the sponsor and the investigator</w:t>
      </w:r>
      <w:r w:rsidR="00945C2D" w:rsidRPr="00F16A5E">
        <w:rPr>
          <w:sz w:val="24"/>
        </w:rPr>
        <w:t>s</w:t>
      </w:r>
      <w:r w:rsidRPr="00F16A5E">
        <w:rPr>
          <w:sz w:val="24"/>
        </w:rPr>
        <w:t xml:space="preserve"> and determined by both parties. The investigators will carry out this study in accordance with the study protocol and current national regulations.</w:t>
      </w:r>
    </w:p>
    <w:p w14:paraId="75E5C769" w14:textId="7BC6792B" w:rsidR="00F70418" w:rsidRPr="00F16A5E" w:rsidRDefault="00F70418" w:rsidP="00F70418">
      <w:pPr>
        <w:spacing w:beforeLines="50" w:before="156" w:line="300" w:lineRule="auto"/>
        <w:rPr>
          <w:sz w:val="24"/>
        </w:rPr>
      </w:pPr>
      <w:r w:rsidRPr="00F16A5E">
        <w:rPr>
          <w:sz w:val="24"/>
        </w:rPr>
        <w:t>The study center should keep all information provided by the sponsor strictly confidential, and other study participants and ethics committees are also required to adopt the same confidentiality measures. The information provided to the study center shall not be disclosed to others without the prior written permission from the sponsor.</w:t>
      </w:r>
    </w:p>
    <w:p w14:paraId="480E589E" w14:textId="456AF86B" w:rsidR="006E18E9" w:rsidRPr="00F16A5E" w:rsidRDefault="006E18E9" w:rsidP="006E18E9">
      <w:pPr>
        <w:pStyle w:val="3"/>
        <w:keepLines w:val="0"/>
        <w:spacing w:before="60" w:after="60" w:line="360" w:lineRule="auto"/>
        <w:rPr>
          <w:sz w:val="24"/>
          <w:szCs w:val="24"/>
        </w:rPr>
      </w:pPr>
      <w:bookmarkStart w:id="389" w:name="_Toc7170307"/>
      <w:bookmarkStart w:id="390" w:name="_Toc9456237"/>
      <w:bookmarkStart w:id="391" w:name="_Toc20224912"/>
      <w:bookmarkStart w:id="392" w:name="_Toc71149217"/>
      <w:r w:rsidRPr="00F16A5E">
        <w:rPr>
          <w:sz w:val="24"/>
          <w:szCs w:val="24"/>
        </w:rPr>
        <w:t>10.1.4</w:t>
      </w:r>
      <w:bookmarkEnd w:id="389"/>
      <w:bookmarkEnd w:id="390"/>
      <w:bookmarkEnd w:id="391"/>
      <w:r w:rsidR="00F70418" w:rsidRPr="00F16A5E">
        <w:rPr>
          <w:sz w:val="24"/>
          <w:szCs w:val="24"/>
        </w:rPr>
        <w:tab/>
        <w:t>Safety Supervision</w:t>
      </w:r>
      <w:bookmarkEnd w:id="392"/>
    </w:p>
    <w:p w14:paraId="696A8082" w14:textId="7E1D342E" w:rsidR="006E18E9" w:rsidRPr="00F16A5E" w:rsidRDefault="00F70418" w:rsidP="00F70418">
      <w:pPr>
        <w:spacing w:beforeLines="50" w:before="156" w:line="300" w:lineRule="auto"/>
        <w:rPr>
          <w:sz w:val="24"/>
        </w:rPr>
      </w:pPr>
      <w:r w:rsidRPr="00F16A5E">
        <w:rPr>
          <w:sz w:val="24"/>
        </w:rPr>
        <w:t xml:space="preserve">The doctors and nurses of the study center will monitor the adverse events </w:t>
      </w:r>
      <w:r w:rsidR="00945C2D" w:rsidRPr="00F16A5E">
        <w:rPr>
          <w:sz w:val="24"/>
        </w:rPr>
        <w:t>throughout</w:t>
      </w:r>
      <w:r w:rsidRPr="00F16A5E">
        <w:rPr>
          <w:sz w:val="24"/>
        </w:rPr>
        <w:t xml:space="preserve"> the study. The subjects can get in touch with the doctor during the entire study period. During the monitoring period, the subjects will be monitored for adverse events at any time, and follow-up is required outside the monitoring period to determine whether other adverse events have occurred.</w:t>
      </w:r>
    </w:p>
    <w:p w14:paraId="35D0F6A2" w14:textId="5419458E" w:rsidR="006E18E9" w:rsidRPr="00F16A5E" w:rsidRDefault="006E18E9" w:rsidP="006E18E9">
      <w:pPr>
        <w:pStyle w:val="3"/>
        <w:keepLines w:val="0"/>
        <w:spacing w:before="60" w:after="60" w:line="360" w:lineRule="auto"/>
        <w:rPr>
          <w:sz w:val="24"/>
          <w:szCs w:val="24"/>
        </w:rPr>
      </w:pPr>
      <w:bookmarkStart w:id="393" w:name="_Toc7170308"/>
      <w:bookmarkStart w:id="394" w:name="_Toc9456238"/>
      <w:bookmarkStart w:id="395" w:name="_Toc20224913"/>
      <w:bookmarkStart w:id="396" w:name="_Toc71149218"/>
      <w:r w:rsidRPr="00F16A5E">
        <w:rPr>
          <w:sz w:val="24"/>
          <w:szCs w:val="24"/>
        </w:rPr>
        <w:t>10.1.5</w:t>
      </w:r>
      <w:bookmarkEnd w:id="393"/>
      <w:bookmarkEnd w:id="394"/>
      <w:bookmarkEnd w:id="395"/>
      <w:r w:rsidR="00F70418" w:rsidRPr="00F16A5E">
        <w:rPr>
          <w:sz w:val="24"/>
          <w:szCs w:val="24"/>
        </w:rPr>
        <w:tab/>
        <w:t>Clinical Trial Monitoring</w:t>
      </w:r>
      <w:bookmarkEnd w:id="396"/>
    </w:p>
    <w:p w14:paraId="2C9284E9" w14:textId="3CE87BCF" w:rsidR="006E18E9" w:rsidRPr="00F16A5E" w:rsidRDefault="00F70418" w:rsidP="00F70418">
      <w:pPr>
        <w:keepNext/>
        <w:spacing w:line="360" w:lineRule="auto"/>
        <w:rPr>
          <w:b/>
          <w:sz w:val="24"/>
        </w:rPr>
      </w:pPr>
      <w:r w:rsidRPr="00F16A5E">
        <w:rPr>
          <w:b/>
          <w:sz w:val="24"/>
        </w:rPr>
        <w:t>Study Monitoring</w:t>
      </w:r>
    </w:p>
    <w:p w14:paraId="0C01B33E" w14:textId="2AC0A9A1" w:rsidR="006E18E9" w:rsidRPr="00F16A5E" w:rsidRDefault="00F70418" w:rsidP="00F70418">
      <w:pPr>
        <w:spacing w:beforeLines="50" w:before="156" w:line="300" w:lineRule="auto"/>
        <w:rPr>
          <w:sz w:val="24"/>
        </w:rPr>
      </w:pPr>
      <w:r w:rsidRPr="00F16A5E">
        <w:rPr>
          <w:sz w:val="24"/>
        </w:rPr>
        <w:t>The sponsor and investigators should perform their respective responsibilities, strictly follow the clinical study p</w:t>
      </w:r>
      <w:r w:rsidR="00173798" w:rsidRPr="00F16A5E">
        <w:rPr>
          <w:sz w:val="24"/>
        </w:rPr>
        <w:t>rotocol</w:t>
      </w:r>
      <w:r w:rsidRPr="00F16A5E">
        <w:rPr>
          <w:sz w:val="24"/>
        </w:rPr>
        <w:t xml:space="preserve">, and </w:t>
      </w:r>
      <w:r w:rsidR="00173798" w:rsidRPr="00F16A5E">
        <w:rPr>
          <w:sz w:val="24"/>
        </w:rPr>
        <w:t>follow</w:t>
      </w:r>
      <w:r w:rsidRPr="00F16A5E">
        <w:rPr>
          <w:sz w:val="24"/>
        </w:rPr>
        <w:t xml:space="preserve"> </w:t>
      </w:r>
      <w:r w:rsidR="00173798" w:rsidRPr="00F16A5E">
        <w:rPr>
          <w:sz w:val="24"/>
        </w:rPr>
        <w:t>corresponding SOP</w:t>
      </w:r>
      <w:r w:rsidRPr="00F16A5E">
        <w:rPr>
          <w:sz w:val="24"/>
        </w:rPr>
        <w:t>s to ensure the quality control of the clinical trial and the implementation of the quality assurance system.</w:t>
      </w:r>
    </w:p>
    <w:p w14:paraId="4737F81E" w14:textId="7B02076D" w:rsidR="00F70418" w:rsidRPr="00F16A5E" w:rsidRDefault="00F70418" w:rsidP="00F70418">
      <w:pPr>
        <w:spacing w:beforeLines="50" w:before="156" w:line="300" w:lineRule="auto"/>
        <w:rPr>
          <w:sz w:val="24"/>
        </w:rPr>
      </w:pPr>
      <w:r w:rsidRPr="00F16A5E">
        <w:rPr>
          <w:sz w:val="24"/>
        </w:rPr>
        <w:t xml:space="preserve">The main responsibility of the monitor is to supervise the study process, to ensure that the study follows the study protocol and comply with the GCP principles, to ensure that the study records and reports are accurate and complete, and to confirm that all subjects have signed an informed consent form before entering the study. In the event of any deviation from the </w:t>
      </w:r>
      <w:r w:rsidR="00461B39" w:rsidRPr="00F16A5E">
        <w:rPr>
          <w:sz w:val="24"/>
        </w:rPr>
        <w:t>study protocol</w:t>
      </w:r>
      <w:r w:rsidRPr="00F16A5E">
        <w:rPr>
          <w:sz w:val="24"/>
        </w:rPr>
        <w:t xml:space="preserve"> during the study, the monitor shall report to the sponsor in a timely manner.</w:t>
      </w:r>
    </w:p>
    <w:p w14:paraId="71A4FDE2" w14:textId="1A7A9E60" w:rsidR="006E18E9" w:rsidRPr="00F16A5E" w:rsidRDefault="00F70418" w:rsidP="00F70418">
      <w:pPr>
        <w:keepNext/>
        <w:spacing w:line="360" w:lineRule="auto"/>
        <w:rPr>
          <w:b/>
          <w:sz w:val="24"/>
        </w:rPr>
      </w:pPr>
      <w:r w:rsidRPr="00F16A5E">
        <w:rPr>
          <w:b/>
          <w:sz w:val="24"/>
        </w:rPr>
        <w:t>Audits and Inspections</w:t>
      </w:r>
    </w:p>
    <w:p w14:paraId="1B75B6CA" w14:textId="77777777" w:rsidR="00F70418" w:rsidRPr="00F16A5E" w:rsidRDefault="00F70418" w:rsidP="00F70418">
      <w:pPr>
        <w:spacing w:beforeLines="50" w:before="156" w:line="300" w:lineRule="auto"/>
        <w:rPr>
          <w:sz w:val="24"/>
        </w:rPr>
      </w:pPr>
      <w:r w:rsidRPr="00F16A5E">
        <w:rPr>
          <w:sz w:val="24"/>
        </w:rPr>
        <w:t xml:space="preserve">Regulatory authorities, ethics committees, and/or the sponsor may visit the study center to audit or </w:t>
      </w:r>
      <w:r w:rsidRPr="00F16A5E">
        <w:rPr>
          <w:sz w:val="24"/>
        </w:rPr>
        <w:lastRenderedPageBreak/>
        <w:t>inspect the study to ensure that the study process, eCRF completion, and all other reports comply with the clinical study protocol, GCP, Declaration of Helsinki, and related regulations. The monitor will perform the source data verification for the eCRF to ensure the credibility of the data. Quality control will be carried out at each stage of the study to ensure the reliability of the data and the correctness of the study process. The quality control will be carried out in accordance with the quality management operation manual of the sponsor. When the investigator receives the inspection notice from the regulatory agency, he/she must immediately inform the sponsor.</w:t>
      </w:r>
    </w:p>
    <w:p w14:paraId="3C7AEC41" w14:textId="10A78441" w:rsidR="006E18E9" w:rsidRPr="00F16A5E" w:rsidRDefault="006E18E9" w:rsidP="006E18E9">
      <w:pPr>
        <w:pStyle w:val="3"/>
        <w:keepLines w:val="0"/>
        <w:spacing w:before="60" w:after="60" w:line="360" w:lineRule="auto"/>
        <w:rPr>
          <w:sz w:val="24"/>
          <w:szCs w:val="24"/>
        </w:rPr>
      </w:pPr>
      <w:bookmarkStart w:id="397" w:name="_Toc7170309"/>
      <w:bookmarkStart w:id="398" w:name="_Toc9456239"/>
      <w:bookmarkStart w:id="399" w:name="_Toc20224914"/>
      <w:bookmarkStart w:id="400" w:name="_Toc71149219"/>
      <w:r w:rsidRPr="00F16A5E">
        <w:rPr>
          <w:sz w:val="24"/>
          <w:szCs w:val="24"/>
        </w:rPr>
        <w:t>10.1.6</w:t>
      </w:r>
      <w:bookmarkEnd w:id="397"/>
      <w:bookmarkEnd w:id="398"/>
      <w:bookmarkEnd w:id="399"/>
      <w:r w:rsidR="00F70418" w:rsidRPr="00F16A5E">
        <w:rPr>
          <w:sz w:val="24"/>
          <w:szCs w:val="24"/>
        </w:rPr>
        <w:tab/>
        <w:t>Quality Assurance and Quality Control</w:t>
      </w:r>
      <w:bookmarkEnd w:id="400"/>
    </w:p>
    <w:p w14:paraId="52C64417" w14:textId="1DEE964E" w:rsidR="006E18E9" w:rsidRPr="00F16A5E" w:rsidRDefault="00F70418" w:rsidP="00F70418">
      <w:pPr>
        <w:spacing w:beforeLines="50" w:before="156" w:line="300" w:lineRule="auto"/>
        <w:rPr>
          <w:sz w:val="24"/>
        </w:rPr>
      </w:pPr>
      <w:r w:rsidRPr="00F16A5E">
        <w:rPr>
          <w:sz w:val="24"/>
        </w:rPr>
        <w:t>Before the study is officially launched, the sponsor and the investigator</w:t>
      </w:r>
      <w:r w:rsidR="00945C2D" w:rsidRPr="00F16A5E">
        <w:rPr>
          <w:sz w:val="24"/>
        </w:rPr>
        <w:t>s</w:t>
      </w:r>
      <w:r w:rsidRPr="00F16A5E">
        <w:rPr>
          <w:sz w:val="24"/>
        </w:rPr>
        <w:t xml:space="preserve"> will discuss and formulate a clinical </w:t>
      </w:r>
      <w:r w:rsidR="00461B39" w:rsidRPr="00F16A5E">
        <w:rPr>
          <w:sz w:val="24"/>
        </w:rPr>
        <w:t>study protocol</w:t>
      </w:r>
      <w:r w:rsidRPr="00F16A5E">
        <w:rPr>
          <w:sz w:val="24"/>
        </w:rPr>
        <w:t xml:space="preserve"> to ensure the quality of the study. Relevant personnel participating in the trial will be trained on GCP.</w:t>
      </w:r>
    </w:p>
    <w:p w14:paraId="1C8FC6D6" w14:textId="29840C7F" w:rsidR="00F70418" w:rsidRPr="00F16A5E" w:rsidRDefault="00F70418" w:rsidP="00F70418">
      <w:pPr>
        <w:spacing w:beforeLines="50" w:before="156" w:line="300" w:lineRule="auto"/>
        <w:rPr>
          <w:sz w:val="24"/>
        </w:rPr>
      </w:pPr>
      <w:r w:rsidRPr="00F16A5E">
        <w:rPr>
          <w:sz w:val="24"/>
        </w:rPr>
        <w:t>Each study center should manage investigational drugs in accordance with SOPs, including receipt, dispensation, and return.</w:t>
      </w:r>
    </w:p>
    <w:p w14:paraId="49E0343C" w14:textId="4A51C137" w:rsidR="00F70418" w:rsidRPr="00F16A5E" w:rsidRDefault="00F70418" w:rsidP="00F70418">
      <w:pPr>
        <w:spacing w:beforeLines="50" w:before="156" w:line="300" w:lineRule="auto"/>
        <w:rPr>
          <w:sz w:val="24"/>
        </w:rPr>
      </w:pPr>
      <w:r w:rsidRPr="00F16A5E">
        <w:rPr>
          <w:sz w:val="24"/>
        </w:rPr>
        <w:t xml:space="preserve">According to the GCP guidelines, necessary steps should be taken during the design and implementation phase of the study to ensure that the collected data is accurate, consistent, complete and credible. All observed results and abnormal findings in </w:t>
      </w:r>
      <w:r w:rsidR="00945C2D" w:rsidRPr="00F16A5E">
        <w:rPr>
          <w:sz w:val="24"/>
        </w:rPr>
        <w:t xml:space="preserve">the </w:t>
      </w:r>
      <w:r w:rsidRPr="00F16A5E">
        <w:rPr>
          <w:sz w:val="24"/>
        </w:rPr>
        <w:t>clinical trial should be carefully verified and recorded in time to ensure the reliability of the data. Instruments, equipment, reagents, standards, etc. to be used in each test items in the clinical trial should meet strict quality standards and can work under normal conditions.</w:t>
      </w:r>
    </w:p>
    <w:p w14:paraId="2254C2D3" w14:textId="5E5B0322" w:rsidR="00F70418" w:rsidRPr="00F16A5E" w:rsidRDefault="00F70418" w:rsidP="00F70418">
      <w:pPr>
        <w:spacing w:beforeLines="50" w:before="156" w:line="300" w:lineRule="auto"/>
        <w:rPr>
          <w:sz w:val="24"/>
        </w:rPr>
      </w:pPr>
      <w:r w:rsidRPr="00F16A5E">
        <w:rPr>
          <w:sz w:val="24"/>
        </w:rPr>
        <w:t>The investigator should enter the information required by the protocol into the case report form, and the monitor will verify whether it is complete and accurate, and if necessary, guide the staff of the study center to make corrections and supplements.</w:t>
      </w:r>
    </w:p>
    <w:p w14:paraId="649419AC" w14:textId="236E0274" w:rsidR="00F70418" w:rsidRPr="00F16A5E" w:rsidRDefault="00F70418" w:rsidP="00F70418">
      <w:pPr>
        <w:spacing w:beforeLines="50" w:before="156" w:line="300" w:lineRule="auto"/>
        <w:rPr>
          <w:sz w:val="24"/>
        </w:rPr>
      </w:pPr>
      <w:r w:rsidRPr="00F16A5E">
        <w:rPr>
          <w:sz w:val="24"/>
        </w:rPr>
        <w:t>The drug regulatory authority and sponsor may entrust auditors to conduct systematic inspections of clinical trial-related activities and documents to evaluate whether the trial is conducted in accordance with the protocol, SOP and relevant regulations, and whether the trial data is recorded in a timely, true, accurate and complete manner. The audit should be performed by personnel who are not directly involved in the clinical trial.</w:t>
      </w:r>
    </w:p>
    <w:p w14:paraId="5737B385" w14:textId="5A7119AE" w:rsidR="006E18E9" w:rsidRPr="00F16A5E" w:rsidRDefault="006E18E9" w:rsidP="006E18E9">
      <w:pPr>
        <w:pStyle w:val="3"/>
        <w:keepLines w:val="0"/>
        <w:spacing w:before="60" w:after="60" w:line="360" w:lineRule="auto"/>
        <w:rPr>
          <w:sz w:val="24"/>
          <w:szCs w:val="24"/>
        </w:rPr>
      </w:pPr>
      <w:bookmarkStart w:id="401" w:name="_Toc7170310"/>
      <w:bookmarkStart w:id="402" w:name="_Toc9456240"/>
      <w:bookmarkStart w:id="403" w:name="_Toc20224915"/>
      <w:bookmarkStart w:id="404" w:name="_Toc71149220"/>
      <w:r w:rsidRPr="00F16A5E">
        <w:rPr>
          <w:sz w:val="24"/>
          <w:szCs w:val="24"/>
        </w:rPr>
        <w:t>10.1.7</w:t>
      </w:r>
      <w:bookmarkEnd w:id="401"/>
      <w:bookmarkEnd w:id="402"/>
      <w:bookmarkEnd w:id="403"/>
      <w:r w:rsidR="00F70418" w:rsidRPr="00F16A5E">
        <w:rPr>
          <w:sz w:val="24"/>
          <w:szCs w:val="24"/>
        </w:rPr>
        <w:tab/>
        <w:t>Data Handling and Record Retention</w:t>
      </w:r>
      <w:bookmarkEnd w:id="404"/>
    </w:p>
    <w:p w14:paraId="0EEED8AD" w14:textId="5F8F5B22" w:rsidR="006E18E9" w:rsidRPr="00F16A5E" w:rsidRDefault="006E18E9" w:rsidP="006E18E9">
      <w:pPr>
        <w:spacing w:line="360" w:lineRule="auto"/>
        <w:rPr>
          <w:b/>
          <w:sz w:val="24"/>
        </w:rPr>
      </w:pPr>
      <w:bookmarkStart w:id="405" w:name="_Toc493767085"/>
      <w:bookmarkStart w:id="406" w:name="_Toc505011260"/>
      <w:r w:rsidRPr="00F16A5E">
        <w:rPr>
          <w:b/>
          <w:sz w:val="24"/>
        </w:rPr>
        <w:t>10.1.7.1</w:t>
      </w:r>
      <w:bookmarkEnd w:id="405"/>
      <w:bookmarkEnd w:id="406"/>
      <w:r w:rsidR="00F70418" w:rsidRPr="00F16A5E">
        <w:rPr>
          <w:b/>
          <w:sz w:val="24"/>
        </w:rPr>
        <w:tab/>
        <w:t>Responsibilities of Data Collection and Management</w:t>
      </w:r>
    </w:p>
    <w:p w14:paraId="5E8A37BA" w14:textId="4D377282" w:rsidR="00F70418" w:rsidRPr="00F16A5E" w:rsidRDefault="00F70418" w:rsidP="00F70418">
      <w:pPr>
        <w:spacing w:beforeLines="50" w:before="156" w:line="300" w:lineRule="auto"/>
        <w:rPr>
          <w:bCs/>
          <w:sz w:val="24"/>
        </w:rPr>
      </w:pPr>
      <w:bookmarkStart w:id="407" w:name="_Toc448436656"/>
      <w:bookmarkStart w:id="408" w:name="_Toc487477918"/>
      <w:r w:rsidRPr="00F16A5E">
        <w:rPr>
          <w:bCs/>
          <w:sz w:val="24"/>
        </w:rPr>
        <w:t xml:space="preserve">The trained clinical investigators will follow the study protocol and standard operating procedures, and use the original medical records to collect all pre-specified subject information in a standardized, complete and accurate manner (the original test reports should be uniformly pasted in the specified positions of the original medical records). Attention should be paid to protecting the privacy of </w:t>
      </w:r>
      <w:r w:rsidRPr="00F16A5E">
        <w:rPr>
          <w:bCs/>
          <w:sz w:val="24"/>
        </w:rPr>
        <w:lastRenderedPageBreak/>
        <w:t>subjects during the collection process. The investigator will review all collected data to ensure that all data are recorded in a timely, accurate and complete manner, and are responsible for the authenticity of the data. If an adverse event occurs during the study, the investigator should confirm that all adverse events are recorded in a standardized manner, and that serious adverse events are reported and recorded as required. During the study process, it should be ensured that the data and documents are stored in a safe and complete manner. After the study is completed, the data and related documents should be archived in accordance with the agreement.</w:t>
      </w:r>
    </w:p>
    <w:p w14:paraId="6330D4A5" w14:textId="248E0E71" w:rsidR="00F70418" w:rsidRPr="00F16A5E" w:rsidRDefault="00F70418" w:rsidP="00F70418">
      <w:pPr>
        <w:spacing w:beforeLines="50" w:before="156" w:line="300" w:lineRule="auto"/>
        <w:rPr>
          <w:bCs/>
          <w:sz w:val="24"/>
        </w:rPr>
      </w:pPr>
      <w:r w:rsidRPr="00F16A5E">
        <w:rPr>
          <w:bCs/>
          <w:sz w:val="24"/>
        </w:rPr>
        <w:t>This study will use the Electronic Data Capture (EDC) system to collect all study data, and the investigator has the responsibility to enter the study data into EDC in a timely and accurate manner. The sponsor’s monitor should confirm that all data records and reports are correct and complete, and all data in EDC are consistent with the source data.</w:t>
      </w:r>
    </w:p>
    <w:p w14:paraId="73825121" w14:textId="59EA9781" w:rsidR="006E18E9" w:rsidRPr="00F16A5E" w:rsidRDefault="006E18E9" w:rsidP="006E18E9">
      <w:pPr>
        <w:spacing w:line="360" w:lineRule="auto"/>
        <w:rPr>
          <w:b/>
          <w:sz w:val="24"/>
        </w:rPr>
      </w:pPr>
      <w:r w:rsidRPr="00F16A5E">
        <w:rPr>
          <w:b/>
          <w:sz w:val="24"/>
        </w:rPr>
        <w:t>10.1.7.2</w:t>
      </w:r>
      <w:bookmarkEnd w:id="407"/>
      <w:bookmarkEnd w:id="408"/>
      <w:r w:rsidR="00F70418" w:rsidRPr="00F16A5E">
        <w:rPr>
          <w:b/>
          <w:sz w:val="24"/>
        </w:rPr>
        <w:tab/>
        <w:t>Study Record Retention</w:t>
      </w:r>
    </w:p>
    <w:p w14:paraId="496E92D1" w14:textId="3EC2D413" w:rsidR="00F70418" w:rsidRPr="00F16A5E" w:rsidRDefault="00F70418" w:rsidP="00F70418">
      <w:pPr>
        <w:pStyle w:val="21"/>
        <w:spacing w:beforeLines="50" w:before="156" w:line="300" w:lineRule="auto"/>
        <w:ind w:firstLineChars="0" w:firstLine="0"/>
        <w:rPr>
          <w:rFonts w:ascii="Times New Roman" w:hAnsi="Times New Roman"/>
          <w:sz w:val="24"/>
          <w:szCs w:val="24"/>
        </w:rPr>
      </w:pPr>
      <w:bookmarkStart w:id="409" w:name="_Toc493767087"/>
      <w:bookmarkStart w:id="410" w:name="_Toc505011262"/>
      <w:r w:rsidRPr="00F16A5E">
        <w:rPr>
          <w:rFonts w:ascii="Times New Roman" w:hAnsi="Times New Roman"/>
          <w:sz w:val="24"/>
          <w:szCs w:val="24"/>
        </w:rPr>
        <w:t xml:space="preserve">In order to facilitate the evaluation and supervision of clinical trials by the State Food and Drug Administration and the sponsor, any study center should properly keep all relevant trial data, including documents that can confirm the identity of the subject (such as original signed informed consent form, subject identification code form and original medical record), </w:t>
      </w:r>
      <w:r w:rsidR="00C8602B" w:rsidRPr="00F16A5E">
        <w:rPr>
          <w:rFonts w:ascii="Times New Roman" w:hAnsi="Times New Roman"/>
          <w:sz w:val="24"/>
          <w:szCs w:val="24"/>
        </w:rPr>
        <w:t>investigational</w:t>
      </w:r>
      <w:r w:rsidRPr="00F16A5E">
        <w:rPr>
          <w:rFonts w:ascii="Times New Roman" w:hAnsi="Times New Roman"/>
          <w:sz w:val="24"/>
          <w:szCs w:val="24"/>
        </w:rPr>
        <w:t xml:space="preserve"> drug dispensation / return records, etc. All study documents should be kept until 5 years after the end of this clinical study. All data generated in this clinical study are the sole and exclusive property of the sponsor and should not be made available in any form to third parties without written permission from the sponsor (except for National or Local Food &amp; Drug Administration). After the study is completed, the participating study </w:t>
      </w:r>
      <w:r w:rsidR="005F4F3B" w:rsidRPr="00F16A5E">
        <w:rPr>
          <w:rFonts w:ascii="Times New Roman" w:hAnsi="Times New Roman"/>
          <w:sz w:val="24"/>
          <w:szCs w:val="24"/>
        </w:rPr>
        <w:t>center</w:t>
      </w:r>
      <w:r w:rsidRPr="00F16A5E">
        <w:rPr>
          <w:rFonts w:ascii="Times New Roman" w:hAnsi="Times New Roman"/>
          <w:sz w:val="24"/>
          <w:szCs w:val="24"/>
        </w:rPr>
        <w:t>s have the right to publish the relevant elements of the study in the form of a paper and declare achievement, but the written permission from the sponsor is required before the paper is submitted for publication. Each study center should not publish articles or declare achievements before the overall study results have been published.</w:t>
      </w:r>
    </w:p>
    <w:p w14:paraId="707E4E4D" w14:textId="29AB6515" w:rsidR="006E18E9" w:rsidRPr="00F16A5E" w:rsidRDefault="006E18E9" w:rsidP="006E18E9">
      <w:pPr>
        <w:pStyle w:val="3"/>
        <w:keepLines w:val="0"/>
        <w:spacing w:before="60" w:after="60" w:line="360" w:lineRule="auto"/>
        <w:rPr>
          <w:sz w:val="24"/>
          <w:szCs w:val="24"/>
        </w:rPr>
      </w:pPr>
      <w:bookmarkStart w:id="411" w:name="_Toc7170311"/>
      <w:bookmarkStart w:id="412" w:name="_Toc9456241"/>
      <w:bookmarkStart w:id="413" w:name="_Toc20224916"/>
      <w:bookmarkStart w:id="414" w:name="_Toc71149221"/>
      <w:bookmarkEnd w:id="409"/>
      <w:bookmarkEnd w:id="410"/>
      <w:r w:rsidRPr="00F16A5E">
        <w:rPr>
          <w:sz w:val="24"/>
          <w:szCs w:val="24"/>
        </w:rPr>
        <w:t>10.1.8</w:t>
      </w:r>
      <w:bookmarkEnd w:id="411"/>
      <w:bookmarkEnd w:id="412"/>
      <w:bookmarkEnd w:id="413"/>
      <w:r w:rsidR="00F70418" w:rsidRPr="00F16A5E">
        <w:rPr>
          <w:sz w:val="24"/>
          <w:szCs w:val="24"/>
        </w:rPr>
        <w:tab/>
        <w:t>Protocol Deviations</w:t>
      </w:r>
      <w:bookmarkEnd w:id="414"/>
    </w:p>
    <w:p w14:paraId="6BE03DC8" w14:textId="7EA13B80" w:rsidR="00F70418" w:rsidRPr="00F16A5E" w:rsidRDefault="00F70418" w:rsidP="00F70418">
      <w:pPr>
        <w:spacing w:beforeLines="50" w:before="156" w:line="300" w:lineRule="auto"/>
        <w:rPr>
          <w:sz w:val="24"/>
        </w:rPr>
      </w:pPr>
      <w:r w:rsidRPr="00F16A5E">
        <w:rPr>
          <w:sz w:val="24"/>
        </w:rPr>
        <w:t>The study protocol must be strictly implemented after being discussed and agreed by the sponsor and investigator, and approved by the ethics committee. Any intentional or unintentional deviation or violation of the study protocol and GCP principles, can be classified as a deviation from the protocol or a violation of the protocol. During the monitoring process, if the monitor finds a deviation from the protocol, the investigator or monitor should complete the record of the violation of the protocol, and record the time of the detailed discovery, the time and process of the incident, the reason, and the corresponding measures, which shall be signed by the investigator and notified to the ethics committee and the sponsor.</w:t>
      </w:r>
    </w:p>
    <w:p w14:paraId="5AC820DA" w14:textId="20B0D063" w:rsidR="006E18E9" w:rsidRPr="00F16A5E" w:rsidRDefault="006E18E9" w:rsidP="006E18E9">
      <w:pPr>
        <w:pStyle w:val="3"/>
        <w:keepLines w:val="0"/>
        <w:spacing w:before="60" w:after="60" w:line="360" w:lineRule="auto"/>
        <w:rPr>
          <w:sz w:val="24"/>
          <w:szCs w:val="24"/>
        </w:rPr>
      </w:pPr>
      <w:bookmarkStart w:id="415" w:name="_Toc7170312"/>
      <w:bookmarkStart w:id="416" w:name="_Toc9456242"/>
      <w:bookmarkStart w:id="417" w:name="_Toc20224917"/>
      <w:bookmarkStart w:id="418" w:name="_Toc71149222"/>
      <w:r w:rsidRPr="00F16A5E">
        <w:rPr>
          <w:sz w:val="24"/>
          <w:szCs w:val="24"/>
        </w:rPr>
        <w:lastRenderedPageBreak/>
        <w:t>10.1.9</w:t>
      </w:r>
      <w:bookmarkEnd w:id="415"/>
      <w:bookmarkEnd w:id="416"/>
      <w:bookmarkEnd w:id="417"/>
      <w:r w:rsidR="00F70418" w:rsidRPr="00F16A5E">
        <w:rPr>
          <w:sz w:val="24"/>
          <w:szCs w:val="24"/>
        </w:rPr>
        <w:tab/>
        <w:t>Study Publication and Data Sharing Policy</w:t>
      </w:r>
      <w:bookmarkEnd w:id="418"/>
    </w:p>
    <w:p w14:paraId="37AC54D3" w14:textId="77777777" w:rsidR="00F70418" w:rsidRPr="00F16A5E" w:rsidRDefault="00F70418" w:rsidP="00F70418">
      <w:pPr>
        <w:adjustRightInd w:val="0"/>
        <w:spacing w:beforeLines="50" w:before="156" w:line="300" w:lineRule="auto"/>
        <w:jc w:val="left"/>
        <w:textAlignment w:val="baseline"/>
        <w:rPr>
          <w:sz w:val="24"/>
        </w:rPr>
      </w:pPr>
      <w:r w:rsidRPr="00F16A5E">
        <w:rPr>
          <w:sz w:val="24"/>
        </w:rPr>
        <w:t>Regarding the publication of the results of this study, whether part or all, should be approved by Beijing InnoCare Pharma Tech. Co. Ltd.. Without the consent of Beijing InnoCare Pharma Tech. Co. Ltd., investigators are not allowed to publish any relevant study data or information.</w:t>
      </w:r>
    </w:p>
    <w:p w14:paraId="2F3E4CE6" w14:textId="61184BE0" w:rsidR="00F70418" w:rsidRPr="00F16A5E" w:rsidRDefault="00F70418" w:rsidP="00F70418">
      <w:pPr>
        <w:adjustRightInd w:val="0"/>
        <w:spacing w:beforeLines="50" w:before="156" w:line="300" w:lineRule="auto"/>
        <w:jc w:val="left"/>
        <w:textAlignment w:val="baseline"/>
        <w:rPr>
          <w:sz w:val="24"/>
        </w:rPr>
      </w:pPr>
      <w:r w:rsidRPr="00F16A5E">
        <w:rPr>
          <w:sz w:val="24"/>
        </w:rPr>
        <w:t>Beijing InnoCare Pharma Tech. Co. Ltd. and the monitors can view the data for the purpose of inspection. When relevant personnel who are not directly involved in the study need to audit the data or the drug regulatory authority to inspect the data, the study center shall provide the data in a timely manner.</w:t>
      </w:r>
    </w:p>
    <w:p w14:paraId="4CD7883E" w14:textId="069BF8BD"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419" w:name="_Toc9456243"/>
      <w:bookmarkStart w:id="420" w:name="_Toc20224918"/>
      <w:bookmarkStart w:id="421" w:name="_Toc71149223"/>
      <w:r w:rsidRPr="00F16A5E">
        <w:rPr>
          <w:rFonts w:ascii="Times New Roman" w:eastAsia="宋体" w:hAnsi="Times New Roman"/>
          <w:sz w:val="24"/>
        </w:rPr>
        <w:t>10.2</w:t>
      </w:r>
      <w:bookmarkEnd w:id="419"/>
      <w:bookmarkEnd w:id="420"/>
      <w:r w:rsidR="00310B16" w:rsidRPr="00F16A5E">
        <w:rPr>
          <w:rFonts w:ascii="Times New Roman" w:eastAsia="宋体" w:hAnsi="Times New Roman"/>
          <w:sz w:val="24"/>
        </w:rPr>
        <w:tab/>
        <w:t>List of Abbreviations</w:t>
      </w:r>
      <w:bookmarkEnd w:id="4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894"/>
        <w:gridCol w:w="3174"/>
      </w:tblGrid>
      <w:tr w:rsidR="006E18E9" w:rsidRPr="00F16A5E" w14:paraId="3F0046A7" w14:textId="77777777" w:rsidTr="00081856">
        <w:trPr>
          <w:trHeight w:val="340"/>
          <w:tblHeader/>
          <w:jc w:val="center"/>
        </w:trPr>
        <w:tc>
          <w:tcPr>
            <w:tcW w:w="1560" w:type="dxa"/>
            <w:shd w:val="clear" w:color="auto" w:fill="auto"/>
            <w:vAlign w:val="center"/>
          </w:tcPr>
          <w:p w14:paraId="0392827A" w14:textId="4B07BB41" w:rsidR="006E18E9" w:rsidRPr="00F16A5E" w:rsidRDefault="00310B16" w:rsidP="00880C9B">
            <w:pPr>
              <w:pStyle w:val="TableCellCenter"/>
              <w:keepNext w:val="0"/>
              <w:keepLines w:val="0"/>
              <w:spacing w:before="0" w:after="0"/>
              <w:jc w:val="both"/>
              <w:rPr>
                <w:rFonts w:ascii="Times New Roman" w:eastAsia="宋体" w:hAnsi="Times New Roman"/>
                <w:b/>
                <w:sz w:val="21"/>
                <w:szCs w:val="21"/>
                <w:lang w:eastAsia="zh-CN"/>
              </w:rPr>
            </w:pPr>
            <w:r w:rsidRPr="00F16A5E">
              <w:rPr>
                <w:rFonts w:ascii="Times New Roman" w:eastAsia="宋体" w:hAnsi="Times New Roman"/>
                <w:b/>
                <w:sz w:val="21"/>
                <w:szCs w:val="21"/>
                <w:lang w:eastAsia="zh-CN"/>
              </w:rPr>
              <w:t>Abbr.</w:t>
            </w:r>
          </w:p>
        </w:tc>
        <w:tc>
          <w:tcPr>
            <w:tcW w:w="4894" w:type="dxa"/>
            <w:shd w:val="clear" w:color="auto" w:fill="auto"/>
            <w:vAlign w:val="center"/>
          </w:tcPr>
          <w:p w14:paraId="26A42E88" w14:textId="74D6532A" w:rsidR="006E18E9" w:rsidRPr="00F16A5E" w:rsidRDefault="00310B16" w:rsidP="00880C9B">
            <w:pPr>
              <w:pStyle w:val="TableCellCenter"/>
              <w:keepNext w:val="0"/>
              <w:keepLines w:val="0"/>
              <w:spacing w:before="0" w:after="0"/>
              <w:jc w:val="both"/>
              <w:rPr>
                <w:rFonts w:ascii="Times New Roman" w:eastAsia="宋体" w:hAnsi="Times New Roman"/>
                <w:b/>
                <w:sz w:val="21"/>
                <w:szCs w:val="21"/>
              </w:rPr>
            </w:pPr>
            <w:r w:rsidRPr="00F16A5E">
              <w:rPr>
                <w:rFonts w:ascii="Times New Roman" w:eastAsia="宋体" w:hAnsi="Times New Roman"/>
                <w:b/>
                <w:sz w:val="21"/>
                <w:szCs w:val="21"/>
                <w:lang w:eastAsia="zh-CN"/>
              </w:rPr>
              <w:t xml:space="preserve">Full Name in English </w:t>
            </w:r>
          </w:p>
        </w:tc>
        <w:tc>
          <w:tcPr>
            <w:tcW w:w="3174" w:type="dxa"/>
            <w:shd w:val="clear" w:color="auto" w:fill="auto"/>
            <w:vAlign w:val="center"/>
          </w:tcPr>
          <w:p w14:paraId="0399D154" w14:textId="09B4F81C" w:rsidR="006E18E9" w:rsidRPr="00F16A5E" w:rsidRDefault="00310B16" w:rsidP="00880C9B">
            <w:pPr>
              <w:pStyle w:val="TableCellCenter"/>
              <w:keepNext w:val="0"/>
              <w:keepLines w:val="0"/>
              <w:spacing w:before="0" w:after="0"/>
              <w:jc w:val="both"/>
              <w:rPr>
                <w:rFonts w:ascii="Times New Roman" w:eastAsia="宋体" w:hAnsi="Times New Roman"/>
                <w:b/>
                <w:sz w:val="21"/>
                <w:szCs w:val="21"/>
                <w:lang w:eastAsia="zh-CN"/>
              </w:rPr>
            </w:pPr>
            <w:r w:rsidRPr="00F16A5E">
              <w:rPr>
                <w:rFonts w:ascii="Times New Roman" w:eastAsia="宋体" w:hAnsi="Times New Roman"/>
                <w:b/>
                <w:sz w:val="21"/>
                <w:szCs w:val="21"/>
                <w:lang w:eastAsia="zh-CN"/>
              </w:rPr>
              <w:t>Full Name in Chinese</w:t>
            </w:r>
          </w:p>
        </w:tc>
      </w:tr>
      <w:tr w:rsidR="006E18E9" w:rsidRPr="00F16A5E" w14:paraId="3DB13A43" w14:textId="77777777" w:rsidTr="00081856">
        <w:trPr>
          <w:trHeight w:val="340"/>
          <w:jc w:val="center"/>
        </w:trPr>
        <w:tc>
          <w:tcPr>
            <w:tcW w:w="1560" w:type="dxa"/>
            <w:shd w:val="clear" w:color="auto" w:fill="auto"/>
            <w:vAlign w:val="center"/>
          </w:tcPr>
          <w:p w14:paraId="08A344EB" w14:textId="77777777" w:rsidR="006E18E9" w:rsidRPr="00F16A5E" w:rsidRDefault="006E18E9" w:rsidP="00880C9B">
            <w:pPr>
              <w:pStyle w:val="TableCellCenter"/>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ACR</w:t>
            </w:r>
          </w:p>
        </w:tc>
        <w:tc>
          <w:tcPr>
            <w:tcW w:w="4894" w:type="dxa"/>
            <w:shd w:val="clear" w:color="auto" w:fill="auto"/>
            <w:vAlign w:val="center"/>
          </w:tcPr>
          <w:p w14:paraId="7A97B373" w14:textId="35009839" w:rsidR="006E18E9" w:rsidRPr="00F16A5E" w:rsidRDefault="006E18E9" w:rsidP="00880C9B">
            <w:pPr>
              <w:pStyle w:val="TableCellCenter"/>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 xml:space="preserve">American College </w:t>
            </w:r>
            <w:r w:rsidR="0079358D" w:rsidRPr="00F16A5E">
              <w:rPr>
                <w:rFonts w:ascii="Times New Roman" w:eastAsia="宋体" w:hAnsi="Times New Roman"/>
                <w:sz w:val="21"/>
                <w:szCs w:val="21"/>
                <w:lang w:eastAsia="zh-CN"/>
              </w:rPr>
              <w:t xml:space="preserve">of </w:t>
            </w:r>
            <w:proofErr w:type="spellStart"/>
            <w:r w:rsidRPr="00F16A5E">
              <w:rPr>
                <w:rFonts w:ascii="Times New Roman" w:eastAsia="宋体" w:hAnsi="Times New Roman"/>
                <w:sz w:val="21"/>
                <w:szCs w:val="21"/>
                <w:lang w:eastAsia="zh-CN"/>
              </w:rPr>
              <w:t>Rheumatdogy</w:t>
            </w:r>
            <w:proofErr w:type="spellEnd"/>
          </w:p>
        </w:tc>
        <w:tc>
          <w:tcPr>
            <w:tcW w:w="3174" w:type="dxa"/>
            <w:shd w:val="clear" w:color="auto" w:fill="auto"/>
            <w:vAlign w:val="center"/>
          </w:tcPr>
          <w:p w14:paraId="28CC38F1" w14:textId="77777777" w:rsidR="006E18E9" w:rsidRPr="00F16A5E" w:rsidRDefault="006E18E9" w:rsidP="00880C9B">
            <w:pPr>
              <w:pStyle w:val="TableCellCenter"/>
              <w:keepNext w:val="0"/>
              <w:keepLines w:val="0"/>
              <w:spacing w:before="0" w:after="0"/>
              <w:jc w:val="both"/>
              <w:rPr>
                <w:rFonts w:ascii="Times New Roman" w:eastAsia="宋体" w:hAnsi="Times New Roman"/>
                <w:sz w:val="21"/>
                <w:szCs w:val="21"/>
                <w:lang w:eastAsia="zh-CN"/>
              </w:rPr>
            </w:pPr>
            <w:proofErr w:type="spellStart"/>
            <w:r w:rsidRPr="00F16A5E">
              <w:rPr>
                <w:rFonts w:ascii="Times New Roman" w:eastAsia="宋体" w:hAnsi="Times New Roman"/>
                <w:sz w:val="21"/>
                <w:szCs w:val="21"/>
              </w:rPr>
              <w:t>美国风湿病学会</w:t>
            </w:r>
            <w:proofErr w:type="spellEnd"/>
          </w:p>
        </w:tc>
      </w:tr>
      <w:tr w:rsidR="006E18E9" w:rsidRPr="00F16A5E" w14:paraId="065A1D49" w14:textId="77777777" w:rsidTr="00081856">
        <w:trPr>
          <w:trHeight w:val="340"/>
          <w:jc w:val="center"/>
        </w:trPr>
        <w:tc>
          <w:tcPr>
            <w:tcW w:w="1560" w:type="dxa"/>
            <w:shd w:val="clear" w:color="auto" w:fill="auto"/>
            <w:vAlign w:val="center"/>
          </w:tcPr>
          <w:p w14:paraId="5314E57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AE</w:t>
            </w:r>
          </w:p>
        </w:tc>
        <w:tc>
          <w:tcPr>
            <w:tcW w:w="4894" w:type="dxa"/>
            <w:shd w:val="clear" w:color="auto" w:fill="auto"/>
            <w:vAlign w:val="center"/>
          </w:tcPr>
          <w:p w14:paraId="63B41138" w14:textId="18EDD93A"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Adverse Event</w:t>
            </w:r>
          </w:p>
        </w:tc>
        <w:tc>
          <w:tcPr>
            <w:tcW w:w="3174" w:type="dxa"/>
            <w:shd w:val="clear" w:color="auto" w:fill="auto"/>
            <w:vAlign w:val="center"/>
          </w:tcPr>
          <w:p w14:paraId="0E058F60"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不良事件</w:t>
            </w:r>
          </w:p>
        </w:tc>
      </w:tr>
      <w:tr w:rsidR="006E18E9" w:rsidRPr="00F16A5E" w14:paraId="34F8EF54" w14:textId="77777777" w:rsidTr="00081856">
        <w:trPr>
          <w:trHeight w:val="340"/>
          <w:jc w:val="center"/>
        </w:trPr>
        <w:tc>
          <w:tcPr>
            <w:tcW w:w="1560" w:type="dxa"/>
            <w:shd w:val="clear" w:color="auto" w:fill="auto"/>
            <w:vAlign w:val="center"/>
          </w:tcPr>
          <w:p w14:paraId="4A2230F7"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ALB</w:t>
            </w:r>
          </w:p>
        </w:tc>
        <w:tc>
          <w:tcPr>
            <w:tcW w:w="4894" w:type="dxa"/>
            <w:shd w:val="clear" w:color="auto" w:fill="auto"/>
            <w:vAlign w:val="center"/>
          </w:tcPr>
          <w:p w14:paraId="1CBD5D7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Albumin</w:t>
            </w:r>
          </w:p>
        </w:tc>
        <w:tc>
          <w:tcPr>
            <w:tcW w:w="3174" w:type="dxa"/>
            <w:shd w:val="clear" w:color="auto" w:fill="auto"/>
            <w:vAlign w:val="center"/>
          </w:tcPr>
          <w:p w14:paraId="27B7104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白蛋白</w:t>
            </w:r>
          </w:p>
        </w:tc>
      </w:tr>
      <w:tr w:rsidR="006E18E9" w:rsidRPr="00F16A5E" w14:paraId="5B5F5C3F" w14:textId="77777777" w:rsidTr="00081856">
        <w:trPr>
          <w:trHeight w:val="340"/>
          <w:jc w:val="center"/>
        </w:trPr>
        <w:tc>
          <w:tcPr>
            <w:tcW w:w="1560" w:type="dxa"/>
            <w:shd w:val="clear" w:color="auto" w:fill="auto"/>
            <w:vAlign w:val="center"/>
          </w:tcPr>
          <w:p w14:paraId="4D023A70"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ALT</w:t>
            </w:r>
          </w:p>
        </w:tc>
        <w:tc>
          <w:tcPr>
            <w:tcW w:w="4894" w:type="dxa"/>
            <w:shd w:val="clear" w:color="auto" w:fill="auto"/>
            <w:vAlign w:val="center"/>
          </w:tcPr>
          <w:p w14:paraId="6988BB1E" w14:textId="35C6F296"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Alanine Aminotransferase</w:t>
            </w:r>
          </w:p>
        </w:tc>
        <w:tc>
          <w:tcPr>
            <w:tcW w:w="3174" w:type="dxa"/>
            <w:shd w:val="clear" w:color="auto" w:fill="auto"/>
            <w:vAlign w:val="center"/>
          </w:tcPr>
          <w:p w14:paraId="3D7F655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谷丙转氨酶</w:t>
            </w:r>
          </w:p>
        </w:tc>
      </w:tr>
      <w:tr w:rsidR="006E18E9" w:rsidRPr="00F16A5E" w14:paraId="3A2246E5" w14:textId="77777777" w:rsidTr="00081856">
        <w:trPr>
          <w:trHeight w:val="340"/>
          <w:jc w:val="center"/>
        </w:trPr>
        <w:tc>
          <w:tcPr>
            <w:tcW w:w="1560" w:type="dxa"/>
            <w:shd w:val="clear" w:color="auto" w:fill="auto"/>
            <w:vAlign w:val="center"/>
          </w:tcPr>
          <w:p w14:paraId="7462CC14"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AMS</w:t>
            </w:r>
          </w:p>
        </w:tc>
        <w:tc>
          <w:tcPr>
            <w:tcW w:w="4894" w:type="dxa"/>
            <w:shd w:val="clear" w:color="auto" w:fill="auto"/>
            <w:vAlign w:val="center"/>
          </w:tcPr>
          <w:p w14:paraId="0D3C0A63"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Amylase</w:t>
            </w:r>
          </w:p>
        </w:tc>
        <w:tc>
          <w:tcPr>
            <w:tcW w:w="3174" w:type="dxa"/>
            <w:shd w:val="clear" w:color="auto" w:fill="auto"/>
            <w:vAlign w:val="center"/>
          </w:tcPr>
          <w:p w14:paraId="536739D3"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淀粉酶</w:t>
            </w:r>
          </w:p>
        </w:tc>
      </w:tr>
      <w:tr w:rsidR="006E18E9" w:rsidRPr="00F16A5E" w14:paraId="5C4656A7" w14:textId="77777777" w:rsidTr="00081856">
        <w:trPr>
          <w:trHeight w:val="340"/>
          <w:jc w:val="center"/>
        </w:trPr>
        <w:tc>
          <w:tcPr>
            <w:tcW w:w="1560" w:type="dxa"/>
            <w:shd w:val="clear" w:color="auto" w:fill="auto"/>
            <w:vAlign w:val="center"/>
          </w:tcPr>
          <w:p w14:paraId="5006809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AMY</w:t>
            </w:r>
          </w:p>
        </w:tc>
        <w:tc>
          <w:tcPr>
            <w:tcW w:w="4894" w:type="dxa"/>
            <w:shd w:val="clear" w:color="auto" w:fill="auto"/>
            <w:vAlign w:val="center"/>
          </w:tcPr>
          <w:p w14:paraId="248083BE"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Amylase</w:t>
            </w:r>
          </w:p>
        </w:tc>
        <w:tc>
          <w:tcPr>
            <w:tcW w:w="3174" w:type="dxa"/>
            <w:shd w:val="clear" w:color="auto" w:fill="auto"/>
            <w:vAlign w:val="center"/>
          </w:tcPr>
          <w:p w14:paraId="714AC3C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淀粉酶</w:t>
            </w:r>
          </w:p>
        </w:tc>
      </w:tr>
      <w:tr w:rsidR="006E18E9" w:rsidRPr="00F16A5E" w14:paraId="30569E8A" w14:textId="77777777" w:rsidTr="00081856">
        <w:trPr>
          <w:trHeight w:val="340"/>
          <w:jc w:val="center"/>
        </w:trPr>
        <w:tc>
          <w:tcPr>
            <w:tcW w:w="1560" w:type="dxa"/>
            <w:shd w:val="clear" w:color="auto" w:fill="auto"/>
            <w:vAlign w:val="center"/>
          </w:tcPr>
          <w:p w14:paraId="11773417"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ANA</w:t>
            </w:r>
          </w:p>
        </w:tc>
        <w:tc>
          <w:tcPr>
            <w:tcW w:w="4894" w:type="dxa"/>
            <w:shd w:val="clear" w:color="auto" w:fill="auto"/>
            <w:vAlign w:val="center"/>
          </w:tcPr>
          <w:p w14:paraId="25160DA8" w14:textId="5D3F54CF"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Antinuclear Antibody</w:t>
            </w:r>
          </w:p>
        </w:tc>
        <w:tc>
          <w:tcPr>
            <w:tcW w:w="3174" w:type="dxa"/>
            <w:shd w:val="clear" w:color="auto" w:fill="auto"/>
            <w:vAlign w:val="center"/>
          </w:tcPr>
          <w:p w14:paraId="5A169B74"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抗核抗体</w:t>
            </w:r>
          </w:p>
        </w:tc>
      </w:tr>
      <w:tr w:rsidR="006E18E9" w:rsidRPr="00F16A5E" w14:paraId="0FC255ED" w14:textId="77777777" w:rsidTr="00081856">
        <w:trPr>
          <w:trHeight w:val="340"/>
          <w:jc w:val="center"/>
        </w:trPr>
        <w:tc>
          <w:tcPr>
            <w:tcW w:w="1560" w:type="dxa"/>
            <w:shd w:val="clear" w:color="auto" w:fill="auto"/>
            <w:vAlign w:val="center"/>
          </w:tcPr>
          <w:p w14:paraId="060CCF1B"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ANC</w:t>
            </w:r>
          </w:p>
        </w:tc>
        <w:tc>
          <w:tcPr>
            <w:tcW w:w="4894" w:type="dxa"/>
            <w:shd w:val="clear" w:color="auto" w:fill="auto"/>
            <w:vAlign w:val="center"/>
          </w:tcPr>
          <w:p w14:paraId="3471F06A" w14:textId="14269BC4"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 xml:space="preserve">Absolute </w:t>
            </w:r>
            <w:r w:rsidR="0079358D" w:rsidRPr="00F16A5E">
              <w:rPr>
                <w:rFonts w:ascii="Times New Roman" w:eastAsia="宋体" w:hAnsi="Times New Roman"/>
                <w:sz w:val="21"/>
                <w:szCs w:val="21"/>
              </w:rPr>
              <w:t>Value of Neutrophil Count</w:t>
            </w:r>
          </w:p>
        </w:tc>
        <w:tc>
          <w:tcPr>
            <w:tcW w:w="3174" w:type="dxa"/>
            <w:shd w:val="clear" w:color="auto" w:fill="auto"/>
            <w:vAlign w:val="center"/>
          </w:tcPr>
          <w:p w14:paraId="1220CF6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中性粒细胞计数绝对值</w:t>
            </w:r>
          </w:p>
        </w:tc>
      </w:tr>
      <w:tr w:rsidR="006E18E9" w:rsidRPr="00F16A5E" w14:paraId="66B53D83" w14:textId="77777777" w:rsidTr="00081856">
        <w:trPr>
          <w:trHeight w:val="340"/>
          <w:jc w:val="center"/>
        </w:trPr>
        <w:tc>
          <w:tcPr>
            <w:tcW w:w="1560" w:type="dxa"/>
            <w:shd w:val="clear" w:color="auto" w:fill="auto"/>
            <w:vAlign w:val="center"/>
          </w:tcPr>
          <w:p w14:paraId="2D6729F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APTT</w:t>
            </w:r>
          </w:p>
        </w:tc>
        <w:tc>
          <w:tcPr>
            <w:tcW w:w="4894" w:type="dxa"/>
            <w:shd w:val="clear" w:color="auto" w:fill="auto"/>
            <w:vAlign w:val="center"/>
          </w:tcPr>
          <w:p w14:paraId="69C17311" w14:textId="57C5D34A"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Activated Partial Thromboplastin Time</w:t>
            </w:r>
          </w:p>
        </w:tc>
        <w:tc>
          <w:tcPr>
            <w:tcW w:w="3174" w:type="dxa"/>
            <w:shd w:val="clear" w:color="auto" w:fill="auto"/>
            <w:vAlign w:val="center"/>
          </w:tcPr>
          <w:p w14:paraId="3D6855E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proofErr w:type="spellStart"/>
            <w:r w:rsidRPr="00F16A5E">
              <w:rPr>
                <w:rFonts w:ascii="Times New Roman" w:eastAsia="宋体" w:hAnsi="Times New Roman"/>
                <w:sz w:val="21"/>
                <w:szCs w:val="21"/>
              </w:rPr>
              <w:t>部分凝血活酶时间</w:t>
            </w:r>
            <w:proofErr w:type="spellEnd"/>
          </w:p>
        </w:tc>
      </w:tr>
      <w:tr w:rsidR="006E18E9" w:rsidRPr="00F16A5E" w14:paraId="3EAF44A0" w14:textId="77777777" w:rsidTr="00081856">
        <w:trPr>
          <w:trHeight w:val="340"/>
          <w:jc w:val="center"/>
        </w:trPr>
        <w:tc>
          <w:tcPr>
            <w:tcW w:w="1560" w:type="dxa"/>
            <w:shd w:val="clear" w:color="auto" w:fill="auto"/>
            <w:vAlign w:val="center"/>
          </w:tcPr>
          <w:p w14:paraId="5205B151"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AST</w:t>
            </w:r>
          </w:p>
        </w:tc>
        <w:tc>
          <w:tcPr>
            <w:tcW w:w="4894" w:type="dxa"/>
            <w:shd w:val="clear" w:color="auto" w:fill="auto"/>
            <w:vAlign w:val="center"/>
          </w:tcPr>
          <w:p w14:paraId="3F704B64" w14:textId="3A7AB08E"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Aspartate Aminotransferase</w:t>
            </w:r>
          </w:p>
        </w:tc>
        <w:tc>
          <w:tcPr>
            <w:tcW w:w="3174" w:type="dxa"/>
            <w:shd w:val="clear" w:color="auto" w:fill="auto"/>
            <w:vAlign w:val="center"/>
          </w:tcPr>
          <w:p w14:paraId="5209026F"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谷草转氨酶</w:t>
            </w:r>
          </w:p>
        </w:tc>
      </w:tr>
      <w:tr w:rsidR="006E18E9" w:rsidRPr="00F16A5E" w14:paraId="15ACCB35" w14:textId="77777777" w:rsidTr="00081856">
        <w:trPr>
          <w:trHeight w:val="340"/>
          <w:jc w:val="center"/>
        </w:trPr>
        <w:tc>
          <w:tcPr>
            <w:tcW w:w="1560" w:type="dxa"/>
            <w:shd w:val="clear" w:color="auto" w:fill="auto"/>
            <w:vAlign w:val="center"/>
          </w:tcPr>
          <w:p w14:paraId="64E881F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AUC</w:t>
            </w:r>
          </w:p>
        </w:tc>
        <w:tc>
          <w:tcPr>
            <w:tcW w:w="4894" w:type="dxa"/>
            <w:shd w:val="clear" w:color="auto" w:fill="auto"/>
            <w:vAlign w:val="center"/>
          </w:tcPr>
          <w:p w14:paraId="46CEEAC0" w14:textId="33BCB523"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 xml:space="preserve">Area Under </w:t>
            </w:r>
            <w:r w:rsidR="0079358D" w:rsidRPr="00F16A5E">
              <w:rPr>
                <w:rFonts w:ascii="Times New Roman" w:eastAsia="宋体" w:hAnsi="Times New Roman"/>
                <w:sz w:val="21"/>
                <w:szCs w:val="21"/>
              </w:rPr>
              <w:t xml:space="preserve">the </w:t>
            </w:r>
            <w:r w:rsidRPr="00F16A5E">
              <w:rPr>
                <w:rFonts w:ascii="Times New Roman" w:eastAsia="宋体" w:hAnsi="Times New Roman"/>
                <w:sz w:val="21"/>
                <w:szCs w:val="21"/>
              </w:rPr>
              <w:t>Curve</w:t>
            </w:r>
          </w:p>
        </w:tc>
        <w:tc>
          <w:tcPr>
            <w:tcW w:w="3174" w:type="dxa"/>
            <w:shd w:val="clear" w:color="auto" w:fill="auto"/>
            <w:vAlign w:val="center"/>
          </w:tcPr>
          <w:p w14:paraId="0B10918F"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浓度时间曲线下面积</w:t>
            </w:r>
          </w:p>
        </w:tc>
      </w:tr>
      <w:tr w:rsidR="006E18E9" w:rsidRPr="00F16A5E" w14:paraId="789283D1" w14:textId="77777777" w:rsidTr="00081856">
        <w:trPr>
          <w:trHeight w:val="340"/>
          <w:jc w:val="center"/>
        </w:trPr>
        <w:tc>
          <w:tcPr>
            <w:tcW w:w="1560" w:type="dxa"/>
            <w:shd w:val="clear" w:color="auto" w:fill="auto"/>
            <w:vAlign w:val="center"/>
          </w:tcPr>
          <w:p w14:paraId="20FC62D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BCR</w:t>
            </w:r>
          </w:p>
        </w:tc>
        <w:tc>
          <w:tcPr>
            <w:tcW w:w="4894" w:type="dxa"/>
            <w:shd w:val="clear" w:color="auto" w:fill="auto"/>
            <w:vAlign w:val="center"/>
          </w:tcPr>
          <w:p w14:paraId="0D685029" w14:textId="008ABDFA"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B-Cell Receptor</w:t>
            </w:r>
          </w:p>
        </w:tc>
        <w:tc>
          <w:tcPr>
            <w:tcW w:w="3174" w:type="dxa"/>
            <w:shd w:val="clear" w:color="auto" w:fill="auto"/>
            <w:vAlign w:val="center"/>
          </w:tcPr>
          <w:p w14:paraId="75D7F302"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B</w:t>
            </w:r>
            <w:r w:rsidRPr="00F16A5E">
              <w:rPr>
                <w:rFonts w:ascii="Times New Roman" w:eastAsia="宋体" w:hAnsi="Times New Roman"/>
                <w:color w:val="000000"/>
                <w:sz w:val="21"/>
                <w:szCs w:val="21"/>
                <w:lang w:eastAsia="zh-CN"/>
              </w:rPr>
              <w:t>细胞受体</w:t>
            </w:r>
          </w:p>
        </w:tc>
      </w:tr>
      <w:tr w:rsidR="006E18E9" w:rsidRPr="00F16A5E" w14:paraId="2B755F90" w14:textId="77777777" w:rsidTr="00081856">
        <w:trPr>
          <w:trHeight w:val="340"/>
          <w:jc w:val="center"/>
        </w:trPr>
        <w:tc>
          <w:tcPr>
            <w:tcW w:w="1560" w:type="dxa"/>
            <w:shd w:val="clear" w:color="auto" w:fill="auto"/>
            <w:vAlign w:val="center"/>
          </w:tcPr>
          <w:p w14:paraId="27D7DEF1"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proofErr w:type="spellStart"/>
            <w:r w:rsidRPr="00F16A5E">
              <w:rPr>
                <w:rFonts w:ascii="Times New Roman" w:eastAsia="宋体" w:hAnsi="Times New Roman"/>
                <w:color w:val="000000"/>
                <w:sz w:val="21"/>
                <w:szCs w:val="21"/>
                <w:lang w:eastAsia="zh-CN"/>
              </w:rPr>
              <w:t>Beffs</w:t>
            </w:r>
            <w:proofErr w:type="spellEnd"/>
          </w:p>
        </w:tc>
        <w:tc>
          <w:tcPr>
            <w:tcW w:w="4894" w:type="dxa"/>
            <w:shd w:val="clear" w:color="auto" w:fill="auto"/>
            <w:vAlign w:val="center"/>
          </w:tcPr>
          <w:p w14:paraId="1F907A53" w14:textId="4CF6516B"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Effector B Cells</w:t>
            </w:r>
          </w:p>
        </w:tc>
        <w:tc>
          <w:tcPr>
            <w:tcW w:w="3174" w:type="dxa"/>
            <w:shd w:val="clear" w:color="auto" w:fill="auto"/>
            <w:vAlign w:val="center"/>
          </w:tcPr>
          <w:p w14:paraId="04B19387"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效应</w:t>
            </w:r>
            <w:r w:rsidRPr="00F16A5E">
              <w:rPr>
                <w:rFonts w:ascii="Times New Roman" w:eastAsia="宋体" w:hAnsi="Times New Roman"/>
                <w:color w:val="000000"/>
                <w:sz w:val="21"/>
                <w:szCs w:val="21"/>
                <w:lang w:eastAsia="zh-CN"/>
              </w:rPr>
              <w:t>B</w:t>
            </w:r>
            <w:r w:rsidRPr="00F16A5E">
              <w:rPr>
                <w:rFonts w:ascii="Times New Roman" w:eastAsia="宋体" w:hAnsi="Times New Roman"/>
                <w:color w:val="000000"/>
                <w:sz w:val="21"/>
                <w:szCs w:val="21"/>
                <w:lang w:eastAsia="zh-CN"/>
              </w:rPr>
              <w:t>细胞</w:t>
            </w:r>
          </w:p>
        </w:tc>
      </w:tr>
      <w:tr w:rsidR="006E18E9" w:rsidRPr="00F16A5E" w14:paraId="33D85EBA" w14:textId="77777777" w:rsidTr="00081856">
        <w:trPr>
          <w:trHeight w:val="340"/>
          <w:jc w:val="center"/>
        </w:trPr>
        <w:tc>
          <w:tcPr>
            <w:tcW w:w="1560" w:type="dxa"/>
            <w:shd w:val="clear" w:color="auto" w:fill="auto"/>
            <w:vAlign w:val="center"/>
          </w:tcPr>
          <w:p w14:paraId="50DFCFA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BID</w:t>
            </w:r>
          </w:p>
        </w:tc>
        <w:tc>
          <w:tcPr>
            <w:tcW w:w="4894" w:type="dxa"/>
            <w:shd w:val="clear" w:color="auto" w:fill="auto"/>
            <w:vAlign w:val="center"/>
          </w:tcPr>
          <w:p w14:paraId="352E50A6" w14:textId="75E8D954"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 xml:space="preserve">Twice </w:t>
            </w:r>
            <w:r w:rsidR="0079358D" w:rsidRPr="00F16A5E">
              <w:rPr>
                <w:rFonts w:ascii="Times New Roman" w:eastAsia="宋体" w:hAnsi="Times New Roman"/>
                <w:color w:val="000000"/>
                <w:sz w:val="21"/>
                <w:szCs w:val="21"/>
              </w:rPr>
              <w:t xml:space="preserve">A </w:t>
            </w:r>
            <w:r w:rsidRPr="00F16A5E">
              <w:rPr>
                <w:rFonts w:ascii="Times New Roman" w:eastAsia="宋体" w:hAnsi="Times New Roman"/>
                <w:color w:val="000000"/>
                <w:sz w:val="21"/>
                <w:szCs w:val="21"/>
              </w:rPr>
              <w:t>Day</w:t>
            </w:r>
          </w:p>
        </w:tc>
        <w:tc>
          <w:tcPr>
            <w:tcW w:w="3174" w:type="dxa"/>
            <w:shd w:val="clear" w:color="auto" w:fill="auto"/>
            <w:vAlign w:val="center"/>
          </w:tcPr>
          <w:p w14:paraId="4CD8CA5E"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每天两次</w:t>
            </w:r>
          </w:p>
        </w:tc>
      </w:tr>
      <w:tr w:rsidR="006E18E9" w:rsidRPr="00F16A5E" w14:paraId="59DB0DFA" w14:textId="77777777" w:rsidTr="00081856">
        <w:trPr>
          <w:trHeight w:val="340"/>
          <w:jc w:val="center"/>
        </w:trPr>
        <w:tc>
          <w:tcPr>
            <w:tcW w:w="1560" w:type="dxa"/>
            <w:shd w:val="clear" w:color="auto" w:fill="auto"/>
            <w:vAlign w:val="center"/>
          </w:tcPr>
          <w:p w14:paraId="0EB6D29A"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BLys</w:t>
            </w:r>
          </w:p>
        </w:tc>
        <w:tc>
          <w:tcPr>
            <w:tcW w:w="4894" w:type="dxa"/>
            <w:shd w:val="clear" w:color="auto" w:fill="auto"/>
            <w:vAlign w:val="center"/>
          </w:tcPr>
          <w:p w14:paraId="16BA06EF" w14:textId="6416BC5E"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 xml:space="preserve">B </w:t>
            </w:r>
            <w:r w:rsidR="0079358D" w:rsidRPr="00F16A5E">
              <w:rPr>
                <w:rFonts w:ascii="Times New Roman" w:eastAsia="宋体" w:hAnsi="Times New Roman"/>
                <w:color w:val="000000"/>
                <w:sz w:val="21"/>
                <w:szCs w:val="21"/>
                <w:lang w:eastAsia="zh-CN"/>
              </w:rPr>
              <w:t>Lymphocyte Stimulator</w:t>
            </w:r>
          </w:p>
        </w:tc>
        <w:tc>
          <w:tcPr>
            <w:tcW w:w="3174" w:type="dxa"/>
            <w:shd w:val="clear" w:color="auto" w:fill="auto"/>
            <w:vAlign w:val="center"/>
          </w:tcPr>
          <w:p w14:paraId="79A8C002"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B</w:t>
            </w:r>
            <w:r w:rsidRPr="00F16A5E">
              <w:rPr>
                <w:rFonts w:ascii="Times New Roman" w:eastAsia="宋体" w:hAnsi="Times New Roman"/>
                <w:color w:val="000000"/>
                <w:sz w:val="21"/>
                <w:szCs w:val="21"/>
                <w:lang w:eastAsia="zh-CN"/>
              </w:rPr>
              <w:t>淋巴细胞刺激因子</w:t>
            </w:r>
          </w:p>
        </w:tc>
      </w:tr>
      <w:tr w:rsidR="006E18E9" w:rsidRPr="00F16A5E" w14:paraId="6335B672" w14:textId="77777777" w:rsidTr="00081856">
        <w:trPr>
          <w:trHeight w:val="340"/>
          <w:jc w:val="center"/>
        </w:trPr>
        <w:tc>
          <w:tcPr>
            <w:tcW w:w="1560" w:type="dxa"/>
            <w:shd w:val="clear" w:color="auto" w:fill="auto"/>
            <w:vAlign w:val="center"/>
          </w:tcPr>
          <w:p w14:paraId="43B41666"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proofErr w:type="spellStart"/>
            <w:r w:rsidRPr="00F16A5E">
              <w:rPr>
                <w:rFonts w:ascii="Times New Roman" w:eastAsia="宋体" w:hAnsi="Times New Roman"/>
                <w:color w:val="000000"/>
                <w:sz w:val="21"/>
                <w:szCs w:val="21"/>
                <w:lang w:eastAsia="zh-CN"/>
              </w:rPr>
              <w:t>Bregs</w:t>
            </w:r>
            <w:proofErr w:type="spellEnd"/>
          </w:p>
        </w:tc>
        <w:tc>
          <w:tcPr>
            <w:tcW w:w="4894" w:type="dxa"/>
            <w:shd w:val="clear" w:color="auto" w:fill="auto"/>
            <w:vAlign w:val="center"/>
          </w:tcPr>
          <w:p w14:paraId="6ECC1414" w14:textId="1704001C"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Regulatory B Cells</w:t>
            </w:r>
          </w:p>
        </w:tc>
        <w:tc>
          <w:tcPr>
            <w:tcW w:w="3174" w:type="dxa"/>
            <w:shd w:val="clear" w:color="auto" w:fill="auto"/>
            <w:vAlign w:val="center"/>
          </w:tcPr>
          <w:p w14:paraId="262B38FB"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调节性</w:t>
            </w:r>
            <w:r w:rsidRPr="00F16A5E">
              <w:rPr>
                <w:rFonts w:ascii="Times New Roman" w:eastAsia="宋体" w:hAnsi="Times New Roman"/>
                <w:color w:val="000000"/>
                <w:sz w:val="21"/>
                <w:szCs w:val="21"/>
                <w:lang w:eastAsia="zh-CN"/>
              </w:rPr>
              <w:t>B</w:t>
            </w:r>
            <w:r w:rsidRPr="00F16A5E">
              <w:rPr>
                <w:rFonts w:ascii="Times New Roman" w:eastAsia="宋体" w:hAnsi="Times New Roman"/>
                <w:color w:val="000000"/>
                <w:sz w:val="21"/>
                <w:szCs w:val="21"/>
                <w:lang w:eastAsia="zh-CN"/>
              </w:rPr>
              <w:t>细胞</w:t>
            </w:r>
          </w:p>
        </w:tc>
      </w:tr>
      <w:tr w:rsidR="006E18E9" w:rsidRPr="00F16A5E" w14:paraId="3B39CB91" w14:textId="77777777" w:rsidTr="00081856">
        <w:trPr>
          <w:trHeight w:val="340"/>
          <w:jc w:val="center"/>
        </w:trPr>
        <w:tc>
          <w:tcPr>
            <w:tcW w:w="1560" w:type="dxa"/>
            <w:shd w:val="clear" w:color="auto" w:fill="auto"/>
            <w:vAlign w:val="center"/>
          </w:tcPr>
          <w:p w14:paraId="1EA5154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BTK</w:t>
            </w:r>
          </w:p>
        </w:tc>
        <w:tc>
          <w:tcPr>
            <w:tcW w:w="4894" w:type="dxa"/>
            <w:shd w:val="clear" w:color="auto" w:fill="auto"/>
            <w:vAlign w:val="center"/>
          </w:tcPr>
          <w:p w14:paraId="3E2DDA73" w14:textId="7A116FF6"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proofErr w:type="spellStart"/>
            <w:r w:rsidRPr="00F16A5E">
              <w:rPr>
                <w:rFonts w:ascii="Times New Roman" w:eastAsia="宋体" w:hAnsi="Times New Roman"/>
                <w:color w:val="000000"/>
                <w:sz w:val="21"/>
                <w:szCs w:val="21"/>
              </w:rPr>
              <w:t>Bruton’S</w:t>
            </w:r>
            <w:proofErr w:type="spellEnd"/>
            <w:r w:rsidRPr="00F16A5E">
              <w:rPr>
                <w:rFonts w:ascii="Times New Roman" w:eastAsia="宋体" w:hAnsi="Times New Roman"/>
                <w:color w:val="000000"/>
                <w:sz w:val="21"/>
                <w:szCs w:val="21"/>
              </w:rPr>
              <w:t xml:space="preserve"> Tyrosine Kinase</w:t>
            </w:r>
          </w:p>
        </w:tc>
        <w:tc>
          <w:tcPr>
            <w:tcW w:w="3174" w:type="dxa"/>
            <w:shd w:val="clear" w:color="auto" w:fill="auto"/>
            <w:vAlign w:val="center"/>
          </w:tcPr>
          <w:p w14:paraId="00223437"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proofErr w:type="spellStart"/>
            <w:r w:rsidRPr="00F16A5E">
              <w:rPr>
                <w:rFonts w:ascii="Times New Roman" w:eastAsia="宋体" w:hAnsi="Times New Roman"/>
                <w:color w:val="000000"/>
                <w:sz w:val="21"/>
                <w:szCs w:val="21"/>
              </w:rPr>
              <w:t>布鲁顿酪氨酸激酶</w:t>
            </w:r>
            <w:proofErr w:type="spellEnd"/>
          </w:p>
        </w:tc>
      </w:tr>
      <w:tr w:rsidR="006E18E9" w:rsidRPr="00F16A5E" w14:paraId="6A6E0484" w14:textId="77777777" w:rsidTr="00081856">
        <w:trPr>
          <w:trHeight w:val="340"/>
          <w:jc w:val="center"/>
        </w:trPr>
        <w:tc>
          <w:tcPr>
            <w:tcW w:w="1560" w:type="dxa"/>
            <w:shd w:val="clear" w:color="auto" w:fill="auto"/>
            <w:vAlign w:val="center"/>
          </w:tcPr>
          <w:p w14:paraId="33434C40"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BUN</w:t>
            </w:r>
          </w:p>
        </w:tc>
        <w:tc>
          <w:tcPr>
            <w:tcW w:w="4894" w:type="dxa"/>
            <w:shd w:val="clear" w:color="auto" w:fill="auto"/>
            <w:vAlign w:val="center"/>
          </w:tcPr>
          <w:p w14:paraId="37D0FB8E" w14:textId="6BD375A6"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Blood Urea Nitrogen</w:t>
            </w:r>
          </w:p>
        </w:tc>
        <w:tc>
          <w:tcPr>
            <w:tcW w:w="3174" w:type="dxa"/>
            <w:shd w:val="clear" w:color="auto" w:fill="auto"/>
            <w:vAlign w:val="center"/>
          </w:tcPr>
          <w:p w14:paraId="674F5B4A"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血尿素氮</w:t>
            </w:r>
          </w:p>
        </w:tc>
      </w:tr>
      <w:tr w:rsidR="006E18E9" w:rsidRPr="00F16A5E" w14:paraId="19DB5B5A" w14:textId="77777777" w:rsidTr="00081856">
        <w:trPr>
          <w:trHeight w:val="340"/>
          <w:jc w:val="center"/>
        </w:trPr>
        <w:tc>
          <w:tcPr>
            <w:tcW w:w="1560" w:type="dxa"/>
            <w:shd w:val="clear" w:color="auto" w:fill="auto"/>
            <w:vAlign w:val="center"/>
          </w:tcPr>
          <w:p w14:paraId="19B0259B"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CIA</w:t>
            </w:r>
          </w:p>
        </w:tc>
        <w:tc>
          <w:tcPr>
            <w:tcW w:w="4894" w:type="dxa"/>
            <w:shd w:val="clear" w:color="auto" w:fill="auto"/>
            <w:vAlign w:val="center"/>
          </w:tcPr>
          <w:p w14:paraId="159F6322" w14:textId="2396E315"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Collagen-Induced Arthritis</w:t>
            </w:r>
          </w:p>
        </w:tc>
        <w:tc>
          <w:tcPr>
            <w:tcW w:w="3174" w:type="dxa"/>
            <w:shd w:val="clear" w:color="auto" w:fill="auto"/>
            <w:vAlign w:val="center"/>
          </w:tcPr>
          <w:p w14:paraId="1EAACF31"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proofErr w:type="spellStart"/>
            <w:r w:rsidRPr="00F16A5E">
              <w:rPr>
                <w:rFonts w:ascii="Times New Roman" w:eastAsia="宋体" w:hAnsi="Times New Roman"/>
              </w:rPr>
              <w:t>胶原诱导性关节炎</w:t>
            </w:r>
            <w:proofErr w:type="spellEnd"/>
          </w:p>
        </w:tc>
      </w:tr>
      <w:tr w:rsidR="006E18E9" w:rsidRPr="00F16A5E" w14:paraId="128722D6" w14:textId="77777777" w:rsidTr="00081856">
        <w:trPr>
          <w:trHeight w:val="340"/>
          <w:jc w:val="center"/>
        </w:trPr>
        <w:tc>
          <w:tcPr>
            <w:tcW w:w="1560" w:type="dxa"/>
            <w:shd w:val="clear" w:color="auto" w:fill="auto"/>
            <w:vAlign w:val="center"/>
          </w:tcPr>
          <w:p w14:paraId="0F4C494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CL</w:t>
            </w:r>
          </w:p>
        </w:tc>
        <w:tc>
          <w:tcPr>
            <w:tcW w:w="4894" w:type="dxa"/>
            <w:shd w:val="clear" w:color="auto" w:fill="auto"/>
            <w:vAlign w:val="center"/>
          </w:tcPr>
          <w:p w14:paraId="7CA45B32"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Clearance</w:t>
            </w:r>
          </w:p>
        </w:tc>
        <w:tc>
          <w:tcPr>
            <w:tcW w:w="3174" w:type="dxa"/>
            <w:shd w:val="clear" w:color="auto" w:fill="auto"/>
            <w:vAlign w:val="center"/>
          </w:tcPr>
          <w:p w14:paraId="484B79A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清除率</w:t>
            </w:r>
          </w:p>
        </w:tc>
      </w:tr>
      <w:tr w:rsidR="006E18E9" w:rsidRPr="00F16A5E" w14:paraId="59F420A2" w14:textId="77777777" w:rsidTr="00081856">
        <w:trPr>
          <w:trHeight w:val="340"/>
          <w:jc w:val="center"/>
        </w:trPr>
        <w:tc>
          <w:tcPr>
            <w:tcW w:w="1560" w:type="dxa"/>
            <w:shd w:val="clear" w:color="auto" w:fill="auto"/>
            <w:vAlign w:val="center"/>
          </w:tcPr>
          <w:p w14:paraId="6550286F"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proofErr w:type="spellStart"/>
            <w:r w:rsidRPr="00F16A5E">
              <w:rPr>
                <w:rFonts w:ascii="Times New Roman" w:eastAsia="宋体" w:hAnsi="Times New Roman"/>
                <w:szCs w:val="24"/>
              </w:rPr>
              <w:t>C</w:t>
            </w:r>
            <w:r w:rsidRPr="00F16A5E">
              <w:rPr>
                <w:rFonts w:ascii="Times New Roman" w:eastAsia="宋体" w:hAnsi="Times New Roman"/>
                <w:szCs w:val="24"/>
                <w:vertAlign w:val="subscript"/>
              </w:rPr>
              <w:t>max</w:t>
            </w:r>
            <w:proofErr w:type="spellEnd"/>
          </w:p>
        </w:tc>
        <w:tc>
          <w:tcPr>
            <w:tcW w:w="4894" w:type="dxa"/>
            <w:shd w:val="clear" w:color="auto" w:fill="auto"/>
            <w:vAlign w:val="center"/>
          </w:tcPr>
          <w:p w14:paraId="4F2C091C" w14:textId="02425D81"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Maximum Concentration</w:t>
            </w:r>
          </w:p>
        </w:tc>
        <w:tc>
          <w:tcPr>
            <w:tcW w:w="3174" w:type="dxa"/>
            <w:shd w:val="clear" w:color="auto" w:fill="auto"/>
            <w:vAlign w:val="center"/>
          </w:tcPr>
          <w:p w14:paraId="67664864"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峰浓度</w:t>
            </w:r>
          </w:p>
        </w:tc>
      </w:tr>
      <w:tr w:rsidR="006E18E9" w:rsidRPr="00F16A5E" w14:paraId="07AD1A8C" w14:textId="77777777" w:rsidTr="00081856">
        <w:trPr>
          <w:trHeight w:val="340"/>
          <w:jc w:val="center"/>
        </w:trPr>
        <w:tc>
          <w:tcPr>
            <w:tcW w:w="1560" w:type="dxa"/>
            <w:shd w:val="clear" w:color="auto" w:fill="auto"/>
            <w:vAlign w:val="center"/>
          </w:tcPr>
          <w:p w14:paraId="0594CDCF"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proofErr w:type="spellStart"/>
            <w:r w:rsidRPr="00F16A5E">
              <w:rPr>
                <w:rFonts w:ascii="Times New Roman" w:eastAsia="宋体" w:hAnsi="Times New Roman"/>
                <w:szCs w:val="24"/>
              </w:rPr>
              <w:t>C</w:t>
            </w:r>
            <w:r w:rsidRPr="00F16A5E">
              <w:rPr>
                <w:rFonts w:ascii="Times New Roman" w:eastAsia="宋体" w:hAnsi="Times New Roman"/>
                <w:szCs w:val="24"/>
                <w:vertAlign w:val="subscript"/>
              </w:rPr>
              <w:t>min</w:t>
            </w:r>
            <w:proofErr w:type="spellEnd"/>
          </w:p>
        </w:tc>
        <w:tc>
          <w:tcPr>
            <w:tcW w:w="4894" w:type="dxa"/>
            <w:shd w:val="clear" w:color="auto" w:fill="auto"/>
            <w:vAlign w:val="center"/>
          </w:tcPr>
          <w:p w14:paraId="38A82157" w14:textId="5F79FF3A"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Minimum Concentration</w:t>
            </w:r>
          </w:p>
        </w:tc>
        <w:tc>
          <w:tcPr>
            <w:tcW w:w="3174" w:type="dxa"/>
            <w:shd w:val="clear" w:color="auto" w:fill="auto"/>
            <w:vAlign w:val="center"/>
          </w:tcPr>
          <w:p w14:paraId="2513E7B7"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谷浓度</w:t>
            </w:r>
          </w:p>
        </w:tc>
      </w:tr>
      <w:tr w:rsidR="006E18E9" w:rsidRPr="00F16A5E" w14:paraId="37D1D078" w14:textId="77777777" w:rsidTr="00081856">
        <w:trPr>
          <w:trHeight w:val="340"/>
          <w:jc w:val="center"/>
        </w:trPr>
        <w:tc>
          <w:tcPr>
            <w:tcW w:w="1560" w:type="dxa"/>
            <w:shd w:val="clear" w:color="auto" w:fill="auto"/>
            <w:vAlign w:val="center"/>
          </w:tcPr>
          <w:p w14:paraId="16E00FC7"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CNS</w:t>
            </w:r>
          </w:p>
        </w:tc>
        <w:tc>
          <w:tcPr>
            <w:tcW w:w="4894" w:type="dxa"/>
            <w:shd w:val="clear" w:color="auto" w:fill="auto"/>
            <w:vAlign w:val="center"/>
          </w:tcPr>
          <w:p w14:paraId="2CCA117F" w14:textId="6DEFB0CA"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Central Nervous System</w:t>
            </w:r>
          </w:p>
        </w:tc>
        <w:tc>
          <w:tcPr>
            <w:tcW w:w="3174" w:type="dxa"/>
            <w:shd w:val="clear" w:color="auto" w:fill="auto"/>
            <w:vAlign w:val="center"/>
          </w:tcPr>
          <w:p w14:paraId="5F0E048F"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中枢神经系统</w:t>
            </w:r>
          </w:p>
        </w:tc>
      </w:tr>
      <w:tr w:rsidR="006E18E9" w:rsidRPr="00F16A5E" w14:paraId="08C51675" w14:textId="77777777" w:rsidTr="00081856">
        <w:trPr>
          <w:trHeight w:val="340"/>
          <w:jc w:val="center"/>
        </w:trPr>
        <w:tc>
          <w:tcPr>
            <w:tcW w:w="1560" w:type="dxa"/>
            <w:shd w:val="clear" w:color="auto" w:fill="auto"/>
            <w:vAlign w:val="center"/>
          </w:tcPr>
          <w:p w14:paraId="0737625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Cr</w:t>
            </w:r>
          </w:p>
        </w:tc>
        <w:tc>
          <w:tcPr>
            <w:tcW w:w="4894" w:type="dxa"/>
            <w:shd w:val="clear" w:color="auto" w:fill="auto"/>
            <w:vAlign w:val="center"/>
          </w:tcPr>
          <w:p w14:paraId="72C54A4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Creatinine</w:t>
            </w:r>
          </w:p>
        </w:tc>
        <w:tc>
          <w:tcPr>
            <w:tcW w:w="3174" w:type="dxa"/>
            <w:shd w:val="clear" w:color="auto" w:fill="auto"/>
            <w:vAlign w:val="center"/>
          </w:tcPr>
          <w:p w14:paraId="15C02E83"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肌酐</w:t>
            </w:r>
          </w:p>
        </w:tc>
      </w:tr>
      <w:tr w:rsidR="006E18E9" w:rsidRPr="00F16A5E" w14:paraId="02C60EAB" w14:textId="77777777" w:rsidTr="00081856">
        <w:trPr>
          <w:trHeight w:val="340"/>
          <w:jc w:val="center"/>
        </w:trPr>
        <w:tc>
          <w:tcPr>
            <w:tcW w:w="1560" w:type="dxa"/>
            <w:shd w:val="clear" w:color="auto" w:fill="auto"/>
            <w:vAlign w:val="center"/>
          </w:tcPr>
          <w:p w14:paraId="0BFB4932"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CYP</w:t>
            </w:r>
          </w:p>
        </w:tc>
        <w:tc>
          <w:tcPr>
            <w:tcW w:w="4894" w:type="dxa"/>
            <w:shd w:val="clear" w:color="auto" w:fill="auto"/>
            <w:vAlign w:val="center"/>
          </w:tcPr>
          <w:p w14:paraId="4233A99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Cytochrome P450</w:t>
            </w:r>
          </w:p>
        </w:tc>
        <w:tc>
          <w:tcPr>
            <w:tcW w:w="3174" w:type="dxa"/>
            <w:shd w:val="clear" w:color="auto" w:fill="auto"/>
            <w:vAlign w:val="center"/>
          </w:tcPr>
          <w:p w14:paraId="52FE59C0"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细胞色素</w:t>
            </w:r>
            <w:r w:rsidRPr="00F16A5E">
              <w:rPr>
                <w:rFonts w:ascii="Times New Roman" w:eastAsia="宋体" w:hAnsi="Times New Roman"/>
                <w:color w:val="000000"/>
                <w:sz w:val="21"/>
                <w:szCs w:val="21"/>
              </w:rPr>
              <w:t>P450</w:t>
            </w:r>
          </w:p>
        </w:tc>
      </w:tr>
      <w:tr w:rsidR="006E18E9" w:rsidRPr="00F16A5E" w14:paraId="15D0CDB2" w14:textId="77777777" w:rsidTr="00081856">
        <w:trPr>
          <w:trHeight w:val="340"/>
          <w:jc w:val="center"/>
        </w:trPr>
        <w:tc>
          <w:tcPr>
            <w:tcW w:w="1560" w:type="dxa"/>
            <w:shd w:val="clear" w:color="auto" w:fill="auto"/>
            <w:vAlign w:val="center"/>
          </w:tcPr>
          <w:p w14:paraId="032D6987" w14:textId="77777777" w:rsidR="006E18E9" w:rsidRPr="00F16A5E" w:rsidRDefault="006E18E9" w:rsidP="00880C9B">
            <w:pPr>
              <w:pStyle w:val="TableCellLeft"/>
              <w:keepNext w:val="0"/>
              <w:keepLines w:val="0"/>
              <w:spacing w:before="0" w:after="0"/>
              <w:jc w:val="both"/>
              <w:rPr>
                <w:rFonts w:ascii="Times New Roman" w:eastAsia="宋体" w:hAnsi="Times New Roman"/>
                <w:szCs w:val="24"/>
                <w:lang w:eastAsia="zh-CN"/>
              </w:rPr>
            </w:pPr>
            <w:r w:rsidRPr="00F16A5E">
              <w:rPr>
                <w:rFonts w:ascii="Times New Roman" w:eastAsia="宋体" w:hAnsi="Times New Roman"/>
                <w:szCs w:val="24"/>
                <w:lang w:eastAsia="zh-CN"/>
              </w:rPr>
              <w:t>DBIL</w:t>
            </w:r>
          </w:p>
        </w:tc>
        <w:tc>
          <w:tcPr>
            <w:tcW w:w="4894" w:type="dxa"/>
            <w:shd w:val="clear" w:color="auto" w:fill="auto"/>
            <w:vAlign w:val="center"/>
          </w:tcPr>
          <w:p w14:paraId="00360464" w14:textId="77CB203F"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 xml:space="preserve">Direct </w:t>
            </w:r>
            <w:r w:rsidR="0079358D" w:rsidRPr="00F16A5E">
              <w:rPr>
                <w:rFonts w:ascii="Times New Roman" w:eastAsia="宋体" w:hAnsi="Times New Roman"/>
                <w:color w:val="000000"/>
                <w:sz w:val="21"/>
                <w:szCs w:val="21"/>
                <w:lang w:eastAsia="zh-CN"/>
              </w:rPr>
              <w:t>Bilirubin</w:t>
            </w:r>
          </w:p>
        </w:tc>
        <w:tc>
          <w:tcPr>
            <w:tcW w:w="3174" w:type="dxa"/>
            <w:shd w:val="clear" w:color="auto" w:fill="auto"/>
            <w:vAlign w:val="center"/>
          </w:tcPr>
          <w:p w14:paraId="3353181D"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直接胆红素</w:t>
            </w:r>
          </w:p>
        </w:tc>
      </w:tr>
      <w:tr w:rsidR="006E18E9" w:rsidRPr="00F16A5E" w14:paraId="023D2514" w14:textId="77777777" w:rsidTr="00081856">
        <w:trPr>
          <w:trHeight w:val="340"/>
          <w:jc w:val="center"/>
        </w:trPr>
        <w:tc>
          <w:tcPr>
            <w:tcW w:w="1560" w:type="dxa"/>
            <w:shd w:val="clear" w:color="auto" w:fill="auto"/>
            <w:vAlign w:val="center"/>
          </w:tcPr>
          <w:p w14:paraId="066FE073"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DLBCL</w:t>
            </w:r>
          </w:p>
        </w:tc>
        <w:tc>
          <w:tcPr>
            <w:tcW w:w="4894" w:type="dxa"/>
            <w:shd w:val="clear" w:color="auto" w:fill="auto"/>
            <w:vAlign w:val="center"/>
          </w:tcPr>
          <w:p w14:paraId="0D024F25" w14:textId="28C3B797"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Diffuse Large B Cell Lymphoma</w:t>
            </w:r>
          </w:p>
        </w:tc>
        <w:tc>
          <w:tcPr>
            <w:tcW w:w="3174" w:type="dxa"/>
            <w:shd w:val="clear" w:color="auto" w:fill="auto"/>
            <w:vAlign w:val="center"/>
          </w:tcPr>
          <w:p w14:paraId="2CA2F27B"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弥漫性大</w:t>
            </w:r>
            <w:r w:rsidRPr="00F16A5E">
              <w:rPr>
                <w:rFonts w:ascii="Times New Roman" w:eastAsia="宋体" w:hAnsi="Times New Roman"/>
                <w:sz w:val="21"/>
                <w:szCs w:val="21"/>
                <w:lang w:eastAsia="zh-CN"/>
              </w:rPr>
              <w:t>B</w:t>
            </w:r>
            <w:r w:rsidRPr="00F16A5E">
              <w:rPr>
                <w:rFonts w:ascii="Times New Roman" w:eastAsia="宋体" w:hAnsi="Times New Roman"/>
                <w:sz w:val="21"/>
                <w:szCs w:val="21"/>
                <w:lang w:eastAsia="zh-CN"/>
              </w:rPr>
              <w:t>细胞淋巴瘤</w:t>
            </w:r>
          </w:p>
        </w:tc>
      </w:tr>
      <w:tr w:rsidR="006E18E9" w:rsidRPr="00F16A5E" w14:paraId="150E3D78" w14:textId="77777777" w:rsidTr="00081856">
        <w:trPr>
          <w:trHeight w:val="340"/>
          <w:jc w:val="center"/>
        </w:trPr>
        <w:tc>
          <w:tcPr>
            <w:tcW w:w="1560" w:type="dxa"/>
            <w:shd w:val="clear" w:color="auto" w:fill="auto"/>
            <w:vAlign w:val="center"/>
          </w:tcPr>
          <w:p w14:paraId="7EC41790"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lastRenderedPageBreak/>
              <w:t>DLT</w:t>
            </w:r>
          </w:p>
        </w:tc>
        <w:tc>
          <w:tcPr>
            <w:tcW w:w="4894" w:type="dxa"/>
            <w:shd w:val="clear" w:color="auto" w:fill="auto"/>
            <w:vAlign w:val="center"/>
          </w:tcPr>
          <w:p w14:paraId="43C8E6B7" w14:textId="3FA5509C"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Dose-Limiting Toxicities</w:t>
            </w:r>
          </w:p>
        </w:tc>
        <w:tc>
          <w:tcPr>
            <w:tcW w:w="3174" w:type="dxa"/>
            <w:shd w:val="clear" w:color="auto" w:fill="auto"/>
            <w:vAlign w:val="center"/>
          </w:tcPr>
          <w:p w14:paraId="0D47C2F1"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剂量限制性毒性</w:t>
            </w:r>
          </w:p>
        </w:tc>
      </w:tr>
      <w:tr w:rsidR="006E18E9" w:rsidRPr="00F16A5E" w14:paraId="6DD71A9F" w14:textId="77777777" w:rsidTr="00081856">
        <w:trPr>
          <w:trHeight w:val="340"/>
          <w:jc w:val="center"/>
        </w:trPr>
        <w:tc>
          <w:tcPr>
            <w:tcW w:w="1560" w:type="dxa"/>
            <w:shd w:val="clear" w:color="auto" w:fill="auto"/>
            <w:vAlign w:val="center"/>
          </w:tcPr>
          <w:p w14:paraId="5E58D49F"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DMID</w:t>
            </w:r>
          </w:p>
        </w:tc>
        <w:tc>
          <w:tcPr>
            <w:tcW w:w="4894" w:type="dxa"/>
            <w:shd w:val="clear" w:color="auto" w:fill="auto"/>
            <w:vAlign w:val="center"/>
          </w:tcPr>
          <w:p w14:paraId="10E1C22A" w14:textId="1B077A29"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 xml:space="preserve">Division </w:t>
            </w:r>
            <w:r w:rsidR="0079358D" w:rsidRPr="00F16A5E">
              <w:rPr>
                <w:rFonts w:ascii="Times New Roman" w:eastAsia="宋体" w:hAnsi="Times New Roman"/>
                <w:sz w:val="21"/>
                <w:szCs w:val="21"/>
              </w:rPr>
              <w:t>of Microbiology And Infectious Diseases</w:t>
            </w:r>
          </w:p>
        </w:tc>
        <w:tc>
          <w:tcPr>
            <w:tcW w:w="3174" w:type="dxa"/>
            <w:shd w:val="clear" w:color="auto" w:fill="auto"/>
            <w:vAlign w:val="center"/>
          </w:tcPr>
          <w:p w14:paraId="3FE2760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微生物和传染病研究所</w:t>
            </w:r>
          </w:p>
        </w:tc>
      </w:tr>
      <w:tr w:rsidR="006E18E9" w:rsidRPr="00F16A5E" w14:paraId="5E5FAC2E" w14:textId="77777777" w:rsidTr="00081856">
        <w:trPr>
          <w:trHeight w:val="340"/>
          <w:jc w:val="center"/>
        </w:trPr>
        <w:tc>
          <w:tcPr>
            <w:tcW w:w="1560" w:type="dxa"/>
            <w:shd w:val="clear" w:color="auto" w:fill="auto"/>
            <w:vAlign w:val="center"/>
          </w:tcPr>
          <w:p w14:paraId="7025406B"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DNA</w:t>
            </w:r>
          </w:p>
        </w:tc>
        <w:tc>
          <w:tcPr>
            <w:tcW w:w="4894" w:type="dxa"/>
            <w:shd w:val="clear" w:color="auto" w:fill="auto"/>
            <w:vAlign w:val="center"/>
          </w:tcPr>
          <w:p w14:paraId="6025300C" w14:textId="295FBDC4"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Deoxyribonucleic Acid</w:t>
            </w:r>
          </w:p>
        </w:tc>
        <w:tc>
          <w:tcPr>
            <w:tcW w:w="3174" w:type="dxa"/>
            <w:shd w:val="clear" w:color="auto" w:fill="auto"/>
            <w:vAlign w:val="center"/>
          </w:tcPr>
          <w:p w14:paraId="0DB11AD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proofErr w:type="spellStart"/>
            <w:r w:rsidRPr="00F16A5E">
              <w:rPr>
                <w:rFonts w:ascii="Times New Roman" w:eastAsia="宋体" w:hAnsi="Times New Roman"/>
                <w:sz w:val="21"/>
                <w:szCs w:val="21"/>
              </w:rPr>
              <w:t>脱氧核糖核酸</w:t>
            </w:r>
            <w:proofErr w:type="spellEnd"/>
          </w:p>
        </w:tc>
      </w:tr>
      <w:tr w:rsidR="006E18E9" w:rsidRPr="00F16A5E" w14:paraId="29092A7F" w14:textId="77777777" w:rsidTr="00081856">
        <w:trPr>
          <w:trHeight w:val="340"/>
          <w:jc w:val="center"/>
        </w:trPr>
        <w:tc>
          <w:tcPr>
            <w:tcW w:w="1560" w:type="dxa"/>
            <w:shd w:val="clear" w:color="auto" w:fill="auto"/>
            <w:vAlign w:val="center"/>
          </w:tcPr>
          <w:p w14:paraId="175D4724"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dsDNA</w:t>
            </w:r>
          </w:p>
        </w:tc>
        <w:tc>
          <w:tcPr>
            <w:tcW w:w="4894" w:type="dxa"/>
            <w:shd w:val="clear" w:color="auto" w:fill="auto"/>
            <w:vAlign w:val="center"/>
          </w:tcPr>
          <w:p w14:paraId="707EEF2A" w14:textId="0647596F"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Double</w:t>
            </w:r>
            <w:r w:rsidR="0079358D" w:rsidRPr="00F16A5E">
              <w:rPr>
                <w:rFonts w:ascii="Times New Roman" w:eastAsia="宋体" w:hAnsi="Times New Roman"/>
                <w:sz w:val="21"/>
                <w:szCs w:val="21"/>
              </w:rPr>
              <w:t xml:space="preserve">-Stranded </w:t>
            </w:r>
            <w:r w:rsidRPr="00F16A5E">
              <w:rPr>
                <w:rFonts w:ascii="Times New Roman" w:eastAsia="宋体" w:hAnsi="Times New Roman"/>
                <w:sz w:val="21"/>
                <w:szCs w:val="21"/>
              </w:rPr>
              <w:t>DNA</w:t>
            </w:r>
          </w:p>
        </w:tc>
        <w:tc>
          <w:tcPr>
            <w:tcW w:w="3174" w:type="dxa"/>
            <w:shd w:val="clear" w:color="auto" w:fill="auto"/>
            <w:vAlign w:val="center"/>
          </w:tcPr>
          <w:p w14:paraId="50AA1C3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双链脱氧核糖核酸</w:t>
            </w:r>
          </w:p>
        </w:tc>
      </w:tr>
      <w:tr w:rsidR="006E18E9" w:rsidRPr="00F16A5E" w14:paraId="2E11D093" w14:textId="77777777" w:rsidTr="00081856">
        <w:trPr>
          <w:trHeight w:val="340"/>
          <w:jc w:val="center"/>
        </w:trPr>
        <w:tc>
          <w:tcPr>
            <w:tcW w:w="1560" w:type="dxa"/>
            <w:shd w:val="clear" w:color="auto" w:fill="auto"/>
            <w:vAlign w:val="center"/>
          </w:tcPr>
          <w:p w14:paraId="5FB00CA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eCRF</w:t>
            </w:r>
          </w:p>
        </w:tc>
        <w:tc>
          <w:tcPr>
            <w:tcW w:w="4894" w:type="dxa"/>
            <w:shd w:val="clear" w:color="auto" w:fill="auto"/>
            <w:vAlign w:val="center"/>
          </w:tcPr>
          <w:p w14:paraId="7FE307B5" w14:textId="5036F723"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Electronic Case Report Form</w:t>
            </w:r>
          </w:p>
        </w:tc>
        <w:tc>
          <w:tcPr>
            <w:tcW w:w="3174" w:type="dxa"/>
            <w:shd w:val="clear" w:color="auto" w:fill="auto"/>
            <w:vAlign w:val="center"/>
          </w:tcPr>
          <w:p w14:paraId="43ABBA2B"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电子病历报告表</w:t>
            </w:r>
          </w:p>
        </w:tc>
      </w:tr>
      <w:tr w:rsidR="006E18E9" w:rsidRPr="00F16A5E" w14:paraId="72B6C26F" w14:textId="77777777" w:rsidTr="00081856">
        <w:trPr>
          <w:trHeight w:val="340"/>
          <w:jc w:val="center"/>
        </w:trPr>
        <w:tc>
          <w:tcPr>
            <w:tcW w:w="1560" w:type="dxa"/>
            <w:shd w:val="clear" w:color="auto" w:fill="auto"/>
            <w:vAlign w:val="center"/>
          </w:tcPr>
          <w:p w14:paraId="7C7B5FC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ECG</w:t>
            </w:r>
          </w:p>
        </w:tc>
        <w:tc>
          <w:tcPr>
            <w:tcW w:w="4894" w:type="dxa"/>
            <w:shd w:val="clear" w:color="auto" w:fill="auto"/>
            <w:vAlign w:val="center"/>
          </w:tcPr>
          <w:p w14:paraId="2416675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Electrocardiogram</w:t>
            </w:r>
          </w:p>
        </w:tc>
        <w:tc>
          <w:tcPr>
            <w:tcW w:w="3174" w:type="dxa"/>
            <w:shd w:val="clear" w:color="auto" w:fill="auto"/>
            <w:vAlign w:val="center"/>
          </w:tcPr>
          <w:p w14:paraId="0A86DC1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心电图</w:t>
            </w:r>
          </w:p>
        </w:tc>
      </w:tr>
      <w:tr w:rsidR="006E18E9" w:rsidRPr="00F16A5E" w14:paraId="1A6AE335" w14:textId="77777777" w:rsidTr="00081856">
        <w:trPr>
          <w:trHeight w:val="340"/>
          <w:jc w:val="center"/>
        </w:trPr>
        <w:tc>
          <w:tcPr>
            <w:tcW w:w="1560" w:type="dxa"/>
            <w:shd w:val="clear" w:color="auto" w:fill="auto"/>
            <w:vAlign w:val="center"/>
          </w:tcPr>
          <w:p w14:paraId="684E193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ECOG</w:t>
            </w:r>
          </w:p>
        </w:tc>
        <w:tc>
          <w:tcPr>
            <w:tcW w:w="4894" w:type="dxa"/>
            <w:shd w:val="clear" w:color="auto" w:fill="auto"/>
            <w:vAlign w:val="center"/>
          </w:tcPr>
          <w:p w14:paraId="172ABE7C" w14:textId="7979F83D"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Eastern Cooperative Oncology Group</w:t>
            </w:r>
          </w:p>
        </w:tc>
        <w:tc>
          <w:tcPr>
            <w:tcW w:w="3174" w:type="dxa"/>
            <w:shd w:val="clear" w:color="auto" w:fill="auto"/>
            <w:vAlign w:val="center"/>
          </w:tcPr>
          <w:p w14:paraId="5DDA4A8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美国东部肿瘤协作组</w:t>
            </w:r>
          </w:p>
        </w:tc>
      </w:tr>
      <w:tr w:rsidR="006E18E9" w:rsidRPr="00F16A5E" w14:paraId="7A093504" w14:textId="77777777" w:rsidTr="00081856">
        <w:trPr>
          <w:trHeight w:val="340"/>
          <w:jc w:val="center"/>
        </w:trPr>
        <w:tc>
          <w:tcPr>
            <w:tcW w:w="1560" w:type="dxa"/>
            <w:shd w:val="clear" w:color="auto" w:fill="auto"/>
            <w:vAlign w:val="center"/>
          </w:tcPr>
          <w:p w14:paraId="119B35E2"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EDC</w:t>
            </w:r>
          </w:p>
        </w:tc>
        <w:tc>
          <w:tcPr>
            <w:tcW w:w="4894" w:type="dxa"/>
            <w:shd w:val="clear" w:color="auto" w:fill="auto"/>
            <w:vAlign w:val="center"/>
          </w:tcPr>
          <w:p w14:paraId="0A6ED979" w14:textId="2C7CBA06"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Electronic Data Capture</w:t>
            </w:r>
          </w:p>
        </w:tc>
        <w:tc>
          <w:tcPr>
            <w:tcW w:w="3174" w:type="dxa"/>
            <w:shd w:val="clear" w:color="auto" w:fill="auto"/>
            <w:vAlign w:val="center"/>
          </w:tcPr>
          <w:p w14:paraId="5999BD8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电子数据捕获</w:t>
            </w:r>
          </w:p>
        </w:tc>
      </w:tr>
      <w:tr w:rsidR="006E18E9" w:rsidRPr="00F16A5E" w14:paraId="4E16E6E9" w14:textId="77777777" w:rsidTr="00081856">
        <w:trPr>
          <w:trHeight w:val="340"/>
          <w:jc w:val="center"/>
        </w:trPr>
        <w:tc>
          <w:tcPr>
            <w:tcW w:w="1560" w:type="dxa"/>
            <w:shd w:val="clear" w:color="auto" w:fill="auto"/>
            <w:vAlign w:val="center"/>
          </w:tcPr>
          <w:p w14:paraId="4E43CB2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EGFR</w:t>
            </w:r>
          </w:p>
        </w:tc>
        <w:tc>
          <w:tcPr>
            <w:tcW w:w="4894" w:type="dxa"/>
            <w:shd w:val="clear" w:color="auto" w:fill="auto"/>
            <w:vAlign w:val="center"/>
          </w:tcPr>
          <w:p w14:paraId="19D52B7A" w14:textId="207336A5"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 xml:space="preserve">Epidermal </w:t>
            </w:r>
            <w:r w:rsidR="0079358D" w:rsidRPr="00F16A5E">
              <w:rPr>
                <w:rFonts w:ascii="Times New Roman" w:eastAsia="宋体" w:hAnsi="Times New Roman"/>
                <w:sz w:val="21"/>
                <w:szCs w:val="21"/>
              </w:rPr>
              <w:t>Growth Factor Receptor</w:t>
            </w:r>
          </w:p>
        </w:tc>
        <w:tc>
          <w:tcPr>
            <w:tcW w:w="3174" w:type="dxa"/>
            <w:shd w:val="clear" w:color="auto" w:fill="auto"/>
            <w:vAlign w:val="center"/>
          </w:tcPr>
          <w:p w14:paraId="21F1A36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表皮生长因子受体</w:t>
            </w:r>
          </w:p>
        </w:tc>
      </w:tr>
      <w:tr w:rsidR="006E18E9" w:rsidRPr="00F16A5E" w14:paraId="404E221B" w14:textId="77777777" w:rsidTr="00081856">
        <w:trPr>
          <w:trHeight w:val="340"/>
          <w:jc w:val="center"/>
        </w:trPr>
        <w:tc>
          <w:tcPr>
            <w:tcW w:w="1560" w:type="dxa"/>
            <w:shd w:val="clear" w:color="auto" w:fill="auto"/>
            <w:vAlign w:val="center"/>
          </w:tcPr>
          <w:p w14:paraId="5FA5447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FAS</w:t>
            </w:r>
          </w:p>
        </w:tc>
        <w:tc>
          <w:tcPr>
            <w:tcW w:w="4894" w:type="dxa"/>
            <w:shd w:val="clear" w:color="auto" w:fill="auto"/>
            <w:vAlign w:val="center"/>
          </w:tcPr>
          <w:p w14:paraId="6240A8E7" w14:textId="5AB52857"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Full Analysis Set</w:t>
            </w:r>
          </w:p>
        </w:tc>
        <w:tc>
          <w:tcPr>
            <w:tcW w:w="3174" w:type="dxa"/>
            <w:shd w:val="clear" w:color="auto" w:fill="auto"/>
            <w:vAlign w:val="center"/>
          </w:tcPr>
          <w:p w14:paraId="659C82A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全分析集</w:t>
            </w:r>
          </w:p>
        </w:tc>
      </w:tr>
      <w:tr w:rsidR="006E18E9" w:rsidRPr="00F16A5E" w14:paraId="7C80E51B" w14:textId="77777777" w:rsidTr="00081856">
        <w:trPr>
          <w:trHeight w:val="340"/>
          <w:jc w:val="center"/>
        </w:trPr>
        <w:tc>
          <w:tcPr>
            <w:tcW w:w="1560" w:type="dxa"/>
            <w:shd w:val="clear" w:color="auto" w:fill="auto"/>
            <w:vAlign w:val="center"/>
          </w:tcPr>
          <w:p w14:paraId="107F37EF"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FDA</w:t>
            </w:r>
          </w:p>
        </w:tc>
        <w:tc>
          <w:tcPr>
            <w:tcW w:w="4894" w:type="dxa"/>
            <w:shd w:val="clear" w:color="auto" w:fill="auto"/>
            <w:vAlign w:val="center"/>
          </w:tcPr>
          <w:p w14:paraId="7B91824B" w14:textId="003698B9"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 xml:space="preserve">Food </w:t>
            </w:r>
            <w:r w:rsidR="0079358D" w:rsidRPr="00F16A5E">
              <w:rPr>
                <w:rFonts w:ascii="Times New Roman" w:eastAsia="宋体" w:hAnsi="Times New Roman"/>
                <w:sz w:val="21"/>
                <w:szCs w:val="21"/>
              </w:rPr>
              <w:t xml:space="preserve">and </w:t>
            </w:r>
            <w:r w:rsidRPr="00F16A5E">
              <w:rPr>
                <w:rFonts w:ascii="Times New Roman" w:eastAsia="宋体" w:hAnsi="Times New Roman"/>
                <w:sz w:val="21"/>
                <w:szCs w:val="21"/>
              </w:rPr>
              <w:t>Drug Administration</w:t>
            </w:r>
          </w:p>
        </w:tc>
        <w:tc>
          <w:tcPr>
            <w:tcW w:w="3174" w:type="dxa"/>
            <w:shd w:val="clear" w:color="auto" w:fill="auto"/>
            <w:vAlign w:val="center"/>
          </w:tcPr>
          <w:p w14:paraId="1840797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食品药品监督管理局</w:t>
            </w:r>
          </w:p>
        </w:tc>
      </w:tr>
      <w:tr w:rsidR="006E18E9" w:rsidRPr="00F16A5E" w14:paraId="18876F56" w14:textId="77777777" w:rsidTr="00081856">
        <w:trPr>
          <w:trHeight w:val="340"/>
          <w:jc w:val="center"/>
        </w:trPr>
        <w:tc>
          <w:tcPr>
            <w:tcW w:w="1560" w:type="dxa"/>
            <w:shd w:val="clear" w:color="auto" w:fill="auto"/>
            <w:vAlign w:val="center"/>
          </w:tcPr>
          <w:p w14:paraId="77E227F4"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FT3</w:t>
            </w:r>
          </w:p>
        </w:tc>
        <w:tc>
          <w:tcPr>
            <w:tcW w:w="4894" w:type="dxa"/>
            <w:shd w:val="clear" w:color="auto" w:fill="auto"/>
            <w:vAlign w:val="center"/>
          </w:tcPr>
          <w:p w14:paraId="3A23B241" w14:textId="7AA9ED90"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Free Triiodothyronine</w:t>
            </w:r>
          </w:p>
        </w:tc>
        <w:tc>
          <w:tcPr>
            <w:tcW w:w="3174" w:type="dxa"/>
            <w:shd w:val="clear" w:color="auto" w:fill="auto"/>
            <w:vAlign w:val="center"/>
          </w:tcPr>
          <w:p w14:paraId="067A2FC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游离</w:t>
            </w:r>
            <w:bookmarkStart w:id="422" w:name="OLE_LINK14"/>
            <w:bookmarkStart w:id="423" w:name="OLE_LINK15"/>
            <w:r w:rsidRPr="00F16A5E">
              <w:rPr>
                <w:rFonts w:ascii="Times New Roman" w:eastAsia="宋体" w:hAnsi="Times New Roman"/>
                <w:sz w:val="21"/>
                <w:szCs w:val="21"/>
                <w:lang w:eastAsia="zh-CN"/>
              </w:rPr>
              <w:t>三碘甲状腺原氨酸</w:t>
            </w:r>
            <w:bookmarkEnd w:id="422"/>
            <w:bookmarkEnd w:id="423"/>
          </w:p>
        </w:tc>
      </w:tr>
      <w:tr w:rsidR="006E18E9" w:rsidRPr="00F16A5E" w14:paraId="572E0F79" w14:textId="77777777" w:rsidTr="00081856">
        <w:trPr>
          <w:trHeight w:val="340"/>
          <w:jc w:val="center"/>
        </w:trPr>
        <w:tc>
          <w:tcPr>
            <w:tcW w:w="1560" w:type="dxa"/>
            <w:shd w:val="clear" w:color="auto" w:fill="auto"/>
            <w:vAlign w:val="center"/>
          </w:tcPr>
          <w:p w14:paraId="1EC6F6C2"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FT4</w:t>
            </w:r>
          </w:p>
        </w:tc>
        <w:tc>
          <w:tcPr>
            <w:tcW w:w="4894" w:type="dxa"/>
            <w:shd w:val="clear" w:color="auto" w:fill="auto"/>
            <w:vAlign w:val="center"/>
          </w:tcPr>
          <w:p w14:paraId="51F53303" w14:textId="2B749C16"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Free Tetraiodothyronine</w:t>
            </w:r>
          </w:p>
        </w:tc>
        <w:tc>
          <w:tcPr>
            <w:tcW w:w="3174" w:type="dxa"/>
            <w:shd w:val="clear" w:color="auto" w:fill="auto"/>
            <w:vAlign w:val="center"/>
          </w:tcPr>
          <w:p w14:paraId="46B2DF51"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游离四碘甲状腺原氨酸</w:t>
            </w:r>
          </w:p>
        </w:tc>
      </w:tr>
      <w:tr w:rsidR="006E18E9" w:rsidRPr="00F16A5E" w14:paraId="1B08AA1F" w14:textId="77777777" w:rsidTr="00081856">
        <w:trPr>
          <w:trHeight w:val="340"/>
          <w:jc w:val="center"/>
        </w:trPr>
        <w:tc>
          <w:tcPr>
            <w:tcW w:w="1560" w:type="dxa"/>
            <w:shd w:val="clear" w:color="auto" w:fill="auto"/>
            <w:vAlign w:val="center"/>
          </w:tcPr>
          <w:p w14:paraId="1D148820"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GCP</w:t>
            </w:r>
          </w:p>
        </w:tc>
        <w:tc>
          <w:tcPr>
            <w:tcW w:w="4894" w:type="dxa"/>
            <w:shd w:val="clear" w:color="auto" w:fill="auto"/>
            <w:vAlign w:val="center"/>
          </w:tcPr>
          <w:p w14:paraId="37B6EE12" w14:textId="6CA4E82E"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Good Clinical Practice</w:t>
            </w:r>
          </w:p>
        </w:tc>
        <w:tc>
          <w:tcPr>
            <w:tcW w:w="3174" w:type="dxa"/>
            <w:shd w:val="clear" w:color="auto" w:fill="auto"/>
            <w:vAlign w:val="center"/>
          </w:tcPr>
          <w:p w14:paraId="7FD7F61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临床研究质量管理规范</w:t>
            </w:r>
          </w:p>
        </w:tc>
      </w:tr>
      <w:tr w:rsidR="006E18E9" w:rsidRPr="00F16A5E" w14:paraId="3E1928A1" w14:textId="77777777" w:rsidTr="00081856">
        <w:trPr>
          <w:trHeight w:val="340"/>
          <w:jc w:val="center"/>
        </w:trPr>
        <w:tc>
          <w:tcPr>
            <w:tcW w:w="1560" w:type="dxa"/>
            <w:shd w:val="clear" w:color="auto" w:fill="auto"/>
            <w:vAlign w:val="center"/>
          </w:tcPr>
          <w:p w14:paraId="3673321E"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GGT</w:t>
            </w:r>
          </w:p>
        </w:tc>
        <w:tc>
          <w:tcPr>
            <w:tcW w:w="4894" w:type="dxa"/>
            <w:shd w:val="clear" w:color="auto" w:fill="auto"/>
            <w:vAlign w:val="center"/>
          </w:tcPr>
          <w:p w14:paraId="7C566DFB" w14:textId="0A1DBD85"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 xml:space="preserve">Glutamyl </w:t>
            </w:r>
            <w:r w:rsidR="0079358D" w:rsidRPr="00F16A5E">
              <w:rPr>
                <w:rFonts w:ascii="Times New Roman" w:eastAsia="宋体" w:hAnsi="Times New Roman"/>
                <w:sz w:val="21"/>
                <w:szCs w:val="21"/>
                <w:lang w:eastAsia="zh-CN"/>
              </w:rPr>
              <w:t>Transpeptidase</w:t>
            </w:r>
          </w:p>
        </w:tc>
        <w:tc>
          <w:tcPr>
            <w:tcW w:w="3174" w:type="dxa"/>
            <w:shd w:val="clear" w:color="auto" w:fill="auto"/>
            <w:vAlign w:val="center"/>
          </w:tcPr>
          <w:p w14:paraId="1AC6222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谷酰胺转肽酶</w:t>
            </w:r>
          </w:p>
        </w:tc>
      </w:tr>
      <w:tr w:rsidR="006E18E9" w:rsidRPr="00F16A5E" w14:paraId="7BDD4949" w14:textId="77777777" w:rsidTr="00081856">
        <w:trPr>
          <w:trHeight w:val="340"/>
          <w:jc w:val="center"/>
        </w:trPr>
        <w:tc>
          <w:tcPr>
            <w:tcW w:w="1560" w:type="dxa"/>
            <w:shd w:val="clear" w:color="auto" w:fill="auto"/>
            <w:vAlign w:val="center"/>
          </w:tcPr>
          <w:p w14:paraId="663888FE"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Glu</w:t>
            </w:r>
          </w:p>
        </w:tc>
        <w:tc>
          <w:tcPr>
            <w:tcW w:w="4894" w:type="dxa"/>
            <w:shd w:val="clear" w:color="auto" w:fill="auto"/>
            <w:vAlign w:val="center"/>
          </w:tcPr>
          <w:p w14:paraId="21EC76AE"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Glucose</w:t>
            </w:r>
          </w:p>
        </w:tc>
        <w:tc>
          <w:tcPr>
            <w:tcW w:w="3174" w:type="dxa"/>
            <w:shd w:val="clear" w:color="auto" w:fill="auto"/>
            <w:vAlign w:val="center"/>
          </w:tcPr>
          <w:p w14:paraId="0791B51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葡萄糖</w:t>
            </w:r>
          </w:p>
        </w:tc>
      </w:tr>
      <w:tr w:rsidR="006E18E9" w:rsidRPr="00F16A5E" w14:paraId="6340C852" w14:textId="77777777" w:rsidTr="00081856">
        <w:trPr>
          <w:trHeight w:val="340"/>
          <w:jc w:val="center"/>
        </w:trPr>
        <w:tc>
          <w:tcPr>
            <w:tcW w:w="1560" w:type="dxa"/>
            <w:shd w:val="clear" w:color="auto" w:fill="auto"/>
            <w:vAlign w:val="center"/>
          </w:tcPr>
          <w:p w14:paraId="7351611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GMP</w:t>
            </w:r>
          </w:p>
        </w:tc>
        <w:tc>
          <w:tcPr>
            <w:tcW w:w="4894" w:type="dxa"/>
            <w:shd w:val="clear" w:color="auto" w:fill="auto"/>
            <w:vAlign w:val="center"/>
          </w:tcPr>
          <w:p w14:paraId="14078F72" w14:textId="36EDBDFF"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Good Manufacturing Practice</w:t>
            </w:r>
          </w:p>
        </w:tc>
        <w:tc>
          <w:tcPr>
            <w:tcW w:w="3174" w:type="dxa"/>
            <w:shd w:val="clear" w:color="auto" w:fill="auto"/>
            <w:vAlign w:val="center"/>
          </w:tcPr>
          <w:p w14:paraId="0116D04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药品生产质量管理规范</w:t>
            </w:r>
          </w:p>
        </w:tc>
      </w:tr>
      <w:tr w:rsidR="006E18E9" w:rsidRPr="00F16A5E" w14:paraId="7F17B6E7" w14:textId="77777777" w:rsidTr="00081856">
        <w:trPr>
          <w:trHeight w:val="340"/>
          <w:jc w:val="center"/>
        </w:trPr>
        <w:tc>
          <w:tcPr>
            <w:tcW w:w="1560" w:type="dxa"/>
            <w:shd w:val="clear" w:color="auto" w:fill="auto"/>
            <w:vAlign w:val="center"/>
          </w:tcPr>
          <w:p w14:paraId="4751E927"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G-CSF</w:t>
            </w:r>
          </w:p>
        </w:tc>
        <w:tc>
          <w:tcPr>
            <w:tcW w:w="4894" w:type="dxa"/>
            <w:shd w:val="clear" w:color="auto" w:fill="auto"/>
            <w:vAlign w:val="center"/>
          </w:tcPr>
          <w:p w14:paraId="2C6A49AC" w14:textId="3821BBCC"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Granulocyte Colony Stimulating Factor</w:t>
            </w:r>
          </w:p>
        </w:tc>
        <w:tc>
          <w:tcPr>
            <w:tcW w:w="3174" w:type="dxa"/>
            <w:shd w:val="clear" w:color="auto" w:fill="auto"/>
            <w:vAlign w:val="center"/>
          </w:tcPr>
          <w:p w14:paraId="0499106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粒细胞集落刺激因子</w:t>
            </w:r>
          </w:p>
        </w:tc>
      </w:tr>
      <w:tr w:rsidR="006E18E9" w:rsidRPr="00F16A5E" w14:paraId="7D105FBA" w14:textId="77777777" w:rsidTr="00081856">
        <w:trPr>
          <w:trHeight w:val="340"/>
          <w:jc w:val="center"/>
        </w:trPr>
        <w:tc>
          <w:tcPr>
            <w:tcW w:w="1560" w:type="dxa"/>
            <w:shd w:val="clear" w:color="auto" w:fill="auto"/>
            <w:vAlign w:val="center"/>
          </w:tcPr>
          <w:p w14:paraId="4BD0BA8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Hb</w:t>
            </w:r>
          </w:p>
        </w:tc>
        <w:tc>
          <w:tcPr>
            <w:tcW w:w="4894" w:type="dxa"/>
            <w:shd w:val="clear" w:color="auto" w:fill="auto"/>
            <w:vAlign w:val="center"/>
          </w:tcPr>
          <w:p w14:paraId="219165C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Hemoglobin</w:t>
            </w:r>
          </w:p>
        </w:tc>
        <w:tc>
          <w:tcPr>
            <w:tcW w:w="3174" w:type="dxa"/>
            <w:shd w:val="clear" w:color="auto" w:fill="auto"/>
            <w:vAlign w:val="center"/>
          </w:tcPr>
          <w:p w14:paraId="61FB3440"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血红蛋白</w:t>
            </w:r>
          </w:p>
        </w:tc>
      </w:tr>
      <w:tr w:rsidR="006E18E9" w:rsidRPr="00F16A5E" w14:paraId="50805DBE" w14:textId="77777777" w:rsidTr="00081856">
        <w:trPr>
          <w:trHeight w:val="340"/>
          <w:jc w:val="center"/>
        </w:trPr>
        <w:tc>
          <w:tcPr>
            <w:tcW w:w="1560" w:type="dxa"/>
            <w:shd w:val="clear" w:color="auto" w:fill="auto"/>
            <w:vAlign w:val="center"/>
          </w:tcPr>
          <w:p w14:paraId="783552A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proofErr w:type="spellStart"/>
            <w:r w:rsidRPr="00F16A5E">
              <w:rPr>
                <w:rFonts w:ascii="Times New Roman" w:eastAsia="宋体" w:hAnsi="Times New Roman"/>
                <w:sz w:val="21"/>
                <w:szCs w:val="21"/>
              </w:rPr>
              <w:t>HBcAb</w:t>
            </w:r>
            <w:proofErr w:type="spellEnd"/>
          </w:p>
        </w:tc>
        <w:tc>
          <w:tcPr>
            <w:tcW w:w="4894" w:type="dxa"/>
            <w:shd w:val="clear" w:color="auto" w:fill="auto"/>
            <w:vAlign w:val="center"/>
          </w:tcPr>
          <w:p w14:paraId="30B11368" w14:textId="683926E8"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Hepatitis B Core Antibody</w:t>
            </w:r>
          </w:p>
        </w:tc>
        <w:tc>
          <w:tcPr>
            <w:tcW w:w="3174" w:type="dxa"/>
            <w:shd w:val="clear" w:color="auto" w:fill="auto"/>
            <w:vAlign w:val="center"/>
          </w:tcPr>
          <w:p w14:paraId="144259E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乙肝核心抗体</w:t>
            </w:r>
          </w:p>
        </w:tc>
      </w:tr>
      <w:tr w:rsidR="006E18E9" w:rsidRPr="00F16A5E" w14:paraId="07086A2A" w14:textId="77777777" w:rsidTr="00081856">
        <w:trPr>
          <w:trHeight w:val="340"/>
          <w:jc w:val="center"/>
        </w:trPr>
        <w:tc>
          <w:tcPr>
            <w:tcW w:w="1560" w:type="dxa"/>
            <w:shd w:val="clear" w:color="auto" w:fill="auto"/>
            <w:vAlign w:val="center"/>
          </w:tcPr>
          <w:p w14:paraId="679925E7"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HBsAg</w:t>
            </w:r>
          </w:p>
        </w:tc>
        <w:tc>
          <w:tcPr>
            <w:tcW w:w="4894" w:type="dxa"/>
            <w:shd w:val="clear" w:color="auto" w:fill="auto"/>
            <w:vAlign w:val="center"/>
          </w:tcPr>
          <w:p w14:paraId="794FEDA0" w14:textId="70E36EAC"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Hepatitis B Surface Antigen</w:t>
            </w:r>
          </w:p>
        </w:tc>
        <w:tc>
          <w:tcPr>
            <w:tcW w:w="3174" w:type="dxa"/>
            <w:shd w:val="clear" w:color="auto" w:fill="auto"/>
            <w:vAlign w:val="center"/>
          </w:tcPr>
          <w:p w14:paraId="0A5C03BF"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乙肝表面抗原</w:t>
            </w:r>
          </w:p>
        </w:tc>
      </w:tr>
      <w:tr w:rsidR="006E18E9" w:rsidRPr="00F16A5E" w14:paraId="3D6E049A" w14:textId="77777777" w:rsidTr="00081856">
        <w:trPr>
          <w:trHeight w:val="340"/>
          <w:jc w:val="center"/>
        </w:trPr>
        <w:tc>
          <w:tcPr>
            <w:tcW w:w="1560" w:type="dxa"/>
            <w:shd w:val="clear" w:color="auto" w:fill="auto"/>
            <w:vAlign w:val="center"/>
          </w:tcPr>
          <w:p w14:paraId="68DD9470"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HBV</w:t>
            </w:r>
          </w:p>
        </w:tc>
        <w:tc>
          <w:tcPr>
            <w:tcW w:w="4894" w:type="dxa"/>
            <w:shd w:val="clear" w:color="auto" w:fill="auto"/>
            <w:vAlign w:val="center"/>
          </w:tcPr>
          <w:p w14:paraId="17947BF5" w14:textId="5737745F"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H</w:t>
            </w:r>
            <w:r w:rsidRPr="00F16A5E">
              <w:rPr>
                <w:rFonts w:ascii="Times New Roman" w:eastAsia="宋体" w:hAnsi="Times New Roman"/>
                <w:sz w:val="21"/>
                <w:szCs w:val="21"/>
              </w:rPr>
              <w:t xml:space="preserve">epatitis B </w:t>
            </w:r>
            <w:r w:rsidR="0079358D" w:rsidRPr="00F16A5E">
              <w:rPr>
                <w:rFonts w:ascii="Times New Roman" w:eastAsia="宋体" w:hAnsi="Times New Roman"/>
                <w:sz w:val="21"/>
                <w:szCs w:val="21"/>
              </w:rPr>
              <w:t>Virus</w:t>
            </w:r>
          </w:p>
        </w:tc>
        <w:tc>
          <w:tcPr>
            <w:tcW w:w="3174" w:type="dxa"/>
            <w:shd w:val="clear" w:color="auto" w:fill="auto"/>
            <w:vAlign w:val="center"/>
          </w:tcPr>
          <w:p w14:paraId="366435BB"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乙型肝炎病毒</w:t>
            </w:r>
          </w:p>
        </w:tc>
      </w:tr>
      <w:tr w:rsidR="006E18E9" w:rsidRPr="00F16A5E" w14:paraId="65F0679A" w14:textId="77777777" w:rsidTr="00081856">
        <w:trPr>
          <w:trHeight w:val="340"/>
          <w:jc w:val="center"/>
        </w:trPr>
        <w:tc>
          <w:tcPr>
            <w:tcW w:w="1560" w:type="dxa"/>
            <w:shd w:val="clear" w:color="auto" w:fill="auto"/>
            <w:vAlign w:val="center"/>
          </w:tcPr>
          <w:p w14:paraId="40B34E3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HCV</w:t>
            </w:r>
          </w:p>
        </w:tc>
        <w:tc>
          <w:tcPr>
            <w:tcW w:w="4894" w:type="dxa"/>
            <w:shd w:val="clear" w:color="auto" w:fill="auto"/>
            <w:vAlign w:val="center"/>
          </w:tcPr>
          <w:p w14:paraId="39CCEF72" w14:textId="72E46386"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 xml:space="preserve">Hepatitis C </w:t>
            </w:r>
            <w:r w:rsidR="0079358D" w:rsidRPr="00F16A5E">
              <w:rPr>
                <w:rFonts w:ascii="Times New Roman" w:eastAsia="宋体" w:hAnsi="Times New Roman"/>
                <w:sz w:val="21"/>
                <w:szCs w:val="21"/>
              </w:rPr>
              <w:t>Virus</w:t>
            </w:r>
          </w:p>
        </w:tc>
        <w:tc>
          <w:tcPr>
            <w:tcW w:w="3174" w:type="dxa"/>
            <w:shd w:val="clear" w:color="auto" w:fill="auto"/>
            <w:vAlign w:val="center"/>
          </w:tcPr>
          <w:p w14:paraId="060AC33B"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丙型肝炎病毒</w:t>
            </w:r>
          </w:p>
        </w:tc>
      </w:tr>
      <w:tr w:rsidR="006E18E9" w:rsidRPr="00F16A5E" w14:paraId="1258ECF8" w14:textId="77777777" w:rsidTr="00081856">
        <w:trPr>
          <w:trHeight w:val="340"/>
          <w:jc w:val="center"/>
        </w:trPr>
        <w:tc>
          <w:tcPr>
            <w:tcW w:w="1560" w:type="dxa"/>
            <w:shd w:val="clear" w:color="auto" w:fill="auto"/>
            <w:vAlign w:val="center"/>
          </w:tcPr>
          <w:p w14:paraId="52C36F7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proofErr w:type="spellStart"/>
            <w:r w:rsidRPr="00F16A5E">
              <w:rPr>
                <w:rFonts w:ascii="Times New Roman" w:eastAsia="宋体" w:hAnsi="Times New Roman"/>
                <w:color w:val="000000"/>
                <w:sz w:val="21"/>
                <w:szCs w:val="21"/>
              </w:rPr>
              <w:t>hERG</w:t>
            </w:r>
            <w:proofErr w:type="spellEnd"/>
          </w:p>
        </w:tc>
        <w:tc>
          <w:tcPr>
            <w:tcW w:w="4894" w:type="dxa"/>
            <w:shd w:val="clear" w:color="auto" w:fill="auto"/>
            <w:vAlign w:val="center"/>
          </w:tcPr>
          <w:p w14:paraId="2E98E182" w14:textId="60765EA4"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 xml:space="preserve">Human </w:t>
            </w:r>
            <w:r w:rsidRPr="00F16A5E">
              <w:rPr>
                <w:rFonts w:ascii="Times New Roman" w:eastAsia="宋体" w:hAnsi="Times New Roman"/>
                <w:i/>
                <w:color w:val="000000"/>
                <w:sz w:val="21"/>
                <w:szCs w:val="21"/>
              </w:rPr>
              <w:t>Ether-À-Go-Go</w:t>
            </w:r>
            <w:r w:rsidRPr="00F16A5E">
              <w:rPr>
                <w:rFonts w:ascii="Times New Roman" w:eastAsia="宋体" w:hAnsi="Times New Roman"/>
                <w:color w:val="000000"/>
                <w:sz w:val="21"/>
                <w:szCs w:val="21"/>
              </w:rPr>
              <w:t xml:space="preserve"> Related Gene</w:t>
            </w:r>
          </w:p>
        </w:tc>
        <w:tc>
          <w:tcPr>
            <w:tcW w:w="3174" w:type="dxa"/>
            <w:shd w:val="clear" w:color="auto" w:fill="auto"/>
            <w:vAlign w:val="center"/>
          </w:tcPr>
          <w:p w14:paraId="3A0FFC90"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人类果蝇相关基因</w:t>
            </w:r>
          </w:p>
        </w:tc>
      </w:tr>
      <w:tr w:rsidR="006E18E9" w:rsidRPr="00F16A5E" w14:paraId="596D0877" w14:textId="77777777" w:rsidTr="00081856">
        <w:trPr>
          <w:trHeight w:val="340"/>
          <w:jc w:val="center"/>
        </w:trPr>
        <w:tc>
          <w:tcPr>
            <w:tcW w:w="1560" w:type="dxa"/>
            <w:shd w:val="clear" w:color="auto" w:fill="auto"/>
            <w:vAlign w:val="center"/>
          </w:tcPr>
          <w:p w14:paraId="7887929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HIV</w:t>
            </w:r>
          </w:p>
        </w:tc>
        <w:tc>
          <w:tcPr>
            <w:tcW w:w="4894" w:type="dxa"/>
            <w:shd w:val="clear" w:color="auto" w:fill="auto"/>
            <w:vAlign w:val="center"/>
          </w:tcPr>
          <w:p w14:paraId="040FF3BE" w14:textId="484D60A3"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Human Immunodeficiency Virus</w:t>
            </w:r>
          </w:p>
        </w:tc>
        <w:tc>
          <w:tcPr>
            <w:tcW w:w="3174" w:type="dxa"/>
            <w:shd w:val="clear" w:color="auto" w:fill="auto"/>
            <w:vAlign w:val="center"/>
          </w:tcPr>
          <w:p w14:paraId="730672BF"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proofErr w:type="spellStart"/>
            <w:r w:rsidRPr="00F16A5E">
              <w:rPr>
                <w:rFonts w:ascii="Times New Roman" w:eastAsia="宋体" w:hAnsi="Times New Roman"/>
                <w:color w:val="000000"/>
                <w:sz w:val="21"/>
                <w:szCs w:val="21"/>
              </w:rPr>
              <w:t>人类免疫缺陷病毒</w:t>
            </w:r>
            <w:proofErr w:type="spellEnd"/>
          </w:p>
        </w:tc>
      </w:tr>
      <w:tr w:rsidR="006E18E9" w:rsidRPr="00F16A5E" w14:paraId="44284571" w14:textId="77777777" w:rsidTr="00081856">
        <w:trPr>
          <w:trHeight w:val="340"/>
          <w:jc w:val="center"/>
        </w:trPr>
        <w:tc>
          <w:tcPr>
            <w:tcW w:w="1560" w:type="dxa"/>
            <w:shd w:val="clear" w:color="auto" w:fill="auto"/>
            <w:vAlign w:val="center"/>
          </w:tcPr>
          <w:p w14:paraId="46EA997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IB</w:t>
            </w:r>
          </w:p>
        </w:tc>
        <w:tc>
          <w:tcPr>
            <w:tcW w:w="4894" w:type="dxa"/>
            <w:shd w:val="clear" w:color="auto" w:fill="auto"/>
            <w:vAlign w:val="center"/>
          </w:tcPr>
          <w:p w14:paraId="310E5B13" w14:textId="061FE61D"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proofErr w:type="spellStart"/>
            <w:r w:rsidRPr="00F16A5E">
              <w:rPr>
                <w:rFonts w:ascii="Times New Roman" w:eastAsia="宋体" w:hAnsi="Times New Roman"/>
                <w:sz w:val="21"/>
                <w:szCs w:val="21"/>
              </w:rPr>
              <w:t>Investigator’S</w:t>
            </w:r>
            <w:proofErr w:type="spellEnd"/>
            <w:r w:rsidRPr="00F16A5E">
              <w:rPr>
                <w:rFonts w:ascii="Times New Roman" w:eastAsia="宋体" w:hAnsi="Times New Roman"/>
                <w:sz w:val="21"/>
                <w:szCs w:val="21"/>
              </w:rPr>
              <w:t xml:space="preserve"> Brochure</w:t>
            </w:r>
          </w:p>
        </w:tc>
        <w:tc>
          <w:tcPr>
            <w:tcW w:w="3174" w:type="dxa"/>
            <w:shd w:val="clear" w:color="auto" w:fill="auto"/>
            <w:vAlign w:val="center"/>
          </w:tcPr>
          <w:p w14:paraId="0EC8B083"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研究者手册</w:t>
            </w:r>
          </w:p>
        </w:tc>
      </w:tr>
      <w:tr w:rsidR="006E18E9" w:rsidRPr="00F16A5E" w14:paraId="5CC2BD6C" w14:textId="77777777" w:rsidTr="00081856">
        <w:trPr>
          <w:trHeight w:val="340"/>
          <w:jc w:val="center"/>
        </w:trPr>
        <w:tc>
          <w:tcPr>
            <w:tcW w:w="1560" w:type="dxa"/>
            <w:shd w:val="clear" w:color="auto" w:fill="auto"/>
            <w:vAlign w:val="center"/>
          </w:tcPr>
          <w:p w14:paraId="57FCCE33"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IC</w:t>
            </w:r>
            <w:r w:rsidRPr="00F16A5E">
              <w:rPr>
                <w:rFonts w:ascii="Times New Roman" w:eastAsia="宋体" w:hAnsi="Times New Roman"/>
                <w:color w:val="000000"/>
                <w:sz w:val="21"/>
                <w:szCs w:val="21"/>
                <w:vertAlign w:val="subscript"/>
              </w:rPr>
              <w:t>50</w:t>
            </w:r>
          </w:p>
        </w:tc>
        <w:tc>
          <w:tcPr>
            <w:tcW w:w="4894" w:type="dxa"/>
            <w:shd w:val="clear" w:color="auto" w:fill="auto"/>
            <w:vAlign w:val="center"/>
          </w:tcPr>
          <w:p w14:paraId="187F65AD" w14:textId="64EB9A4C"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 xml:space="preserve">Concentration Inhibiting </w:t>
            </w:r>
            <w:r w:rsidR="0079358D" w:rsidRPr="00F16A5E">
              <w:rPr>
                <w:rFonts w:ascii="Times New Roman" w:eastAsia="宋体" w:hAnsi="Times New Roman"/>
                <w:color w:val="000000"/>
                <w:sz w:val="21"/>
                <w:szCs w:val="21"/>
              </w:rPr>
              <w:t xml:space="preserve">50% of an </w:t>
            </w:r>
            <w:r w:rsidRPr="00F16A5E">
              <w:rPr>
                <w:rFonts w:ascii="Times New Roman" w:eastAsia="宋体" w:hAnsi="Times New Roman"/>
                <w:color w:val="000000"/>
                <w:sz w:val="21"/>
                <w:szCs w:val="21"/>
              </w:rPr>
              <w:t>Assay Response</w:t>
            </w:r>
          </w:p>
        </w:tc>
        <w:tc>
          <w:tcPr>
            <w:tcW w:w="3174" w:type="dxa"/>
            <w:shd w:val="clear" w:color="auto" w:fill="auto"/>
            <w:vAlign w:val="center"/>
          </w:tcPr>
          <w:p w14:paraId="6A6C6DF2"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半数抑制率</w:t>
            </w:r>
          </w:p>
        </w:tc>
      </w:tr>
      <w:tr w:rsidR="006E18E9" w:rsidRPr="00F16A5E" w14:paraId="515E091B" w14:textId="77777777" w:rsidTr="00081856">
        <w:trPr>
          <w:trHeight w:val="340"/>
          <w:jc w:val="center"/>
        </w:trPr>
        <w:tc>
          <w:tcPr>
            <w:tcW w:w="1560" w:type="dxa"/>
            <w:shd w:val="clear" w:color="auto" w:fill="auto"/>
            <w:vAlign w:val="center"/>
          </w:tcPr>
          <w:p w14:paraId="35E9B047"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ICH</w:t>
            </w:r>
          </w:p>
        </w:tc>
        <w:tc>
          <w:tcPr>
            <w:tcW w:w="4894" w:type="dxa"/>
            <w:shd w:val="clear" w:color="auto" w:fill="auto"/>
            <w:vAlign w:val="center"/>
          </w:tcPr>
          <w:p w14:paraId="611C57AD" w14:textId="21968A35"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 xml:space="preserve">International Conference </w:t>
            </w:r>
            <w:r w:rsidR="0079358D" w:rsidRPr="00F16A5E">
              <w:rPr>
                <w:rFonts w:ascii="Times New Roman" w:eastAsia="宋体" w:hAnsi="Times New Roman"/>
                <w:color w:val="000000"/>
                <w:sz w:val="21"/>
                <w:szCs w:val="21"/>
              </w:rPr>
              <w:t xml:space="preserve">on </w:t>
            </w:r>
            <w:r w:rsidRPr="00F16A5E">
              <w:rPr>
                <w:rFonts w:ascii="Times New Roman" w:eastAsia="宋体" w:hAnsi="Times New Roman"/>
                <w:color w:val="000000"/>
                <w:sz w:val="21"/>
                <w:szCs w:val="21"/>
              </w:rPr>
              <w:t xml:space="preserve">Harmonization </w:t>
            </w:r>
          </w:p>
        </w:tc>
        <w:tc>
          <w:tcPr>
            <w:tcW w:w="3174" w:type="dxa"/>
            <w:shd w:val="clear" w:color="auto" w:fill="auto"/>
            <w:vAlign w:val="center"/>
          </w:tcPr>
          <w:p w14:paraId="175C776B"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人用药品注册技术要求国际协调会</w:t>
            </w:r>
          </w:p>
        </w:tc>
      </w:tr>
      <w:tr w:rsidR="006E18E9" w:rsidRPr="00F16A5E" w14:paraId="6F176FE2" w14:textId="77777777" w:rsidTr="00081856">
        <w:trPr>
          <w:trHeight w:val="340"/>
          <w:jc w:val="center"/>
        </w:trPr>
        <w:tc>
          <w:tcPr>
            <w:tcW w:w="1560" w:type="dxa"/>
            <w:shd w:val="clear" w:color="auto" w:fill="auto"/>
            <w:vAlign w:val="center"/>
          </w:tcPr>
          <w:p w14:paraId="1F90245B"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ICSR</w:t>
            </w:r>
          </w:p>
        </w:tc>
        <w:tc>
          <w:tcPr>
            <w:tcW w:w="4894" w:type="dxa"/>
            <w:shd w:val="clear" w:color="auto" w:fill="auto"/>
            <w:vAlign w:val="center"/>
          </w:tcPr>
          <w:p w14:paraId="77CF7ED6" w14:textId="1CF36BAE"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Individual Case Safety Report</w:t>
            </w:r>
          </w:p>
        </w:tc>
        <w:tc>
          <w:tcPr>
            <w:tcW w:w="3174" w:type="dxa"/>
            <w:shd w:val="clear" w:color="auto" w:fill="auto"/>
            <w:vAlign w:val="center"/>
          </w:tcPr>
          <w:p w14:paraId="6E41D864"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个例安全性报告</w:t>
            </w:r>
          </w:p>
        </w:tc>
      </w:tr>
      <w:tr w:rsidR="006E18E9" w:rsidRPr="00F16A5E" w14:paraId="2DFE9AD1" w14:textId="77777777" w:rsidTr="00081856">
        <w:trPr>
          <w:trHeight w:val="340"/>
          <w:jc w:val="center"/>
        </w:trPr>
        <w:tc>
          <w:tcPr>
            <w:tcW w:w="1560" w:type="dxa"/>
            <w:shd w:val="clear" w:color="auto" w:fill="auto"/>
            <w:vAlign w:val="center"/>
          </w:tcPr>
          <w:p w14:paraId="712C1F2B"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IFN-α</w:t>
            </w:r>
          </w:p>
        </w:tc>
        <w:tc>
          <w:tcPr>
            <w:tcW w:w="4894" w:type="dxa"/>
            <w:shd w:val="clear" w:color="auto" w:fill="auto"/>
            <w:vAlign w:val="center"/>
          </w:tcPr>
          <w:p w14:paraId="44B4AE61" w14:textId="130F270C"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I</w:t>
            </w:r>
            <w:r w:rsidRPr="00F16A5E">
              <w:rPr>
                <w:rFonts w:ascii="Times New Roman" w:eastAsia="宋体" w:hAnsi="Times New Roman"/>
                <w:sz w:val="21"/>
                <w:szCs w:val="21"/>
              </w:rPr>
              <w:t>nterferon</w:t>
            </w:r>
            <w:r w:rsidR="0079358D" w:rsidRPr="00F16A5E">
              <w:rPr>
                <w:rFonts w:ascii="Times New Roman" w:eastAsia="宋体" w:hAnsi="Times New Roman"/>
                <w:sz w:val="21"/>
                <w:szCs w:val="21"/>
              </w:rPr>
              <w:t>-Α</w:t>
            </w:r>
          </w:p>
        </w:tc>
        <w:tc>
          <w:tcPr>
            <w:tcW w:w="3174" w:type="dxa"/>
            <w:shd w:val="clear" w:color="auto" w:fill="auto"/>
            <w:vAlign w:val="center"/>
          </w:tcPr>
          <w:p w14:paraId="62929F8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α-</w:t>
            </w:r>
            <w:r w:rsidRPr="00F16A5E">
              <w:rPr>
                <w:rFonts w:ascii="Times New Roman" w:eastAsia="宋体" w:hAnsi="Times New Roman"/>
                <w:sz w:val="21"/>
                <w:szCs w:val="21"/>
                <w:lang w:eastAsia="zh-CN"/>
              </w:rPr>
              <w:t>干扰素</w:t>
            </w:r>
          </w:p>
        </w:tc>
      </w:tr>
      <w:tr w:rsidR="006E18E9" w:rsidRPr="00F16A5E" w14:paraId="3970D67A" w14:textId="77777777" w:rsidTr="00081856">
        <w:trPr>
          <w:trHeight w:val="340"/>
          <w:jc w:val="center"/>
        </w:trPr>
        <w:tc>
          <w:tcPr>
            <w:tcW w:w="1560" w:type="dxa"/>
            <w:shd w:val="clear" w:color="auto" w:fill="auto"/>
            <w:vAlign w:val="center"/>
          </w:tcPr>
          <w:p w14:paraId="1B86142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Ig</w:t>
            </w:r>
          </w:p>
        </w:tc>
        <w:tc>
          <w:tcPr>
            <w:tcW w:w="4894" w:type="dxa"/>
            <w:shd w:val="clear" w:color="auto" w:fill="auto"/>
            <w:vAlign w:val="center"/>
          </w:tcPr>
          <w:p w14:paraId="01C0CA6F"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Immunoglobulin</w:t>
            </w:r>
          </w:p>
        </w:tc>
        <w:tc>
          <w:tcPr>
            <w:tcW w:w="3174" w:type="dxa"/>
            <w:shd w:val="clear" w:color="auto" w:fill="auto"/>
            <w:vAlign w:val="center"/>
          </w:tcPr>
          <w:p w14:paraId="5C22ADC2"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proofErr w:type="spellStart"/>
            <w:r w:rsidRPr="00F16A5E">
              <w:rPr>
                <w:rFonts w:ascii="Times New Roman" w:eastAsia="宋体" w:hAnsi="Times New Roman"/>
                <w:sz w:val="21"/>
                <w:szCs w:val="21"/>
              </w:rPr>
              <w:t>免疫球蛋白</w:t>
            </w:r>
            <w:proofErr w:type="spellEnd"/>
          </w:p>
        </w:tc>
      </w:tr>
      <w:tr w:rsidR="006E18E9" w:rsidRPr="00F16A5E" w14:paraId="31CDD294" w14:textId="77777777" w:rsidTr="00081856">
        <w:trPr>
          <w:trHeight w:val="340"/>
          <w:jc w:val="center"/>
        </w:trPr>
        <w:tc>
          <w:tcPr>
            <w:tcW w:w="1560" w:type="dxa"/>
            <w:shd w:val="clear" w:color="auto" w:fill="auto"/>
            <w:vAlign w:val="center"/>
          </w:tcPr>
          <w:p w14:paraId="38E0DF7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IL-6</w:t>
            </w:r>
          </w:p>
        </w:tc>
        <w:tc>
          <w:tcPr>
            <w:tcW w:w="4894" w:type="dxa"/>
            <w:shd w:val="clear" w:color="auto" w:fill="auto"/>
            <w:vAlign w:val="center"/>
          </w:tcPr>
          <w:p w14:paraId="25EA77BB" w14:textId="56C7BC3B"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 xml:space="preserve">Interleukin </w:t>
            </w:r>
            <w:r w:rsidR="0079358D" w:rsidRPr="00F16A5E">
              <w:rPr>
                <w:rFonts w:ascii="Times New Roman" w:eastAsia="宋体" w:hAnsi="Times New Roman"/>
                <w:sz w:val="21"/>
                <w:szCs w:val="21"/>
              </w:rPr>
              <w:t>6</w:t>
            </w:r>
          </w:p>
        </w:tc>
        <w:tc>
          <w:tcPr>
            <w:tcW w:w="3174" w:type="dxa"/>
            <w:shd w:val="clear" w:color="auto" w:fill="auto"/>
            <w:vAlign w:val="center"/>
          </w:tcPr>
          <w:p w14:paraId="2F00190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白介素</w:t>
            </w:r>
            <w:r w:rsidRPr="00F16A5E">
              <w:rPr>
                <w:rFonts w:ascii="Times New Roman" w:eastAsia="宋体" w:hAnsi="Times New Roman"/>
                <w:sz w:val="21"/>
                <w:szCs w:val="21"/>
                <w:lang w:eastAsia="zh-CN"/>
              </w:rPr>
              <w:t>6</w:t>
            </w:r>
          </w:p>
        </w:tc>
      </w:tr>
      <w:tr w:rsidR="006E18E9" w:rsidRPr="00F16A5E" w14:paraId="6B822375" w14:textId="77777777" w:rsidTr="00081856">
        <w:trPr>
          <w:trHeight w:val="340"/>
          <w:jc w:val="center"/>
        </w:trPr>
        <w:tc>
          <w:tcPr>
            <w:tcW w:w="1560" w:type="dxa"/>
            <w:shd w:val="clear" w:color="auto" w:fill="auto"/>
            <w:vAlign w:val="center"/>
          </w:tcPr>
          <w:p w14:paraId="40143CD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bookmarkStart w:id="424" w:name="_Hlk19089152"/>
            <w:r w:rsidRPr="00F16A5E">
              <w:rPr>
                <w:rFonts w:ascii="Times New Roman" w:eastAsia="宋体" w:hAnsi="Times New Roman"/>
                <w:sz w:val="21"/>
                <w:szCs w:val="21"/>
              </w:rPr>
              <w:t>INR</w:t>
            </w:r>
          </w:p>
        </w:tc>
        <w:tc>
          <w:tcPr>
            <w:tcW w:w="4894" w:type="dxa"/>
            <w:shd w:val="clear" w:color="auto" w:fill="auto"/>
            <w:vAlign w:val="center"/>
          </w:tcPr>
          <w:p w14:paraId="636F3CCD" w14:textId="08F1002E"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International Normalized Ratio</w:t>
            </w:r>
          </w:p>
        </w:tc>
        <w:tc>
          <w:tcPr>
            <w:tcW w:w="3174" w:type="dxa"/>
            <w:shd w:val="clear" w:color="auto" w:fill="auto"/>
            <w:vAlign w:val="center"/>
          </w:tcPr>
          <w:p w14:paraId="3D7C7AD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proofErr w:type="spellStart"/>
            <w:r w:rsidRPr="00F16A5E">
              <w:rPr>
                <w:rFonts w:ascii="Times New Roman" w:eastAsia="宋体" w:hAnsi="Times New Roman"/>
                <w:color w:val="000000"/>
                <w:sz w:val="21"/>
                <w:szCs w:val="21"/>
              </w:rPr>
              <w:t>国际标准化比率</w:t>
            </w:r>
            <w:proofErr w:type="spellEnd"/>
          </w:p>
        </w:tc>
      </w:tr>
      <w:bookmarkEnd w:id="424"/>
      <w:tr w:rsidR="006E18E9" w:rsidRPr="00F16A5E" w14:paraId="25E34C13" w14:textId="77777777" w:rsidTr="00081856">
        <w:trPr>
          <w:trHeight w:val="340"/>
          <w:jc w:val="center"/>
        </w:trPr>
        <w:tc>
          <w:tcPr>
            <w:tcW w:w="1560" w:type="dxa"/>
            <w:shd w:val="clear" w:color="auto" w:fill="auto"/>
            <w:vAlign w:val="center"/>
          </w:tcPr>
          <w:p w14:paraId="7A974207"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LDH</w:t>
            </w:r>
          </w:p>
        </w:tc>
        <w:tc>
          <w:tcPr>
            <w:tcW w:w="4894" w:type="dxa"/>
            <w:shd w:val="clear" w:color="auto" w:fill="auto"/>
            <w:vAlign w:val="center"/>
          </w:tcPr>
          <w:p w14:paraId="17CCF092" w14:textId="05BD80A9"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Lactate Dehydrogenase</w:t>
            </w:r>
          </w:p>
        </w:tc>
        <w:tc>
          <w:tcPr>
            <w:tcW w:w="3174" w:type="dxa"/>
            <w:shd w:val="clear" w:color="auto" w:fill="auto"/>
            <w:vAlign w:val="center"/>
          </w:tcPr>
          <w:p w14:paraId="2C35C56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乳酸脱氢酶</w:t>
            </w:r>
          </w:p>
        </w:tc>
      </w:tr>
      <w:tr w:rsidR="006E18E9" w:rsidRPr="00F16A5E" w14:paraId="41F6F616" w14:textId="77777777" w:rsidTr="00081856">
        <w:trPr>
          <w:trHeight w:val="340"/>
          <w:jc w:val="center"/>
        </w:trPr>
        <w:tc>
          <w:tcPr>
            <w:tcW w:w="1560" w:type="dxa"/>
            <w:shd w:val="clear" w:color="auto" w:fill="auto"/>
            <w:vAlign w:val="center"/>
          </w:tcPr>
          <w:p w14:paraId="1BEA4334"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LOAEL</w:t>
            </w:r>
          </w:p>
        </w:tc>
        <w:tc>
          <w:tcPr>
            <w:tcW w:w="4894" w:type="dxa"/>
            <w:shd w:val="clear" w:color="auto" w:fill="auto"/>
            <w:vAlign w:val="center"/>
          </w:tcPr>
          <w:p w14:paraId="0520F49E" w14:textId="57437EB2"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 xml:space="preserve">Lowest </w:t>
            </w:r>
            <w:r w:rsidR="0079358D" w:rsidRPr="00F16A5E">
              <w:rPr>
                <w:rFonts w:ascii="Times New Roman" w:eastAsia="宋体" w:hAnsi="Times New Roman"/>
                <w:sz w:val="21"/>
                <w:szCs w:val="21"/>
                <w:lang w:eastAsia="zh-CN"/>
              </w:rPr>
              <w:t>Observed Adverse Effect Level</w:t>
            </w:r>
          </w:p>
        </w:tc>
        <w:tc>
          <w:tcPr>
            <w:tcW w:w="3174" w:type="dxa"/>
            <w:shd w:val="clear" w:color="auto" w:fill="auto"/>
            <w:vAlign w:val="center"/>
          </w:tcPr>
          <w:p w14:paraId="5C54F2E4"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最低观察到的有害作用剂量</w:t>
            </w:r>
          </w:p>
        </w:tc>
      </w:tr>
      <w:tr w:rsidR="006E18E9" w:rsidRPr="00F16A5E" w14:paraId="18073EE9" w14:textId="77777777" w:rsidTr="00081856">
        <w:trPr>
          <w:trHeight w:val="340"/>
          <w:jc w:val="center"/>
        </w:trPr>
        <w:tc>
          <w:tcPr>
            <w:tcW w:w="1560" w:type="dxa"/>
            <w:shd w:val="clear" w:color="auto" w:fill="auto"/>
            <w:vAlign w:val="center"/>
          </w:tcPr>
          <w:p w14:paraId="3A4B7AFE"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LPS</w:t>
            </w:r>
          </w:p>
        </w:tc>
        <w:tc>
          <w:tcPr>
            <w:tcW w:w="4894" w:type="dxa"/>
            <w:shd w:val="clear" w:color="auto" w:fill="auto"/>
            <w:vAlign w:val="center"/>
          </w:tcPr>
          <w:p w14:paraId="7CBA234F"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Lipase</w:t>
            </w:r>
          </w:p>
        </w:tc>
        <w:tc>
          <w:tcPr>
            <w:tcW w:w="3174" w:type="dxa"/>
            <w:shd w:val="clear" w:color="auto" w:fill="auto"/>
            <w:vAlign w:val="center"/>
          </w:tcPr>
          <w:p w14:paraId="0BE98104"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脂肪酶</w:t>
            </w:r>
          </w:p>
        </w:tc>
      </w:tr>
      <w:tr w:rsidR="006E18E9" w:rsidRPr="00F16A5E" w14:paraId="64B7DB52" w14:textId="77777777" w:rsidTr="00081856">
        <w:trPr>
          <w:trHeight w:val="340"/>
          <w:jc w:val="center"/>
        </w:trPr>
        <w:tc>
          <w:tcPr>
            <w:tcW w:w="1560" w:type="dxa"/>
            <w:shd w:val="clear" w:color="auto" w:fill="auto"/>
            <w:vAlign w:val="center"/>
          </w:tcPr>
          <w:p w14:paraId="69053CEB"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LVEF</w:t>
            </w:r>
          </w:p>
        </w:tc>
        <w:tc>
          <w:tcPr>
            <w:tcW w:w="4894" w:type="dxa"/>
            <w:shd w:val="clear" w:color="auto" w:fill="auto"/>
            <w:vAlign w:val="center"/>
          </w:tcPr>
          <w:p w14:paraId="08FF0021" w14:textId="348592F2"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Left Ventricular Ejection Fractions</w:t>
            </w:r>
          </w:p>
        </w:tc>
        <w:tc>
          <w:tcPr>
            <w:tcW w:w="3174" w:type="dxa"/>
            <w:shd w:val="clear" w:color="auto" w:fill="auto"/>
            <w:vAlign w:val="center"/>
          </w:tcPr>
          <w:p w14:paraId="39B4B60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proofErr w:type="spellStart"/>
            <w:r w:rsidRPr="00F16A5E">
              <w:rPr>
                <w:rFonts w:ascii="Times New Roman" w:eastAsia="宋体" w:hAnsi="Times New Roman"/>
                <w:sz w:val="21"/>
                <w:szCs w:val="21"/>
              </w:rPr>
              <w:t>左心射血分数</w:t>
            </w:r>
            <w:proofErr w:type="spellEnd"/>
          </w:p>
        </w:tc>
      </w:tr>
      <w:tr w:rsidR="006E18E9" w:rsidRPr="00F16A5E" w14:paraId="21492A5E" w14:textId="77777777" w:rsidTr="00081856">
        <w:trPr>
          <w:trHeight w:val="340"/>
          <w:jc w:val="center"/>
        </w:trPr>
        <w:tc>
          <w:tcPr>
            <w:tcW w:w="1560" w:type="dxa"/>
            <w:shd w:val="clear" w:color="auto" w:fill="auto"/>
            <w:vAlign w:val="center"/>
          </w:tcPr>
          <w:p w14:paraId="7C65BC24"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MTD</w:t>
            </w:r>
          </w:p>
        </w:tc>
        <w:tc>
          <w:tcPr>
            <w:tcW w:w="4894" w:type="dxa"/>
            <w:shd w:val="clear" w:color="auto" w:fill="auto"/>
            <w:vAlign w:val="center"/>
          </w:tcPr>
          <w:p w14:paraId="65EFABBC" w14:textId="0AD9CCBE"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Maximum Tolerated Dose</w:t>
            </w:r>
          </w:p>
        </w:tc>
        <w:tc>
          <w:tcPr>
            <w:tcW w:w="3174" w:type="dxa"/>
            <w:shd w:val="clear" w:color="auto" w:fill="auto"/>
            <w:vAlign w:val="center"/>
          </w:tcPr>
          <w:p w14:paraId="369C327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最大耐受剂量</w:t>
            </w:r>
          </w:p>
        </w:tc>
      </w:tr>
      <w:tr w:rsidR="006E18E9" w:rsidRPr="00F16A5E" w14:paraId="0F148FD5" w14:textId="77777777" w:rsidTr="00081856">
        <w:trPr>
          <w:trHeight w:val="340"/>
          <w:jc w:val="center"/>
        </w:trPr>
        <w:tc>
          <w:tcPr>
            <w:tcW w:w="1560" w:type="dxa"/>
            <w:shd w:val="clear" w:color="auto" w:fill="auto"/>
            <w:vAlign w:val="center"/>
          </w:tcPr>
          <w:p w14:paraId="0EEB2CE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NCI</w:t>
            </w:r>
          </w:p>
        </w:tc>
        <w:tc>
          <w:tcPr>
            <w:tcW w:w="4894" w:type="dxa"/>
            <w:shd w:val="clear" w:color="auto" w:fill="auto"/>
            <w:vAlign w:val="center"/>
          </w:tcPr>
          <w:p w14:paraId="6F261160" w14:textId="195FB201"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National Cancer Institute</w:t>
            </w:r>
          </w:p>
        </w:tc>
        <w:tc>
          <w:tcPr>
            <w:tcW w:w="3174" w:type="dxa"/>
            <w:shd w:val="clear" w:color="auto" w:fill="auto"/>
            <w:vAlign w:val="center"/>
          </w:tcPr>
          <w:p w14:paraId="227574F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国家癌症中心</w:t>
            </w:r>
          </w:p>
        </w:tc>
      </w:tr>
      <w:tr w:rsidR="006E18E9" w:rsidRPr="00F16A5E" w14:paraId="419F42C2" w14:textId="77777777" w:rsidTr="00081856">
        <w:trPr>
          <w:trHeight w:val="340"/>
          <w:jc w:val="center"/>
        </w:trPr>
        <w:tc>
          <w:tcPr>
            <w:tcW w:w="1560" w:type="dxa"/>
            <w:shd w:val="clear" w:color="auto" w:fill="auto"/>
            <w:vAlign w:val="center"/>
          </w:tcPr>
          <w:p w14:paraId="22DE940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lastRenderedPageBreak/>
              <w:t>NOAEL</w:t>
            </w:r>
          </w:p>
        </w:tc>
        <w:tc>
          <w:tcPr>
            <w:tcW w:w="4894" w:type="dxa"/>
            <w:shd w:val="clear" w:color="auto" w:fill="auto"/>
            <w:vAlign w:val="center"/>
          </w:tcPr>
          <w:p w14:paraId="4FE1AC7B" w14:textId="387AD6B1"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No Observed Adverse Effect Level</w:t>
            </w:r>
          </w:p>
        </w:tc>
        <w:tc>
          <w:tcPr>
            <w:tcW w:w="3174" w:type="dxa"/>
            <w:shd w:val="clear" w:color="auto" w:fill="auto"/>
            <w:vAlign w:val="center"/>
          </w:tcPr>
          <w:p w14:paraId="1FA2BFA8"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未观察到有害作用剂量</w:t>
            </w:r>
          </w:p>
        </w:tc>
      </w:tr>
      <w:tr w:rsidR="006E18E9" w:rsidRPr="00F16A5E" w14:paraId="667B5023" w14:textId="77777777" w:rsidTr="00081856">
        <w:trPr>
          <w:trHeight w:val="340"/>
          <w:jc w:val="center"/>
        </w:trPr>
        <w:tc>
          <w:tcPr>
            <w:tcW w:w="1560" w:type="dxa"/>
            <w:shd w:val="clear" w:color="auto" w:fill="auto"/>
            <w:vAlign w:val="center"/>
          </w:tcPr>
          <w:p w14:paraId="15D0E532"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NPSLE</w:t>
            </w:r>
          </w:p>
        </w:tc>
        <w:tc>
          <w:tcPr>
            <w:tcW w:w="4894" w:type="dxa"/>
            <w:shd w:val="clear" w:color="auto" w:fill="auto"/>
            <w:vAlign w:val="center"/>
          </w:tcPr>
          <w:p w14:paraId="09F5650B" w14:textId="00D1369F"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Neuropsychiatric Systemic Lupus Erythematosus</w:t>
            </w:r>
          </w:p>
        </w:tc>
        <w:tc>
          <w:tcPr>
            <w:tcW w:w="3174" w:type="dxa"/>
            <w:shd w:val="clear" w:color="auto" w:fill="auto"/>
            <w:vAlign w:val="center"/>
          </w:tcPr>
          <w:p w14:paraId="2631FB1D"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神经精神狼疮</w:t>
            </w:r>
          </w:p>
        </w:tc>
      </w:tr>
      <w:tr w:rsidR="006E18E9" w:rsidRPr="00F16A5E" w14:paraId="56BAEF34" w14:textId="77777777" w:rsidTr="00081856">
        <w:trPr>
          <w:trHeight w:val="340"/>
          <w:jc w:val="center"/>
        </w:trPr>
        <w:tc>
          <w:tcPr>
            <w:tcW w:w="1560" w:type="dxa"/>
            <w:shd w:val="clear" w:color="auto" w:fill="auto"/>
            <w:vAlign w:val="center"/>
          </w:tcPr>
          <w:p w14:paraId="23BE4F4B"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NSAID</w:t>
            </w:r>
          </w:p>
        </w:tc>
        <w:tc>
          <w:tcPr>
            <w:tcW w:w="4894" w:type="dxa"/>
            <w:shd w:val="clear" w:color="auto" w:fill="auto"/>
            <w:vAlign w:val="center"/>
          </w:tcPr>
          <w:p w14:paraId="56F4BE65" w14:textId="5997B321"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Nonsteroidal Anti</w:t>
            </w:r>
            <w:r w:rsidR="0079358D" w:rsidRPr="00F16A5E">
              <w:rPr>
                <w:rFonts w:ascii="Times New Roman" w:eastAsia="宋体" w:hAnsi="Times New Roman"/>
                <w:color w:val="000000"/>
                <w:sz w:val="21"/>
                <w:szCs w:val="21"/>
                <w:lang w:eastAsia="zh-CN"/>
              </w:rPr>
              <w:t>-</w:t>
            </w:r>
            <w:r w:rsidR="0079358D" w:rsidRPr="00F16A5E">
              <w:rPr>
                <w:rFonts w:ascii="Times New Roman" w:eastAsia="宋体" w:hAnsi="Times New Roman"/>
                <w:color w:val="000000"/>
                <w:sz w:val="21"/>
                <w:szCs w:val="21"/>
              </w:rPr>
              <w:t xml:space="preserve">Inflammatory </w:t>
            </w:r>
            <w:r w:rsidRPr="00F16A5E">
              <w:rPr>
                <w:rFonts w:ascii="Times New Roman" w:eastAsia="宋体" w:hAnsi="Times New Roman"/>
                <w:color w:val="000000"/>
                <w:sz w:val="21"/>
                <w:szCs w:val="21"/>
              </w:rPr>
              <w:t>Drugs</w:t>
            </w:r>
          </w:p>
        </w:tc>
        <w:tc>
          <w:tcPr>
            <w:tcW w:w="3174" w:type="dxa"/>
            <w:shd w:val="clear" w:color="auto" w:fill="auto"/>
            <w:vAlign w:val="center"/>
          </w:tcPr>
          <w:p w14:paraId="063913D8"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非甾体抗炎药</w:t>
            </w:r>
          </w:p>
        </w:tc>
      </w:tr>
      <w:tr w:rsidR="006E18E9" w:rsidRPr="00F16A5E" w14:paraId="12B58C74" w14:textId="77777777" w:rsidTr="00081856">
        <w:trPr>
          <w:trHeight w:val="340"/>
          <w:jc w:val="center"/>
        </w:trPr>
        <w:tc>
          <w:tcPr>
            <w:tcW w:w="1560" w:type="dxa"/>
            <w:shd w:val="clear" w:color="auto" w:fill="auto"/>
            <w:vAlign w:val="center"/>
          </w:tcPr>
          <w:p w14:paraId="5C777E66"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NYHA</w:t>
            </w:r>
          </w:p>
        </w:tc>
        <w:tc>
          <w:tcPr>
            <w:tcW w:w="4894" w:type="dxa"/>
            <w:shd w:val="clear" w:color="auto" w:fill="auto"/>
            <w:vAlign w:val="center"/>
          </w:tcPr>
          <w:p w14:paraId="6F38E718" w14:textId="784FE8F6"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New York Heart Association</w:t>
            </w:r>
          </w:p>
        </w:tc>
        <w:tc>
          <w:tcPr>
            <w:tcW w:w="3174" w:type="dxa"/>
            <w:shd w:val="clear" w:color="auto" w:fill="auto"/>
            <w:vAlign w:val="center"/>
          </w:tcPr>
          <w:p w14:paraId="75066DF7"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纽约心脏病协会</w:t>
            </w:r>
          </w:p>
        </w:tc>
      </w:tr>
      <w:tr w:rsidR="006E18E9" w:rsidRPr="00F16A5E" w14:paraId="4730D1D8" w14:textId="77777777" w:rsidTr="00081856">
        <w:trPr>
          <w:trHeight w:val="340"/>
          <w:jc w:val="center"/>
        </w:trPr>
        <w:tc>
          <w:tcPr>
            <w:tcW w:w="1560" w:type="dxa"/>
            <w:shd w:val="clear" w:color="auto" w:fill="auto"/>
            <w:vAlign w:val="center"/>
          </w:tcPr>
          <w:p w14:paraId="59D9EB0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PBMC</w:t>
            </w:r>
          </w:p>
        </w:tc>
        <w:tc>
          <w:tcPr>
            <w:tcW w:w="4894" w:type="dxa"/>
            <w:shd w:val="clear" w:color="auto" w:fill="auto"/>
            <w:vAlign w:val="center"/>
          </w:tcPr>
          <w:p w14:paraId="181A1774" w14:textId="6F49ECD6"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Peripheral Blood Mononuclear Cell</w:t>
            </w:r>
          </w:p>
        </w:tc>
        <w:tc>
          <w:tcPr>
            <w:tcW w:w="3174" w:type="dxa"/>
            <w:shd w:val="clear" w:color="auto" w:fill="auto"/>
            <w:vAlign w:val="center"/>
          </w:tcPr>
          <w:p w14:paraId="3C02818D"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proofErr w:type="spellStart"/>
            <w:r w:rsidRPr="00F16A5E">
              <w:rPr>
                <w:rFonts w:ascii="Times New Roman" w:eastAsia="宋体" w:hAnsi="Times New Roman"/>
                <w:color w:val="000000"/>
                <w:sz w:val="21"/>
                <w:szCs w:val="21"/>
              </w:rPr>
              <w:t>外周血单个核细胞</w:t>
            </w:r>
            <w:proofErr w:type="spellEnd"/>
          </w:p>
        </w:tc>
      </w:tr>
      <w:tr w:rsidR="006E18E9" w:rsidRPr="00F16A5E" w14:paraId="49FD5022" w14:textId="77777777" w:rsidTr="00081856">
        <w:trPr>
          <w:trHeight w:val="340"/>
          <w:jc w:val="center"/>
        </w:trPr>
        <w:tc>
          <w:tcPr>
            <w:tcW w:w="1560" w:type="dxa"/>
            <w:shd w:val="clear" w:color="auto" w:fill="auto"/>
            <w:vAlign w:val="center"/>
          </w:tcPr>
          <w:p w14:paraId="36EF1A38"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PCR</w:t>
            </w:r>
          </w:p>
        </w:tc>
        <w:tc>
          <w:tcPr>
            <w:tcW w:w="4894" w:type="dxa"/>
            <w:shd w:val="clear" w:color="auto" w:fill="auto"/>
            <w:vAlign w:val="center"/>
          </w:tcPr>
          <w:p w14:paraId="0DCDAC84" w14:textId="31938326"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Polymerase Chain Reaction</w:t>
            </w:r>
          </w:p>
        </w:tc>
        <w:tc>
          <w:tcPr>
            <w:tcW w:w="3174" w:type="dxa"/>
            <w:shd w:val="clear" w:color="auto" w:fill="auto"/>
            <w:vAlign w:val="center"/>
          </w:tcPr>
          <w:p w14:paraId="265FF316"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proofErr w:type="spellStart"/>
            <w:r w:rsidRPr="00F16A5E">
              <w:rPr>
                <w:rFonts w:ascii="Times New Roman" w:eastAsia="宋体" w:hAnsi="Times New Roman"/>
                <w:color w:val="000000"/>
                <w:sz w:val="21"/>
                <w:szCs w:val="21"/>
              </w:rPr>
              <w:t>多聚酶链式反应</w:t>
            </w:r>
            <w:proofErr w:type="spellEnd"/>
          </w:p>
        </w:tc>
      </w:tr>
      <w:tr w:rsidR="006E18E9" w:rsidRPr="00F16A5E" w14:paraId="1181A545" w14:textId="77777777" w:rsidTr="00081856">
        <w:trPr>
          <w:trHeight w:val="340"/>
          <w:jc w:val="center"/>
        </w:trPr>
        <w:tc>
          <w:tcPr>
            <w:tcW w:w="1560" w:type="dxa"/>
            <w:shd w:val="clear" w:color="auto" w:fill="auto"/>
            <w:vAlign w:val="center"/>
          </w:tcPr>
          <w:p w14:paraId="15F80A9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PD</w:t>
            </w:r>
          </w:p>
        </w:tc>
        <w:tc>
          <w:tcPr>
            <w:tcW w:w="4894" w:type="dxa"/>
            <w:shd w:val="clear" w:color="auto" w:fill="auto"/>
            <w:vAlign w:val="center"/>
          </w:tcPr>
          <w:p w14:paraId="67BAD4F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Pharmacodynamics</w:t>
            </w:r>
          </w:p>
        </w:tc>
        <w:tc>
          <w:tcPr>
            <w:tcW w:w="3174" w:type="dxa"/>
            <w:shd w:val="clear" w:color="auto" w:fill="auto"/>
            <w:vAlign w:val="center"/>
          </w:tcPr>
          <w:p w14:paraId="0589C61B"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药效学</w:t>
            </w:r>
          </w:p>
        </w:tc>
      </w:tr>
      <w:tr w:rsidR="006E18E9" w:rsidRPr="00F16A5E" w14:paraId="785121E2" w14:textId="77777777" w:rsidTr="00081856">
        <w:trPr>
          <w:trHeight w:val="340"/>
          <w:jc w:val="center"/>
        </w:trPr>
        <w:tc>
          <w:tcPr>
            <w:tcW w:w="1560" w:type="dxa"/>
            <w:shd w:val="clear" w:color="auto" w:fill="auto"/>
            <w:vAlign w:val="center"/>
          </w:tcPr>
          <w:p w14:paraId="35AE0908"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PDAS</w:t>
            </w:r>
          </w:p>
        </w:tc>
        <w:tc>
          <w:tcPr>
            <w:tcW w:w="4894" w:type="dxa"/>
            <w:shd w:val="clear" w:color="auto" w:fill="auto"/>
            <w:vAlign w:val="center"/>
          </w:tcPr>
          <w:p w14:paraId="709D3DE3" w14:textId="43719817"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Pharmacodynamics Analysis Set</w:t>
            </w:r>
          </w:p>
        </w:tc>
        <w:tc>
          <w:tcPr>
            <w:tcW w:w="3174" w:type="dxa"/>
            <w:shd w:val="clear" w:color="auto" w:fill="auto"/>
            <w:vAlign w:val="center"/>
          </w:tcPr>
          <w:p w14:paraId="5B5C2054"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proofErr w:type="spellStart"/>
            <w:r w:rsidRPr="00F16A5E">
              <w:rPr>
                <w:rFonts w:ascii="Times New Roman" w:eastAsia="宋体" w:hAnsi="Times New Roman"/>
                <w:sz w:val="21"/>
                <w:lang w:val="x-none"/>
              </w:rPr>
              <w:t>药效学分析集</w:t>
            </w:r>
            <w:proofErr w:type="spellEnd"/>
          </w:p>
        </w:tc>
      </w:tr>
      <w:tr w:rsidR="006E18E9" w:rsidRPr="00F16A5E" w14:paraId="47FC227C" w14:textId="77777777" w:rsidTr="00081856">
        <w:trPr>
          <w:trHeight w:val="340"/>
          <w:jc w:val="center"/>
        </w:trPr>
        <w:tc>
          <w:tcPr>
            <w:tcW w:w="1560" w:type="dxa"/>
            <w:shd w:val="clear" w:color="auto" w:fill="auto"/>
            <w:vAlign w:val="center"/>
          </w:tcPr>
          <w:p w14:paraId="5B8DE67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PK</w:t>
            </w:r>
          </w:p>
        </w:tc>
        <w:tc>
          <w:tcPr>
            <w:tcW w:w="4894" w:type="dxa"/>
            <w:shd w:val="clear" w:color="auto" w:fill="auto"/>
            <w:vAlign w:val="center"/>
          </w:tcPr>
          <w:p w14:paraId="6DCF5DB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Pharmacokinetic</w:t>
            </w:r>
          </w:p>
        </w:tc>
        <w:tc>
          <w:tcPr>
            <w:tcW w:w="3174" w:type="dxa"/>
            <w:shd w:val="clear" w:color="auto" w:fill="auto"/>
            <w:vAlign w:val="center"/>
          </w:tcPr>
          <w:p w14:paraId="474BF4D3"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药代动力学</w:t>
            </w:r>
          </w:p>
        </w:tc>
      </w:tr>
      <w:tr w:rsidR="006E18E9" w:rsidRPr="00F16A5E" w14:paraId="05A19117" w14:textId="77777777" w:rsidTr="00081856">
        <w:trPr>
          <w:trHeight w:val="340"/>
          <w:jc w:val="center"/>
        </w:trPr>
        <w:tc>
          <w:tcPr>
            <w:tcW w:w="1560" w:type="dxa"/>
            <w:shd w:val="clear" w:color="auto" w:fill="auto"/>
            <w:vAlign w:val="center"/>
          </w:tcPr>
          <w:p w14:paraId="2EC3D51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PKAS</w:t>
            </w:r>
          </w:p>
        </w:tc>
        <w:tc>
          <w:tcPr>
            <w:tcW w:w="4894" w:type="dxa"/>
            <w:shd w:val="clear" w:color="auto" w:fill="auto"/>
            <w:vAlign w:val="center"/>
          </w:tcPr>
          <w:p w14:paraId="29D3090F" w14:textId="14A4DB5C"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Pharmacokinetic Analysis Set</w:t>
            </w:r>
          </w:p>
        </w:tc>
        <w:tc>
          <w:tcPr>
            <w:tcW w:w="3174" w:type="dxa"/>
            <w:shd w:val="clear" w:color="auto" w:fill="auto"/>
            <w:vAlign w:val="center"/>
          </w:tcPr>
          <w:p w14:paraId="200F4A4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proofErr w:type="spellStart"/>
            <w:r w:rsidRPr="00F16A5E">
              <w:rPr>
                <w:rFonts w:ascii="Times New Roman" w:eastAsia="宋体" w:hAnsi="Times New Roman"/>
                <w:sz w:val="21"/>
                <w:lang w:val="x-none"/>
              </w:rPr>
              <w:t>药代动力学分析集</w:t>
            </w:r>
            <w:proofErr w:type="spellEnd"/>
          </w:p>
        </w:tc>
      </w:tr>
      <w:tr w:rsidR="006E18E9" w:rsidRPr="00F16A5E" w14:paraId="3278CF7E" w14:textId="77777777" w:rsidTr="00081856">
        <w:trPr>
          <w:trHeight w:val="340"/>
          <w:jc w:val="center"/>
        </w:trPr>
        <w:tc>
          <w:tcPr>
            <w:tcW w:w="1560" w:type="dxa"/>
            <w:shd w:val="clear" w:color="auto" w:fill="auto"/>
            <w:vAlign w:val="center"/>
          </w:tcPr>
          <w:p w14:paraId="2247C62C"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PPS</w:t>
            </w:r>
          </w:p>
        </w:tc>
        <w:tc>
          <w:tcPr>
            <w:tcW w:w="4894" w:type="dxa"/>
            <w:shd w:val="clear" w:color="auto" w:fill="auto"/>
            <w:vAlign w:val="center"/>
          </w:tcPr>
          <w:p w14:paraId="368A3CE8" w14:textId="33637C12"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Per Protocol Set</w:t>
            </w:r>
          </w:p>
        </w:tc>
        <w:tc>
          <w:tcPr>
            <w:tcW w:w="3174" w:type="dxa"/>
            <w:shd w:val="clear" w:color="auto" w:fill="auto"/>
            <w:vAlign w:val="center"/>
          </w:tcPr>
          <w:p w14:paraId="704F6F96"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符合方案集</w:t>
            </w:r>
          </w:p>
        </w:tc>
      </w:tr>
      <w:tr w:rsidR="006E18E9" w:rsidRPr="00F16A5E" w14:paraId="51575C27" w14:textId="77777777" w:rsidTr="00081856">
        <w:trPr>
          <w:trHeight w:val="340"/>
          <w:jc w:val="center"/>
        </w:trPr>
        <w:tc>
          <w:tcPr>
            <w:tcW w:w="1560" w:type="dxa"/>
            <w:shd w:val="clear" w:color="auto" w:fill="auto"/>
            <w:vAlign w:val="center"/>
          </w:tcPr>
          <w:p w14:paraId="5FBCF44E"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PT</w:t>
            </w:r>
          </w:p>
        </w:tc>
        <w:tc>
          <w:tcPr>
            <w:tcW w:w="4894" w:type="dxa"/>
            <w:shd w:val="clear" w:color="auto" w:fill="auto"/>
            <w:vAlign w:val="center"/>
          </w:tcPr>
          <w:p w14:paraId="6EF544E0" w14:textId="0D909A28"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bookmarkStart w:id="425" w:name="_Hlk19089210"/>
            <w:r w:rsidRPr="00F16A5E">
              <w:rPr>
                <w:rFonts w:ascii="Times New Roman" w:eastAsia="宋体" w:hAnsi="Times New Roman"/>
                <w:color w:val="000000"/>
                <w:sz w:val="21"/>
                <w:szCs w:val="21"/>
              </w:rPr>
              <w:t>Prothrombin Time</w:t>
            </w:r>
            <w:bookmarkEnd w:id="425"/>
          </w:p>
        </w:tc>
        <w:tc>
          <w:tcPr>
            <w:tcW w:w="3174" w:type="dxa"/>
            <w:shd w:val="clear" w:color="auto" w:fill="auto"/>
            <w:vAlign w:val="center"/>
          </w:tcPr>
          <w:p w14:paraId="52603ED5"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凝血原酶时间</w:t>
            </w:r>
          </w:p>
        </w:tc>
      </w:tr>
      <w:tr w:rsidR="006E18E9" w:rsidRPr="00F16A5E" w14:paraId="44DA60CF" w14:textId="77777777" w:rsidTr="00081856">
        <w:trPr>
          <w:trHeight w:val="340"/>
          <w:jc w:val="center"/>
        </w:trPr>
        <w:tc>
          <w:tcPr>
            <w:tcW w:w="1560" w:type="dxa"/>
            <w:shd w:val="clear" w:color="auto" w:fill="auto"/>
            <w:vAlign w:val="center"/>
          </w:tcPr>
          <w:p w14:paraId="1F7717CA"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QD</w:t>
            </w:r>
          </w:p>
        </w:tc>
        <w:tc>
          <w:tcPr>
            <w:tcW w:w="4894" w:type="dxa"/>
            <w:shd w:val="clear" w:color="auto" w:fill="auto"/>
            <w:vAlign w:val="center"/>
          </w:tcPr>
          <w:p w14:paraId="36D86F22" w14:textId="0ACBC8AC"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bookmarkStart w:id="426" w:name="_Hlk19090216"/>
            <w:r w:rsidRPr="00F16A5E">
              <w:rPr>
                <w:rFonts w:ascii="Times New Roman" w:eastAsia="宋体" w:hAnsi="Times New Roman"/>
                <w:color w:val="000000"/>
                <w:sz w:val="21"/>
                <w:szCs w:val="21"/>
              </w:rPr>
              <w:t>Once Daily</w:t>
            </w:r>
            <w:bookmarkEnd w:id="426"/>
          </w:p>
        </w:tc>
        <w:tc>
          <w:tcPr>
            <w:tcW w:w="3174" w:type="dxa"/>
            <w:shd w:val="clear" w:color="auto" w:fill="auto"/>
            <w:vAlign w:val="center"/>
          </w:tcPr>
          <w:p w14:paraId="282C4185"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每天一次</w:t>
            </w:r>
          </w:p>
        </w:tc>
      </w:tr>
      <w:tr w:rsidR="006E18E9" w:rsidRPr="00F16A5E" w14:paraId="2DE330F4" w14:textId="77777777" w:rsidTr="00081856">
        <w:trPr>
          <w:trHeight w:val="340"/>
          <w:jc w:val="center"/>
        </w:trPr>
        <w:tc>
          <w:tcPr>
            <w:tcW w:w="1560" w:type="dxa"/>
            <w:shd w:val="clear" w:color="auto" w:fill="auto"/>
            <w:vAlign w:val="center"/>
          </w:tcPr>
          <w:p w14:paraId="08C0C8B5"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RBC</w:t>
            </w:r>
          </w:p>
        </w:tc>
        <w:tc>
          <w:tcPr>
            <w:tcW w:w="4894" w:type="dxa"/>
            <w:shd w:val="clear" w:color="auto" w:fill="auto"/>
            <w:vAlign w:val="center"/>
          </w:tcPr>
          <w:p w14:paraId="66E0839F" w14:textId="50752583"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 xml:space="preserve">Red </w:t>
            </w:r>
            <w:r w:rsidRPr="00F16A5E">
              <w:rPr>
                <w:rFonts w:ascii="Times New Roman" w:eastAsia="宋体" w:hAnsi="Times New Roman"/>
                <w:sz w:val="21"/>
                <w:szCs w:val="21"/>
              </w:rPr>
              <w:t>Blood Cell</w:t>
            </w:r>
          </w:p>
        </w:tc>
        <w:tc>
          <w:tcPr>
            <w:tcW w:w="3174" w:type="dxa"/>
            <w:shd w:val="clear" w:color="auto" w:fill="auto"/>
            <w:vAlign w:val="center"/>
          </w:tcPr>
          <w:p w14:paraId="4E26499F"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红细胞</w:t>
            </w:r>
          </w:p>
        </w:tc>
      </w:tr>
      <w:tr w:rsidR="006E18E9" w:rsidRPr="00F16A5E" w14:paraId="7E9CF22C" w14:textId="77777777" w:rsidTr="00081856">
        <w:trPr>
          <w:trHeight w:val="340"/>
          <w:jc w:val="center"/>
        </w:trPr>
        <w:tc>
          <w:tcPr>
            <w:tcW w:w="1560" w:type="dxa"/>
            <w:shd w:val="clear" w:color="auto" w:fill="auto"/>
            <w:vAlign w:val="center"/>
          </w:tcPr>
          <w:p w14:paraId="7FD9D27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SAE</w:t>
            </w:r>
          </w:p>
        </w:tc>
        <w:tc>
          <w:tcPr>
            <w:tcW w:w="4894" w:type="dxa"/>
            <w:shd w:val="clear" w:color="auto" w:fill="auto"/>
            <w:vAlign w:val="center"/>
          </w:tcPr>
          <w:p w14:paraId="626BE031" w14:textId="0C73FE41"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Serious Adverse Event</w:t>
            </w:r>
          </w:p>
        </w:tc>
        <w:tc>
          <w:tcPr>
            <w:tcW w:w="3174" w:type="dxa"/>
            <w:shd w:val="clear" w:color="auto" w:fill="auto"/>
            <w:vAlign w:val="center"/>
          </w:tcPr>
          <w:p w14:paraId="5F84A43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严重不良事件</w:t>
            </w:r>
          </w:p>
        </w:tc>
      </w:tr>
      <w:tr w:rsidR="006E18E9" w:rsidRPr="00F16A5E" w14:paraId="58DA7485" w14:textId="77777777" w:rsidTr="00081856">
        <w:trPr>
          <w:trHeight w:val="340"/>
          <w:jc w:val="center"/>
        </w:trPr>
        <w:tc>
          <w:tcPr>
            <w:tcW w:w="1560" w:type="dxa"/>
            <w:shd w:val="clear" w:color="auto" w:fill="auto"/>
            <w:vAlign w:val="center"/>
          </w:tcPr>
          <w:p w14:paraId="66038F8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SAS</w:t>
            </w:r>
          </w:p>
        </w:tc>
        <w:tc>
          <w:tcPr>
            <w:tcW w:w="4894" w:type="dxa"/>
            <w:shd w:val="clear" w:color="auto" w:fill="auto"/>
            <w:vAlign w:val="center"/>
          </w:tcPr>
          <w:p w14:paraId="31A5E62A" w14:textId="4D7E9E9B"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S</w:t>
            </w:r>
            <w:r w:rsidRPr="00F16A5E">
              <w:rPr>
                <w:rFonts w:ascii="Times New Roman" w:eastAsia="宋体" w:hAnsi="Times New Roman"/>
                <w:sz w:val="21"/>
                <w:szCs w:val="21"/>
                <w:lang w:eastAsia="zh-CN"/>
              </w:rPr>
              <w:t>ta</w:t>
            </w:r>
            <w:r w:rsidRPr="00F16A5E">
              <w:rPr>
                <w:rFonts w:ascii="Times New Roman" w:eastAsia="宋体" w:hAnsi="Times New Roman"/>
                <w:sz w:val="21"/>
                <w:szCs w:val="21"/>
              </w:rPr>
              <w:t xml:space="preserve">tistical </w:t>
            </w:r>
            <w:r w:rsidR="0079358D" w:rsidRPr="00F16A5E">
              <w:rPr>
                <w:rFonts w:ascii="Times New Roman" w:eastAsia="宋体" w:hAnsi="Times New Roman"/>
                <w:sz w:val="21"/>
                <w:szCs w:val="21"/>
              </w:rPr>
              <w:t>Analysis System</w:t>
            </w:r>
          </w:p>
        </w:tc>
        <w:tc>
          <w:tcPr>
            <w:tcW w:w="3174" w:type="dxa"/>
            <w:shd w:val="clear" w:color="auto" w:fill="auto"/>
            <w:vAlign w:val="center"/>
          </w:tcPr>
          <w:p w14:paraId="447BB4F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统计分析系统</w:t>
            </w:r>
          </w:p>
        </w:tc>
      </w:tr>
      <w:tr w:rsidR="006E18E9" w:rsidRPr="00F16A5E" w14:paraId="4161A7CF" w14:textId="77777777" w:rsidTr="00081856">
        <w:trPr>
          <w:trHeight w:val="340"/>
          <w:jc w:val="center"/>
        </w:trPr>
        <w:tc>
          <w:tcPr>
            <w:tcW w:w="1560" w:type="dxa"/>
            <w:shd w:val="clear" w:color="auto" w:fill="auto"/>
            <w:vAlign w:val="center"/>
          </w:tcPr>
          <w:p w14:paraId="4FB4F7C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SLE</w:t>
            </w:r>
          </w:p>
        </w:tc>
        <w:tc>
          <w:tcPr>
            <w:tcW w:w="4894" w:type="dxa"/>
            <w:shd w:val="clear" w:color="auto" w:fill="auto"/>
            <w:vAlign w:val="center"/>
          </w:tcPr>
          <w:p w14:paraId="6C921828" w14:textId="1237603A"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 xml:space="preserve">Systemic </w:t>
            </w:r>
            <w:r w:rsidR="0079358D" w:rsidRPr="00F16A5E">
              <w:rPr>
                <w:rFonts w:ascii="Times New Roman" w:eastAsia="宋体" w:hAnsi="Times New Roman"/>
                <w:sz w:val="21"/>
                <w:szCs w:val="21"/>
              </w:rPr>
              <w:t>Lupus Erythematosus</w:t>
            </w:r>
          </w:p>
        </w:tc>
        <w:tc>
          <w:tcPr>
            <w:tcW w:w="3174" w:type="dxa"/>
            <w:shd w:val="clear" w:color="auto" w:fill="auto"/>
            <w:vAlign w:val="center"/>
          </w:tcPr>
          <w:p w14:paraId="3BB59D55"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系统性红斑狼疮</w:t>
            </w:r>
          </w:p>
        </w:tc>
      </w:tr>
      <w:tr w:rsidR="006E18E9" w:rsidRPr="00F16A5E" w14:paraId="272597C5" w14:textId="77777777" w:rsidTr="00081856">
        <w:trPr>
          <w:trHeight w:val="340"/>
          <w:jc w:val="center"/>
        </w:trPr>
        <w:tc>
          <w:tcPr>
            <w:tcW w:w="1560" w:type="dxa"/>
            <w:shd w:val="clear" w:color="auto" w:fill="auto"/>
            <w:vAlign w:val="center"/>
          </w:tcPr>
          <w:p w14:paraId="5A6F998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SLEDAI</w:t>
            </w:r>
          </w:p>
        </w:tc>
        <w:tc>
          <w:tcPr>
            <w:tcW w:w="4894" w:type="dxa"/>
            <w:shd w:val="clear" w:color="auto" w:fill="auto"/>
            <w:vAlign w:val="center"/>
          </w:tcPr>
          <w:p w14:paraId="0662788A" w14:textId="23C1987C"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 xml:space="preserve">Systemic </w:t>
            </w:r>
            <w:r w:rsidR="0079358D" w:rsidRPr="00F16A5E">
              <w:rPr>
                <w:rFonts w:ascii="Times New Roman" w:eastAsia="宋体" w:hAnsi="Times New Roman"/>
                <w:sz w:val="21"/>
                <w:szCs w:val="21"/>
              </w:rPr>
              <w:t xml:space="preserve">Lupus Erythematosus </w:t>
            </w:r>
            <w:r w:rsidR="0079358D" w:rsidRPr="00F16A5E">
              <w:rPr>
                <w:rFonts w:ascii="Times New Roman" w:eastAsia="宋体" w:hAnsi="Times New Roman"/>
                <w:sz w:val="21"/>
                <w:szCs w:val="21"/>
                <w:lang w:eastAsia="zh-CN"/>
              </w:rPr>
              <w:t>Disease Activity Index</w:t>
            </w:r>
          </w:p>
        </w:tc>
        <w:tc>
          <w:tcPr>
            <w:tcW w:w="3174" w:type="dxa"/>
            <w:shd w:val="clear" w:color="auto" w:fill="auto"/>
            <w:vAlign w:val="center"/>
          </w:tcPr>
          <w:p w14:paraId="0AB6F01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系统性红斑狼疮疾病活动性指数</w:t>
            </w:r>
          </w:p>
        </w:tc>
      </w:tr>
      <w:tr w:rsidR="006E18E9" w:rsidRPr="00F16A5E" w14:paraId="015C6950" w14:textId="77777777" w:rsidTr="00081856">
        <w:trPr>
          <w:trHeight w:val="340"/>
          <w:jc w:val="center"/>
        </w:trPr>
        <w:tc>
          <w:tcPr>
            <w:tcW w:w="1560" w:type="dxa"/>
            <w:shd w:val="clear" w:color="auto" w:fill="auto"/>
            <w:vAlign w:val="center"/>
          </w:tcPr>
          <w:p w14:paraId="683C2C3E"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SLICC</w:t>
            </w:r>
          </w:p>
        </w:tc>
        <w:tc>
          <w:tcPr>
            <w:tcW w:w="4894" w:type="dxa"/>
            <w:shd w:val="clear" w:color="auto" w:fill="auto"/>
            <w:vAlign w:val="center"/>
          </w:tcPr>
          <w:p w14:paraId="677A31E5" w14:textId="03D935AC"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Systemic Lupus International Collaborating Clinics</w:t>
            </w:r>
          </w:p>
        </w:tc>
        <w:tc>
          <w:tcPr>
            <w:tcW w:w="3174" w:type="dxa"/>
            <w:shd w:val="clear" w:color="auto" w:fill="auto"/>
            <w:vAlign w:val="center"/>
          </w:tcPr>
          <w:p w14:paraId="55D90332"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系统性狼疮国际临床合作组</w:t>
            </w:r>
          </w:p>
        </w:tc>
      </w:tr>
      <w:tr w:rsidR="006E18E9" w:rsidRPr="00F16A5E" w14:paraId="700C31AE" w14:textId="77777777" w:rsidTr="00081856">
        <w:trPr>
          <w:trHeight w:val="340"/>
          <w:jc w:val="center"/>
        </w:trPr>
        <w:tc>
          <w:tcPr>
            <w:tcW w:w="1560" w:type="dxa"/>
            <w:shd w:val="clear" w:color="auto" w:fill="auto"/>
            <w:vAlign w:val="center"/>
          </w:tcPr>
          <w:p w14:paraId="5140D4D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SOP</w:t>
            </w:r>
          </w:p>
        </w:tc>
        <w:tc>
          <w:tcPr>
            <w:tcW w:w="4894" w:type="dxa"/>
            <w:shd w:val="clear" w:color="auto" w:fill="auto"/>
            <w:vAlign w:val="center"/>
          </w:tcPr>
          <w:p w14:paraId="3F3301F8" w14:textId="1B8DD860"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Standard Operating Procedure</w:t>
            </w:r>
          </w:p>
        </w:tc>
        <w:tc>
          <w:tcPr>
            <w:tcW w:w="3174" w:type="dxa"/>
            <w:shd w:val="clear" w:color="auto" w:fill="auto"/>
            <w:vAlign w:val="center"/>
          </w:tcPr>
          <w:p w14:paraId="22DF6AA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标准操作规程</w:t>
            </w:r>
          </w:p>
        </w:tc>
      </w:tr>
      <w:tr w:rsidR="006E18E9" w:rsidRPr="00F16A5E" w14:paraId="74FE99FE" w14:textId="77777777" w:rsidTr="00081856">
        <w:trPr>
          <w:trHeight w:val="340"/>
          <w:jc w:val="center"/>
        </w:trPr>
        <w:tc>
          <w:tcPr>
            <w:tcW w:w="1560" w:type="dxa"/>
            <w:shd w:val="clear" w:color="auto" w:fill="auto"/>
            <w:vAlign w:val="center"/>
          </w:tcPr>
          <w:p w14:paraId="1EDAE151"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SRI</w:t>
            </w:r>
          </w:p>
        </w:tc>
        <w:tc>
          <w:tcPr>
            <w:tcW w:w="4894" w:type="dxa"/>
            <w:shd w:val="clear" w:color="auto" w:fill="auto"/>
            <w:vAlign w:val="center"/>
          </w:tcPr>
          <w:p w14:paraId="4E0292B4" w14:textId="34DB650E"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S</w:t>
            </w:r>
            <w:r w:rsidR="00064A41" w:rsidRPr="00F16A5E">
              <w:rPr>
                <w:rFonts w:ascii="Times New Roman" w:eastAsia="宋体" w:hAnsi="Times New Roman"/>
                <w:sz w:val="21"/>
                <w:szCs w:val="21"/>
              </w:rPr>
              <w:t>LE</w:t>
            </w:r>
            <w:r w:rsidRPr="00F16A5E">
              <w:rPr>
                <w:rFonts w:ascii="Times New Roman" w:eastAsia="宋体" w:hAnsi="Times New Roman"/>
                <w:sz w:val="21"/>
                <w:szCs w:val="21"/>
              </w:rPr>
              <w:t xml:space="preserve"> Responder Index</w:t>
            </w:r>
          </w:p>
        </w:tc>
        <w:tc>
          <w:tcPr>
            <w:tcW w:w="3174" w:type="dxa"/>
            <w:shd w:val="clear" w:color="auto" w:fill="auto"/>
            <w:vAlign w:val="center"/>
          </w:tcPr>
          <w:p w14:paraId="53C2D8A8"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SLE</w:t>
            </w:r>
            <w:r w:rsidRPr="00F16A5E">
              <w:rPr>
                <w:rFonts w:ascii="Times New Roman" w:eastAsia="宋体" w:hAnsi="Times New Roman"/>
                <w:sz w:val="21"/>
                <w:szCs w:val="21"/>
                <w:lang w:eastAsia="zh-CN"/>
              </w:rPr>
              <w:t>反应指数</w:t>
            </w:r>
          </w:p>
        </w:tc>
      </w:tr>
      <w:tr w:rsidR="006E18E9" w:rsidRPr="00F16A5E" w14:paraId="1BF62756" w14:textId="77777777" w:rsidTr="00081856">
        <w:trPr>
          <w:trHeight w:val="340"/>
          <w:jc w:val="center"/>
        </w:trPr>
        <w:tc>
          <w:tcPr>
            <w:tcW w:w="1560" w:type="dxa"/>
            <w:shd w:val="clear" w:color="auto" w:fill="auto"/>
            <w:vAlign w:val="center"/>
          </w:tcPr>
          <w:p w14:paraId="666693DE"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SS</w:t>
            </w:r>
          </w:p>
        </w:tc>
        <w:tc>
          <w:tcPr>
            <w:tcW w:w="4894" w:type="dxa"/>
            <w:shd w:val="clear" w:color="auto" w:fill="auto"/>
            <w:vAlign w:val="center"/>
          </w:tcPr>
          <w:p w14:paraId="08438963" w14:textId="73C9357A"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Safety Set</w:t>
            </w:r>
          </w:p>
        </w:tc>
        <w:tc>
          <w:tcPr>
            <w:tcW w:w="3174" w:type="dxa"/>
            <w:shd w:val="clear" w:color="auto" w:fill="auto"/>
            <w:vAlign w:val="center"/>
          </w:tcPr>
          <w:p w14:paraId="21FA575C"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安全数据集</w:t>
            </w:r>
          </w:p>
        </w:tc>
      </w:tr>
      <w:tr w:rsidR="006E18E9" w:rsidRPr="00F16A5E" w14:paraId="4D08A97C" w14:textId="77777777" w:rsidTr="00081856">
        <w:trPr>
          <w:trHeight w:val="340"/>
          <w:jc w:val="center"/>
        </w:trPr>
        <w:tc>
          <w:tcPr>
            <w:tcW w:w="1560" w:type="dxa"/>
            <w:shd w:val="clear" w:color="auto" w:fill="auto"/>
            <w:vAlign w:val="center"/>
          </w:tcPr>
          <w:p w14:paraId="4D4FC99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SUSAR</w:t>
            </w:r>
          </w:p>
        </w:tc>
        <w:tc>
          <w:tcPr>
            <w:tcW w:w="4894" w:type="dxa"/>
            <w:shd w:val="clear" w:color="auto" w:fill="auto"/>
            <w:vAlign w:val="center"/>
          </w:tcPr>
          <w:p w14:paraId="08F553F1" w14:textId="18DF7BB9" w:rsidR="006E18E9" w:rsidRPr="00F16A5E" w:rsidRDefault="0079358D"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Suspected Unexcepted Serious Adverse Reaction</w:t>
            </w:r>
          </w:p>
        </w:tc>
        <w:tc>
          <w:tcPr>
            <w:tcW w:w="3174" w:type="dxa"/>
            <w:shd w:val="clear" w:color="auto" w:fill="auto"/>
            <w:vAlign w:val="center"/>
          </w:tcPr>
          <w:p w14:paraId="46A1ECDD"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可疑非预期严重不良反应</w:t>
            </w:r>
          </w:p>
        </w:tc>
      </w:tr>
      <w:tr w:rsidR="006E18E9" w:rsidRPr="00F16A5E" w14:paraId="6BB0C66C" w14:textId="77777777" w:rsidTr="00081856">
        <w:trPr>
          <w:trHeight w:val="340"/>
          <w:jc w:val="center"/>
        </w:trPr>
        <w:tc>
          <w:tcPr>
            <w:tcW w:w="1560" w:type="dxa"/>
            <w:shd w:val="clear" w:color="auto" w:fill="auto"/>
            <w:vAlign w:val="center"/>
          </w:tcPr>
          <w:p w14:paraId="605AD3A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TBIL</w:t>
            </w:r>
          </w:p>
        </w:tc>
        <w:tc>
          <w:tcPr>
            <w:tcW w:w="4894" w:type="dxa"/>
            <w:shd w:val="clear" w:color="auto" w:fill="auto"/>
            <w:vAlign w:val="center"/>
          </w:tcPr>
          <w:p w14:paraId="1776DD87" w14:textId="47328B8F"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 xml:space="preserve">Total </w:t>
            </w:r>
            <w:r w:rsidR="0079358D" w:rsidRPr="00F16A5E">
              <w:rPr>
                <w:rFonts w:ascii="Times New Roman" w:eastAsia="宋体" w:hAnsi="Times New Roman"/>
                <w:sz w:val="21"/>
                <w:szCs w:val="21"/>
                <w:lang w:eastAsia="zh-CN"/>
              </w:rPr>
              <w:t>Bilirubin</w:t>
            </w:r>
          </w:p>
        </w:tc>
        <w:tc>
          <w:tcPr>
            <w:tcW w:w="3174" w:type="dxa"/>
            <w:shd w:val="clear" w:color="auto" w:fill="auto"/>
            <w:vAlign w:val="center"/>
          </w:tcPr>
          <w:p w14:paraId="461D436F"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总胆红素</w:t>
            </w:r>
          </w:p>
        </w:tc>
      </w:tr>
      <w:tr w:rsidR="006E18E9" w:rsidRPr="00F16A5E" w14:paraId="341A7521" w14:textId="77777777" w:rsidTr="00081856">
        <w:trPr>
          <w:trHeight w:val="340"/>
          <w:jc w:val="center"/>
        </w:trPr>
        <w:tc>
          <w:tcPr>
            <w:tcW w:w="1560" w:type="dxa"/>
            <w:shd w:val="clear" w:color="auto" w:fill="auto"/>
            <w:vAlign w:val="center"/>
          </w:tcPr>
          <w:p w14:paraId="77B919E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TC</w:t>
            </w:r>
          </w:p>
        </w:tc>
        <w:tc>
          <w:tcPr>
            <w:tcW w:w="4894" w:type="dxa"/>
            <w:shd w:val="clear" w:color="auto" w:fill="auto"/>
            <w:vAlign w:val="center"/>
          </w:tcPr>
          <w:p w14:paraId="13240971" w14:textId="7AAA9737" w:rsidR="006E18E9" w:rsidRPr="00F16A5E" w:rsidRDefault="0079358D"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Total Cholesterol</w:t>
            </w:r>
          </w:p>
        </w:tc>
        <w:tc>
          <w:tcPr>
            <w:tcW w:w="3174" w:type="dxa"/>
            <w:shd w:val="clear" w:color="auto" w:fill="auto"/>
            <w:vAlign w:val="center"/>
          </w:tcPr>
          <w:p w14:paraId="688AE90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lang w:eastAsia="zh-CN"/>
              </w:rPr>
            </w:pPr>
            <w:r w:rsidRPr="00F16A5E">
              <w:rPr>
                <w:rFonts w:ascii="Times New Roman" w:eastAsia="宋体" w:hAnsi="Times New Roman"/>
                <w:sz w:val="21"/>
                <w:szCs w:val="21"/>
                <w:lang w:eastAsia="zh-CN"/>
              </w:rPr>
              <w:t>总胆固醇</w:t>
            </w:r>
          </w:p>
        </w:tc>
      </w:tr>
      <w:tr w:rsidR="006E18E9" w:rsidRPr="00F16A5E" w14:paraId="74BAAB1C" w14:textId="77777777" w:rsidTr="00081856">
        <w:trPr>
          <w:trHeight w:val="340"/>
          <w:jc w:val="center"/>
        </w:trPr>
        <w:tc>
          <w:tcPr>
            <w:tcW w:w="1560" w:type="dxa"/>
            <w:shd w:val="clear" w:color="auto" w:fill="auto"/>
            <w:vAlign w:val="center"/>
          </w:tcPr>
          <w:p w14:paraId="760C46AE"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TEAE</w:t>
            </w:r>
          </w:p>
        </w:tc>
        <w:tc>
          <w:tcPr>
            <w:tcW w:w="4894" w:type="dxa"/>
            <w:shd w:val="clear" w:color="auto" w:fill="auto"/>
            <w:vAlign w:val="center"/>
          </w:tcPr>
          <w:p w14:paraId="50007D4B" w14:textId="00855331"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color w:val="000000"/>
                <w:sz w:val="21"/>
                <w:szCs w:val="21"/>
              </w:rPr>
              <w:t>Treatment Emergent Adverse Events</w:t>
            </w:r>
          </w:p>
        </w:tc>
        <w:tc>
          <w:tcPr>
            <w:tcW w:w="3174" w:type="dxa"/>
            <w:shd w:val="clear" w:color="auto" w:fill="auto"/>
            <w:vAlign w:val="center"/>
          </w:tcPr>
          <w:p w14:paraId="3DD3784B"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治疗期间出现的不良事件</w:t>
            </w:r>
          </w:p>
        </w:tc>
      </w:tr>
      <w:tr w:rsidR="006E18E9" w:rsidRPr="00F16A5E" w14:paraId="15E8ECFF" w14:textId="77777777" w:rsidTr="00081856">
        <w:trPr>
          <w:trHeight w:val="340"/>
          <w:jc w:val="center"/>
        </w:trPr>
        <w:tc>
          <w:tcPr>
            <w:tcW w:w="1560" w:type="dxa"/>
            <w:shd w:val="clear" w:color="auto" w:fill="auto"/>
            <w:vAlign w:val="center"/>
          </w:tcPr>
          <w:p w14:paraId="38435785"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TESAE</w:t>
            </w:r>
          </w:p>
        </w:tc>
        <w:tc>
          <w:tcPr>
            <w:tcW w:w="4894" w:type="dxa"/>
            <w:shd w:val="clear" w:color="auto" w:fill="auto"/>
            <w:vAlign w:val="center"/>
          </w:tcPr>
          <w:p w14:paraId="0A815705" w14:textId="1791DE9A" w:rsidR="006E18E9" w:rsidRPr="00F16A5E" w:rsidRDefault="0079358D"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Treatment Emergent</w:t>
            </w:r>
            <w:r w:rsidRPr="00F16A5E">
              <w:rPr>
                <w:rFonts w:ascii="Times New Roman" w:eastAsia="宋体" w:hAnsi="Times New Roman"/>
                <w:sz w:val="21"/>
                <w:szCs w:val="21"/>
              </w:rPr>
              <w:t xml:space="preserve"> Serious Adverse </w:t>
            </w:r>
            <w:r w:rsidRPr="00F16A5E">
              <w:rPr>
                <w:rFonts w:ascii="Times New Roman" w:eastAsia="宋体" w:hAnsi="Times New Roman"/>
                <w:color w:val="000000"/>
                <w:sz w:val="21"/>
                <w:szCs w:val="21"/>
              </w:rPr>
              <w:t>Event</w:t>
            </w:r>
            <w:r w:rsidRPr="00F16A5E">
              <w:rPr>
                <w:rFonts w:ascii="Times New Roman" w:eastAsia="宋体" w:hAnsi="Times New Roman"/>
                <w:sz w:val="21"/>
                <w:szCs w:val="21"/>
              </w:rPr>
              <w:t>s</w:t>
            </w:r>
          </w:p>
        </w:tc>
        <w:tc>
          <w:tcPr>
            <w:tcW w:w="3174" w:type="dxa"/>
            <w:shd w:val="clear" w:color="auto" w:fill="auto"/>
            <w:vAlign w:val="center"/>
          </w:tcPr>
          <w:p w14:paraId="1EF41C28"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治疗期间出现的严重不良事件</w:t>
            </w:r>
          </w:p>
        </w:tc>
      </w:tr>
      <w:tr w:rsidR="006E18E9" w:rsidRPr="00F16A5E" w14:paraId="53AC9E21" w14:textId="77777777" w:rsidTr="00081856">
        <w:trPr>
          <w:trHeight w:val="340"/>
          <w:jc w:val="center"/>
        </w:trPr>
        <w:tc>
          <w:tcPr>
            <w:tcW w:w="1560" w:type="dxa"/>
            <w:shd w:val="clear" w:color="auto" w:fill="auto"/>
            <w:vAlign w:val="center"/>
          </w:tcPr>
          <w:p w14:paraId="23D8AA89"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TG</w:t>
            </w:r>
          </w:p>
        </w:tc>
        <w:tc>
          <w:tcPr>
            <w:tcW w:w="4894" w:type="dxa"/>
            <w:shd w:val="clear" w:color="auto" w:fill="auto"/>
            <w:vAlign w:val="center"/>
          </w:tcPr>
          <w:p w14:paraId="4A131094"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Triglyceride</w:t>
            </w:r>
          </w:p>
        </w:tc>
        <w:tc>
          <w:tcPr>
            <w:tcW w:w="3174" w:type="dxa"/>
            <w:shd w:val="clear" w:color="auto" w:fill="auto"/>
            <w:vAlign w:val="center"/>
          </w:tcPr>
          <w:p w14:paraId="586FCA31"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甘油三酯</w:t>
            </w:r>
          </w:p>
        </w:tc>
      </w:tr>
      <w:tr w:rsidR="006E18E9" w:rsidRPr="00F16A5E" w14:paraId="26159B40" w14:textId="77777777" w:rsidTr="00081856">
        <w:trPr>
          <w:trHeight w:val="340"/>
          <w:jc w:val="center"/>
        </w:trPr>
        <w:tc>
          <w:tcPr>
            <w:tcW w:w="1560" w:type="dxa"/>
            <w:shd w:val="clear" w:color="auto" w:fill="auto"/>
            <w:vAlign w:val="center"/>
          </w:tcPr>
          <w:p w14:paraId="203B3A26"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rPr>
              <w:t>T</w:t>
            </w:r>
            <w:r w:rsidRPr="00F16A5E">
              <w:rPr>
                <w:rFonts w:ascii="Times New Roman" w:eastAsia="宋体" w:hAnsi="Times New Roman"/>
                <w:color w:val="000000"/>
                <w:sz w:val="21"/>
                <w:szCs w:val="21"/>
                <w:lang w:eastAsia="zh-CN"/>
              </w:rPr>
              <w:t>R</w:t>
            </w:r>
            <w:r w:rsidRPr="00F16A5E">
              <w:rPr>
                <w:rFonts w:ascii="Times New Roman" w:eastAsia="宋体" w:hAnsi="Times New Roman"/>
                <w:color w:val="000000"/>
                <w:sz w:val="21"/>
                <w:szCs w:val="21"/>
              </w:rPr>
              <w:t>AE</w:t>
            </w:r>
          </w:p>
        </w:tc>
        <w:tc>
          <w:tcPr>
            <w:tcW w:w="4894" w:type="dxa"/>
            <w:shd w:val="clear" w:color="auto" w:fill="auto"/>
            <w:vAlign w:val="center"/>
          </w:tcPr>
          <w:p w14:paraId="1B327556" w14:textId="7F3687A1"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T</w:t>
            </w:r>
            <w:r w:rsidRPr="00F16A5E">
              <w:rPr>
                <w:rFonts w:ascii="Times New Roman" w:eastAsia="宋体" w:hAnsi="Times New Roman"/>
                <w:color w:val="000000"/>
                <w:sz w:val="21"/>
                <w:szCs w:val="21"/>
              </w:rPr>
              <w:t>reatment</w:t>
            </w:r>
            <w:r w:rsidR="0079358D" w:rsidRPr="00F16A5E">
              <w:rPr>
                <w:rFonts w:ascii="Times New Roman" w:eastAsia="宋体" w:hAnsi="Times New Roman"/>
                <w:color w:val="000000"/>
                <w:sz w:val="21"/>
                <w:szCs w:val="21"/>
              </w:rPr>
              <w:t xml:space="preserve">-Related </w:t>
            </w:r>
            <w:r w:rsidRPr="00F16A5E">
              <w:rPr>
                <w:rFonts w:ascii="Times New Roman" w:eastAsia="宋体" w:hAnsi="Times New Roman"/>
                <w:color w:val="000000"/>
                <w:sz w:val="21"/>
                <w:szCs w:val="21"/>
                <w:lang w:eastAsia="zh-CN"/>
              </w:rPr>
              <w:t>A</w:t>
            </w:r>
            <w:r w:rsidRPr="00F16A5E">
              <w:rPr>
                <w:rFonts w:ascii="Times New Roman" w:eastAsia="宋体" w:hAnsi="Times New Roman"/>
                <w:color w:val="000000"/>
                <w:sz w:val="21"/>
                <w:szCs w:val="21"/>
              </w:rPr>
              <w:t xml:space="preserve">dverse </w:t>
            </w:r>
            <w:r w:rsidRPr="00F16A5E">
              <w:rPr>
                <w:rFonts w:ascii="Times New Roman" w:eastAsia="宋体" w:hAnsi="Times New Roman"/>
                <w:color w:val="000000"/>
                <w:sz w:val="21"/>
                <w:szCs w:val="21"/>
                <w:lang w:eastAsia="zh-CN"/>
              </w:rPr>
              <w:t>E</w:t>
            </w:r>
            <w:r w:rsidRPr="00F16A5E">
              <w:rPr>
                <w:rFonts w:ascii="Times New Roman" w:eastAsia="宋体" w:hAnsi="Times New Roman"/>
                <w:color w:val="000000"/>
                <w:sz w:val="21"/>
                <w:szCs w:val="21"/>
              </w:rPr>
              <w:t>vents</w:t>
            </w:r>
          </w:p>
        </w:tc>
        <w:tc>
          <w:tcPr>
            <w:tcW w:w="3174" w:type="dxa"/>
            <w:shd w:val="clear" w:color="auto" w:fill="auto"/>
            <w:vAlign w:val="center"/>
          </w:tcPr>
          <w:p w14:paraId="79CC1A30"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与治疗有关的不良事件</w:t>
            </w:r>
          </w:p>
        </w:tc>
      </w:tr>
      <w:tr w:rsidR="006E18E9" w:rsidRPr="00F16A5E" w14:paraId="3043FA77" w14:textId="77777777" w:rsidTr="00081856">
        <w:trPr>
          <w:trHeight w:val="340"/>
          <w:jc w:val="center"/>
        </w:trPr>
        <w:tc>
          <w:tcPr>
            <w:tcW w:w="1560" w:type="dxa"/>
            <w:shd w:val="clear" w:color="auto" w:fill="auto"/>
            <w:vAlign w:val="center"/>
          </w:tcPr>
          <w:p w14:paraId="25F1AAD0"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TRSAE</w:t>
            </w:r>
          </w:p>
        </w:tc>
        <w:tc>
          <w:tcPr>
            <w:tcW w:w="4894" w:type="dxa"/>
            <w:shd w:val="clear" w:color="auto" w:fill="auto"/>
            <w:vAlign w:val="center"/>
          </w:tcPr>
          <w:p w14:paraId="4332A8C2" w14:textId="096E9DC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rPr>
            </w:pPr>
            <w:r w:rsidRPr="00F16A5E">
              <w:rPr>
                <w:rFonts w:ascii="Times New Roman" w:eastAsia="宋体" w:hAnsi="Times New Roman"/>
                <w:color w:val="000000"/>
                <w:sz w:val="21"/>
                <w:szCs w:val="21"/>
                <w:lang w:eastAsia="zh-CN"/>
              </w:rPr>
              <w:t>T</w:t>
            </w:r>
            <w:r w:rsidRPr="00F16A5E">
              <w:rPr>
                <w:rFonts w:ascii="Times New Roman" w:eastAsia="宋体" w:hAnsi="Times New Roman"/>
                <w:color w:val="000000"/>
                <w:sz w:val="21"/>
                <w:szCs w:val="21"/>
              </w:rPr>
              <w:t>reatment</w:t>
            </w:r>
            <w:r w:rsidR="0079358D" w:rsidRPr="00F16A5E">
              <w:rPr>
                <w:rFonts w:ascii="Times New Roman" w:eastAsia="宋体" w:hAnsi="Times New Roman"/>
                <w:color w:val="000000"/>
                <w:sz w:val="21"/>
                <w:szCs w:val="21"/>
              </w:rPr>
              <w:t xml:space="preserve">-Related </w:t>
            </w:r>
            <w:r w:rsidRPr="00F16A5E">
              <w:rPr>
                <w:rFonts w:ascii="Times New Roman" w:eastAsia="宋体" w:hAnsi="Times New Roman"/>
                <w:color w:val="000000"/>
                <w:sz w:val="21"/>
                <w:szCs w:val="21"/>
              </w:rPr>
              <w:t>Serious Adverse Events</w:t>
            </w:r>
          </w:p>
        </w:tc>
        <w:tc>
          <w:tcPr>
            <w:tcW w:w="3174" w:type="dxa"/>
            <w:shd w:val="clear" w:color="auto" w:fill="auto"/>
            <w:vAlign w:val="center"/>
          </w:tcPr>
          <w:p w14:paraId="0980E0FD" w14:textId="77777777" w:rsidR="006E18E9" w:rsidRPr="00F16A5E" w:rsidRDefault="006E18E9" w:rsidP="00880C9B">
            <w:pPr>
              <w:pStyle w:val="TableCellLeft"/>
              <w:keepNext w:val="0"/>
              <w:keepLines w:val="0"/>
              <w:spacing w:before="0" w:after="0"/>
              <w:jc w:val="both"/>
              <w:rPr>
                <w:rFonts w:ascii="Times New Roman" w:eastAsia="宋体" w:hAnsi="Times New Roman"/>
                <w:color w:val="000000"/>
                <w:sz w:val="21"/>
                <w:szCs w:val="21"/>
                <w:lang w:eastAsia="zh-CN"/>
              </w:rPr>
            </w:pPr>
            <w:r w:rsidRPr="00F16A5E">
              <w:rPr>
                <w:rFonts w:ascii="Times New Roman" w:eastAsia="宋体" w:hAnsi="Times New Roman"/>
                <w:color w:val="000000"/>
                <w:sz w:val="21"/>
                <w:szCs w:val="21"/>
                <w:lang w:eastAsia="zh-CN"/>
              </w:rPr>
              <w:t>与治疗有关的严重不良事件</w:t>
            </w:r>
          </w:p>
        </w:tc>
      </w:tr>
      <w:tr w:rsidR="006E18E9" w:rsidRPr="00F16A5E" w14:paraId="06283223" w14:textId="77777777" w:rsidTr="00081856">
        <w:trPr>
          <w:trHeight w:val="340"/>
          <w:jc w:val="center"/>
        </w:trPr>
        <w:tc>
          <w:tcPr>
            <w:tcW w:w="1560" w:type="dxa"/>
            <w:shd w:val="clear" w:color="auto" w:fill="auto"/>
            <w:vAlign w:val="center"/>
          </w:tcPr>
          <w:p w14:paraId="3AEC75AE"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TSH</w:t>
            </w:r>
          </w:p>
        </w:tc>
        <w:tc>
          <w:tcPr>
            <w:tcW w:w="4894" w:type="dxa"/>
            <w:shd w:val="clear" w:color="auto" w:fill="auto"/>
            <w:vAlign w:val="center"/>
          </w:tcPr>
          <w:p w14:paraId="1C6B74DF" w14:textId="7C98DEB2"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Thyroid Stimulating Hormone</w:t>
            </w:r>
          </w:p>
        </w:tc>
        <w:tc>
          <w:tcPr>
            <w:tcW w:w="3174" w:type="dxa"/>
            <w:shd w:val="clear" w:color="auto" w:fill="auto"/>
            <w:vAlign w:val="center"/>
          </w:tcPr>
          <w:p w14:paraId="616F4EA0"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proofErr w:type="spellStart"/>
            <w:r w:rsidRPr="00F16A5E">
              <w:rPr>
                <w:rFonts w:ascii="Times New Roman" w:eastAsia="宋体" w:hAnsi="Times New Roman"/>
                <w:sz w:val="21"/>
                <w:szCs w:val="21"/>
              </w:rPr>
              <w:t>促甲状腺激素</w:t>
            </w:r>
            <w:proofErr w:type="spellEnd"/>
          </w:p>
        </w:tc>
      </w:tr>
      <w:tr w:rsidR="006E18E9" w:rsidRPr="00F16A5E" w14:paraId="04DCA593" w14:textId="77777777" w:rsidTr="00081856">
        <w:trPr>
          <w:trHeight w:val="340"/>
          <w:jc w:val="center"/>
        </w:trPr>
        <w:tc>
          <w:tcPr>
            <w:tcW w:w="1560" w:type="dxa"/>
            <w:shd w:val="clear" w:color="auto" w:fill="auto"/>
            <w:vAlign w:val="center"/>
          </w:tcPr>
          <w:p w14:paraId="4F180C4E"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ULN</w:t>
            </w:r>
          </w:p>
        </w:tc>
        <w:tc>
          <w:tcPr>
            <w:tcW w:w="4894" w:type="dxa"/>
            <w:shd w:val="clear" w:color="auto" w:fill="auto"/>
            <w:vAlign w:val="center"/>
          </w:tcPr>
          <w:p w14:paraId="689CF0E3" w14:textId="7E05E3B8"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 xml:space="preserve">Upper Limit </w:t>
            </w:r>
            <w:r w:rsidR="0079358D" w:rsidRPr="00F16A5E">
              <w:rPr>
                <w:rFonts w:ascii="Times New Roman" w:eastAsia="宋体" w:hAnsi="Times New Roman"/>
                <w:sz w:val="21"/>
                <w:szCs w:val="21"/>
              </w:rPr>
              <w:t xml:space="preserve">of </w:t>
            </w:r>
            <w:r w:rsidRPr="00F16A5E">
              <w:rPr>
                <w:rFonts w:ascii="Times New Roman" w:eastAsia="宋体" w:hAnsi="Times New Roman"/>
                <w:sz w:val="21"/>
                <w:szCs w:val="21"/>
              </w:rPr>
              <w:t>Normal</w:t>
            </w:r>
          </w:p>
        </w:tc>
        <w:tc>
          <w:tcPr>
            <w:tcW w:w="3174" w:type="dxa"/>
            <w:shd w:val="clear" w:color="auto" w:fill="auto"/>
            <w:vAlign w:val="center"/>
          </w:tcPr>
          <w:p w14:paraId="67D22B86"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正常值上限</w:t>
            </w:r>
          </w:p>
        </w:tc>
      </w:tr>
      <w:tr w:rsidR="006E18E9" w:rsidRPr="00F16A5E" w14:paraId="102268CE" w14:textId="77777777" w:rsidTr="00081856">
        <w:trPr>
          <w:trHeight w:val="340"/>
          <w:jc w:val="center"/>
        </w:trPr>
        <w:tc>
          <w:tcPr>
            <w:tcW w:w="1560" w:type="dxa"/>
            <w:shd w:val="clear" w:color="auto" w:fill="auto"/>
            <w:vAlign w:val="center"/>
          </w:tcPr>
          <w:p w14:paraId="1FC8AF7A"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WBC</w:t>
            </w:r>
          </w:p>
        </w:tc>
        <w:tc>
          <w:tcPr>
            <w:tcW w:w="4894" w:type="dxa"/>
            <w:shd w:val="clear" w:color="auto" w:fill="auto"/>
            <w:vAlign w:val="center"/>
          </w:tcPr>
          <w:p w14:paraId="7100A233" w14:textId="4EDF3F1B" w:rsidR="006E18E9" w:rsidRPr="00F16A5E" w:rsidRDefault="0079358D"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rPr>
              <w:t>White Blood Cell</w:t>
            </w:r>
          </w:p>
        </w:tc>
        <w:tc>
          <w:tcPr>
            <w:tcW w:w="3174" w:type="dxa"/>
            <w:shd w:val="clear" w:color="auto" w:fill="auto"/>
            <w:vAlign w:val="center"/>
          </w:tcPr>
          <w:p w14:paraId="405B7849" w14:textId="77777777" w:rsidR="006E18E9" w:rsidRPr="00F16A5E" w:rsidRDefault="006E18E9" w:rsidP="00880C9B">
            <w:pPr>
              <w:pStyle w:val="TableCellLeft"/>
              <w:keepNext w:val="0"/>
              <w:keepLines w:val="0"/>
              <w:spacing w:before="0" w:after="0"/>
              <w:jc w:val="both"/>
              <w:rPr>
                <w:rFonts w:ascii="Times New Roman" w:eastAsia="宋体" w:hAnsi="Times New Roman"/>
                <w:sz w:val="21"/>
                <w:szCs w:val="21"/>
              </w:rPr>
            </w:pPr>
            <w:r w:rsidRPr="00F16A5E">
              <w:rPr>
                <w:rFonts w:ascii="Times New Roman" w:eastAsia="宋体" w:hAnsi="Times New Roman"/>
                <w:sz w:val="21"/>
                <w:szCs w:val="21"/>
                <w:lang w:eastAsia="zh-CN"/>
              </w:rPr>
              <w:t>白细胞</w:t>
            </w:r>
          </w:p>
        </w:tc>
      </w:tr>
    </w:tbl>
    <w:p w14:paraId="131B69FA" w14:textId="5783716E" w:rsidR="006E18E9" w:rsidRPr="00F16A5E" w:rsidRDefault="006E18E9" w:rsidP="006E18E9">
      <w:pPr>
        <w:pStyle w:val="2"/>
        <w:keepLines w:val="0"/>
        <w:spacing w:beforeLines="100" w:before="312" w:after="60" w:line="360" w:lineRule="auto"/>
        <w:rPr>
          <w:rFonts w:ascii="Times New Roman" w:eastAsia="宋体" w:hAnsi="Times New Roman"/>
          <w:sz w:val="24"/>
        </w:rPr>
      </w:pPr>
      <w:bookmarkStart w:id="427" w:name="_Toc7170314"/>
      <w:bookmarkStart w:id="428" w:name="_Toc9456244"/>
      <w:bookmarkStart w:id="429" w:name="_Toc20224919"/>
      <w:bookmarkStart w:id="430" w:name="_Toc71149224"/>
      <w:r w:rsidRPr="00F16A5E">
        <w:rPr>
          <w:rFonts w:ascii="Times New Roman" w:eastAsia="宋体" w:hAnsi="Times New Roman"/>
          <w:sz w:val="24"/>
        </w:rPr>
        <w:t>10.3</w:t>
      </w:r>
      <w:bookmarkEnd w:id="427"/>
      <w:bookmarkEnd w:id="428"/>
      <w:bookmarkEnd w:id="429"/>
      <w:r w:rsidR="00310B16" w:rsidRPr="00F16A5E">
        <w:rPr>
          <w:rFonts w:ascii="Times New Roman" w:eastAsia="宋体" w:hAnsi="Times New Roman"/>
          <w:sz w:val="24"/>
        </w:rPr>
        <w:tab/>
        <w:t>Amendment History</w:t>
      </w:r>
      <w:bookmarkEnd w:id="430"/>
    </w:p>
    <w:p w14:paraId="648D1899" w14:textId="77777777" w:rsidR="00310B16" w:rsidRPr="00F16A5E" w:rsidRDefault="00310B16" w:rsidP="00EA5F3A">
      <w:pPr>
        <w:numPr>
          <w:ilvl w:val="0"/>
          <w:numId w:val="13"/>
        </w:numPr>
        <w:tabs>
          <w:tab w:val="left" w:pos="635"/>
        </w:tabs>
        <w:adjustRightInd w:val="0"/>
        <w:spacing w:beforeLines="50" w:before="156" w:line="300" w:lineRule="auto"/>
        <w:jc w:val="left"/>
        <w:textAlignment w:val="baseline"/>
        <w:rPr>
          <w:sz w:val="24"/>
        </w:rPr>
      </w:pPr>
      <w:r w:rsidRPr="00F16A5E">
        <w:rPr>
          <w:sz w:val="24"/>
        </w:rPr>
        <w:t>After this protocol is approved by the ethics committee, any modification to it needs to formulate a modification description, which shall be signed by the principal investigator. The protocol can be modified only after the sponsor agrees.</w:t>
      </w:r>
    </w:p>
    <w:p w14:paraId="13F583EB" w14:textId="77777777" w:rsidR="00310B16" w:rsidRPr="00F16A5E" w:rsidRDefault="00310B16" w:rsidP="00EA5F3A">
      <w:pPr>
        <w:numPr>
          <w:ilvl w:val="0"/>
          <w:numId w:val="13"/>
        </w:numPr>
        <w:tabs>
          <w:tab w:val="left" w:pos="635"/>
        </w:tabs>
        <w:adjustRightInd w:val="0"/>
        <w:spacing w:beforeLines="50" w:before="156" w:line="300" w:lineRule="auto"/>
        <w:jc w:val="left"/>
        <w:textAlignment w:val="baseline"/>
        <w:rPr>
          <w:sz w:val="24"/>
        </w:rPr>
      </w:pPr>
      <w:r w:rsidRPr="00F16A5E">
        <w:rPr>
          <w:sz w:val="24"/>
        </w:rPr>
        <w:lastRenderedPageBreak/>
        <w:t>The modified protocol must be reviewed or filed by the ethics committee before it can be executed.</w:t>
      </w:r>
    </w:p>
    <w:p w14:paraId="7581F98A" w14:textId="194F68FC" w:rsidR="006E18E9" w:rsidRPr="00F16A5E" w:rsidRDefault="00310B16" w:rsidP="00EA5F3A">
      <w:pPr>
        <w:numPr>
          <w:ilvl w:val="0"/>
          <w:numId w:val="13"/>
        </w:numPr>
        <w:tabs>
          <w:tab w:val="left" w:pos="635"/>
        </w:tabs>
        <w:adjustRightInd w:val="0"/>
        <w:spacing w:beforeLines="50" w:before="156" w:line="300" w:lineRule="auto"/>
        <w:jc w:val="left"/>
        <w:textAlignment w:val="baseline"/>
        <w:rPr>
          <w:sz w:val="24"/>
        </w:rPr>
      </w:pPr>
      <w:r w:rsidRPr="00F16A5E">
        <w:rPr>
          <w:sz w:val="24"/>
        </w:rPr>
        <w:t>Amendment history as follows: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3079"/>
        <w:gridCol w:w="3210"/>
      </w:tblGrid>
      <w:tr w:rsidR="006E18E9" w:rsidRPr="00F16A5E" w14:paraId="7235260E" w14:textId="77777777" w:rsidTr="00880C9B">
        <w:trPr>
          <w:trHeight w:val="509"/>
          <w:jc w:val="center"/>
        </w:trPr>
        <w:tc>
          <w:tcPr>
            <w:tcW w:w="1734" w:type="pct"/>
            <w:shd w:val="clear" w:color="auto" w:fill="E7E6E6" w:themeFill="background2"/>
            <w:vAlign w:val="center"/>
          </w:tcPr>
          <w:p w14:paraId="164F0E22" w14:textId="1FC370A4" w:rsidR="006E18E9" w:rsidRPr="00F16A5E" w:rsidRDefault="00310B16" w:rsidP="00880C9B">
            <w:pPr>
              <w:spacing w:line="300" w:lineRule="exact"/>
              <w:jc w:val="center"/>
              <w:rPr>
                <w:b/>
                <w:bCs/>
                <w:sz w:val="24"/>
              </w:rPr>
            </w:pPr>
            <w:bookmarkStart w:id="431" w:name="OLE_LINK2"/>
            <w:r w:rsidRPr="00F16A5E">
              <w:rPr>
                <w:b/>
                <w:bCs/>
                <w:sz w:val="24"/>
              </w:rPr>
              <w:t>Protocol No.</w:t>
            </w:r>
          </w:p>
        </w:tc>
        <w:tc>
          <w:tcPr>
            <w:tcW w:w="1599" w:type="pct"/>
            <w:shd w:val="clear" w:color="auto" w:fill="E7E6E6" w:themeFill="background2"/>
            <w:vAlign w:val="center"/>
          </w:tcPr>
          <w:p w14:paraId="71DDFC0D" w14:textId="10298A7B" w:rsidR="006E18E9" w:rsidRPr="00F16A5E" w:rsidRDefault="00310B16" w:rsidP="00880C9B">
            <w:pPr>
              <w:spacing w:line="300" w:lineRule="exact"/>
              <w:jc w:val="center"/>
              <w:rPr>
                <w:b/>
                <w:bCs/>
                <w:sz w:val="24"/>
              </w:rPr>
            </w:pPr>
            <w:r w:rsidRPr="00F16A5E">
              <w:rPr>
                <w:b/>
                <w:bCs/>
                <w:sz w:val="24"/>
              </w:rPr>
              <w:t>Version No.</w:t>
            </w:r>
          </w:p>
        </w:tc>
        <w:tc>
          <w:tcPr>
            <w:tcW w:w="1667" w:type="pct"/>
            <w:shd w:val="clear" w:color="auto" w:fill="E7E6E6" w:themeFill="background2"/>
            <w:vAlign w:val="center"/>
          </w:tcPr>
          <w:p w14:paraId="6C1B666C" w14:textId="38F4698F" w:rsidR="006E18E9" w:rsidRPr="00F16A5E" w:rsidRDefault="00310B16" w:rsidP="00880C9B">
            <w:pPr>
              <w:spacing w:line="300" w:lineRule="exact"/>
              <w:jc w:val="center"/>
              <w:rPr>
                <w:b/>
                <w:bCs/>
                <w:sz w:val="24"/>
              </w:rPr>
            </w:pPr>
            <w:r w:rsidRPr="00F16A5E">
              <w:rPr>
                <w:b/>
                <w:bCs/>
                <w:sz w:val="24"/>
              </w:rPr>
              <w:t>Version Date</w:t>
            </w:r>
          </w:p>
        </w:tc>
      </w:tr>
      <w:tr w:rsidR="00310B16" w:rsidRPr="00F16A5E" w14:paraId="0D12A60D" w14:textId="77777777" w:rsidTr="00880C9B">
        <w:trPr>
          <w:trHeight w:val="509"/>
          <w:jc w:val="center"/>
        </w:trPr>
        <w:tc>
          <w:tcPr>
            <w:tcW w:w="1734" w:type="pct"/>
            <w:shd w:val="clear" w:color="auto" w:fill="auto"/>
            <w:vAlign w:val="center"/>
          </w:tcPr>
          <w:p w14:paraId="7C01EBC8" w14:textId="77777777" w:rsidR="00310B16" w:rsidRPr="00F16A5E" w:rsidRDefault="00310B16" w:rsidP="00310B16">
            <w:pPr>
              <w:spacing w:line="300" w:lineRule="exact"/>
              <w:jc w:val="center"/>
              <w:rPr>
                <w:sz w:val="24"/>
              </w:rPr>
            </w:pPr>
            <w:r w:rsidRPr="00F16A5E">
              <w:rPr>
                <w:sz w:val="24"/>
              </w:rPr>
              <w:t>ICP-CL-00109</w:t>
            </w:r>
          </w:p>
        </w:tc>
        <w:tc>
          <w:tcPr>
            <w:tcW w:w="1599" w:type="pct"/>
            <w:shd w:val="clear" w:color="auto" w:fill="auto"/>
            <w:vAlign w:val="center"/>
          </w:tcPr>
          <w:p w14:paraId="70BF4BDE" w14:textId="77777777" w:rsidR="00310B16" w:rsidRPr="00F16A5E" w:rsidRDefault="00310B16" w:rsidP="00310B16">
            <w:pPr>
              <w:spacing w:line="300" w:lineRule="exact"/>
              <w:jc w:val="center"/>
              <w:rPr>
                <w:sz w:val="24"/>
              </w:rPr>
            </w:pPr>
            <w:r w:rsidRPr="00F16A5E">
              <w:rPr>
                <w:sz w:val="24"/>
              </w:rPr>
              <w:t>V1.0</w:t>
            </w:r>
          </w:p>
        </w:tc>
        <w:tc>
          <w:tcPr>
            <w:tcW w:w="1667" w:type="pct"/>
            <w:shd w:val="clear" w:color="auto" w:fill="auto"/>
            <w:vAlign w:val="center"/>
          </w:tcPr>
          <w:p w14:paraId="75CE795C" w14:textId="2C6381F4" w:rsidR="00310B16" w:rsidRPr="00F16A5E" w:rsidRDefault="00310B16" w:rsidP="00310B16">
            <w:pPr>
              <w:spacing w:line="300" w:lineRule="exact"/>
              <w:jc w:val="center"/>
              <w:rPr>
                <w:sz w:val="24"/>
              </w:rPr>
            </w:pPr>
            <w:r w:rsidRPr="00F16A5E">
              <w:t>July 2, 2019</w:t>
            </w:r>
          </w:p>
        </w:tc>
      </w:tr>
      <w:tr w:rsidR="00310B16" w:rsidRPr="00F16A5E" w14:paraId="008CAE93" w14:textId="77777777" w:rsidTr="00880C9B">
        <w:trPr>
          <w:trHeight w:val="509"/>
          <w:jc w:val="center"/>
        </w:trPr>
        <w:tc>
          <w:tcPr>
            <w:tcW w:w="1734" w:type="pct"/>
            <w:shd w:val="clear" w:color="auto" w:fill="auto"/>
            <w:vAlign w:val="center"/>
          </w:tcPr>
          <w:p w14:paraId="1F78FC4B" w14:textId="77777777" w:rsidR="00310B16" w:rsidRPr="00F16A5E" w:rsidRDefault="00310B16" w:rsidP="00310B16">
            <w:pPr>
              <w:spacing w:line="300" w:lineRule="exact"/>
              <w:jc w:val="center"/>
              <w:rPr>
                <w:sz w:val="24"/>
              </w:rPr>
            </w:pPr>
            <w:r w:rsidRPr="00F16A5E">
              <w:rPr>
                <w:sz w:val="24"/>
              </w:rPr>
              <w:t>ICP-CL-00109</w:t>
            </w:r>
          </w:p>
        </w:tc>
        <w:tc>
          <w:tcPr>
            <w:tcW w:w="1599" w:type="pct"/>
            <w:shd w:val="clear" w:color="auto" w:fill="auto"/>
            <w:vAlign w:val="center"/>
          </w:tcPr>
          <w:p w14:paraId="7F738C3A" w14:textId="77777777" w:rsidR="00310B16" w:rsidRPr="00F16A5E" w:rsidDel="00A829E1" w:rsidRDefault="00310B16" w:rsidP="00310B16">
            <w:pPr>
              <w:spacing w:line="300" w:lineRule="exact"/>
              <w:jc w:val="center"/>
              <w:rPr>
                <w:sz w:val="24"/>
              </w:rPr>
            </w:pPr>
            <w:r w:rsidRPr="00F16A5E">
              <w:rPr>
                <w:sz w:val="24"/>
              </w:rPr>
              <w:t>V2.0</w:t>
            </w:r>
          </w:p>
        </w:tc>
        <w:tc>
          <w:tcPr>
            <w:tcW w:w="1667" w:type="pct"/>
            <w:shd w:val="clear" w:color="auto" w:fill="auto"/>
            <w:vAlign w:val="center"/>
          </w:tcPr>
          <w:p w14:paraId="0ED79C1D" w14:textId="61264B9D" w:rsidR="00310B16" w:rsidRPr="00F16A5E" w:rsidRDefault="00310B16" w:rsidP="00310B16">
            <w:pPr>
              <w:spacing w:line="300" w:lineRule="exact"/>
              <w:jc w:val="center"/>
              <w:rPr>
                <w:sz w:val="24"/>
              </w:rPr>
            </w:pPr>
            <w:r w:rsidRPr="00F16A5E">
              <w:t>September 10, 2019</w:t>
            </w:r>
          </w:p>
        </w:tc>
      </w:tr>
      <w:tr w:rsidR="00310B16" w:rsidRPr="00F16A5E" w14:paraId="39AEF9C4" w14:textId="77777777" w:rsidTr="00880C9B">
        <w:trPr>
          <w:trHeight w:val="509"/>
          <w:jc w:val="center"/>
        </w:trPr>
        <w:tc>
          <w:tcPr>
            <w:tcW w:w="1734" w:type="pct"/>
            <w:shd w:val="clear" w:color="auto" w:fill="auto"/>
            <w:vAlign w:val="center"/>
          </w:tcPr>
          <w:p w14:paraId="3011ED0F" w14:textId="77777777" w:rsidR="00310B16" w:rsidRPr="00F16A5E" w:rsidRDefault="00310B16" w:rsidP="00310B16">
            <w:pPr>
              <w:spacing w:line="300" w:lineRule="exact"/>
              <w:jc w:val="center"/>
              <w:rPr>
                <w:sz w:val="24"/>
              </w:rPr>
            </w:pPr>
            <w:r w:rsidRPr="00F16A5E">
              <w:rPr>
                <w:sz w:val="24"/>
              </w:rPr>
              <w:t>ICP-CL-00109</w:t>
            </w:r>
          </w:p>
        </w:tc>
        <w:tc>
          <w:tcPr>
            <w:tcW w:w="1599" w:type="pct"/>
            <w:shd w:val="clear" w:color="auto" w:fill="auto"/>
            <w:vAlign w:val="center"/>
          </w:tcPr>
          <w:p w14:paraId="3AC02002" w14:textId="77777777" w:rsidR="00310B16" w:rsidRPr="00F16A5E" w:rsidRDefault="00310B16" w:rsidP="00310B16">
            <w:pPr>
              <w:spacing w:line="300" w:lineRule="exact"/>
              <w:jc w:val="center"/>
              <w:rPr>
                <w:sz w:val="24"/>
              </w:rPr>
            </w:pPr>
            <w:r w:rsidRPr="00F16A5E">
              <w:rPr>
                <w:sz w:val="24"/>
              </w:rPr>
              <w:t>V3.0</w:t>
            </w:r>
          </w:p>
        </w:tc>
        <w:tc>
          <w:tcPr>
            <w:tcW w:w="1667" w:type="pct"/>
            <w:shd w:val="clear" w:color="auto" w:fill="auto"/>
            <w:vAlign w:val="center"/>
          </w:tcPr>
          <w:p w14:paraId="7798BD9C" w14:textId="6040240F" w:rsidR="00310B16" w:rsidRPr="00F16A5E" w:rsidRDefault="00310B16" w:rsidP="00310B16">
            <w:pPr>
              <w:spacing w:line="300" w:lineRule="exact"/>
              <w:jc w:val="center"/>
              <w:rPr>
                <w:sz w:val="24"/>
              </w:rPr>
            </w:pPr>
            <w:r w:rsidRPr="00F16A5E">
              <w:t>June 16, 2020</w:t>
            </w:r>
          </w:p>
        </w:tc>
      </w:tr>
      <w:tr w:rsidR="00310B16" w:rsidRPr="00F16A5E" w14:paraId="401F9E50" w14:textId="77777777" w:rsidTr="00880C9B">
        <w:trPr>
          <w:trHeight w:val="509"/>
          <w:jc w:val="center"/>
        </w:trPr>
        <w:tc>
          <w:tcPr>
            <w:tcW w:w="1734" w:type="pct"/>
            <w:shd w:val="clear" w:color="auto" w:fill="auto"/>
            <w:vAlign w:val="center"/>
          </w:tcPr>
          <w:p w14:paraId="08B0A3DB" w14:textId="77777777" w:rsidR="00310B16" w:rsidRPr="00F16A5E" w:rsidRDefault="00310B16" w:rsidP="00310B16">
            <w:pPr>
              <w:spacing w:line="300" w:lineRule="exact"/>
              <w:jc w:val="center"/>
              <w:rPr>
                <w:sz w:val="24"/>
              </w:rPr>
            </w:pPr>
            <w:r w:rsidRPr="00F16A5E">
              <w:rPr>
                <w:sz w:val="24"/>
              </w:rPr>
              <w:t>ICP-CL-00109</w:t>
            </w:r>
          </w:p>
        </w:tc>
        <w:tc>
          <w:tcPr>
            <w:tcW w:w="1599" w:type="pct"/>
            <w:shd w:val="clear" w:color="auto" w:fill="auto"/>
            <w:vAlign w:val="center"/>
          </w:tcPr>
          <w:p w14:paraId="7B8ABF41" w14:textId="77777777" w:rsidR="00310B16" w:rsidRPr="00F16A5E" w:rsidRDefault="00310B16" w:rsidP="00310B16">
            <w:pPr>
              <w:spacing w:line="300" w:lineRule="exact"/>
              <w:jc w:val="center"/>
              <w:rPr>
                <w:sz w:val="24"/>
              </w:rPr>
            </w:pPr>
            <w:r w:rsidRPr="00F16A5E">
              <w:rPr>
                <w:sz w:val="24"/>
              </w:rPr>
              <w:t>V4.0</w:t>
            </w:r>
          </w:p>
        </w:tc>
        <w:tc>
          <w:tcPr>
            <w:tcW w:w="1667" w:type="pct"/>
            <w:shd w:val="clear" w:color="auto" w:fill="auto"/>
            <w:vAlign w:val="center"/>
          </w:tcPr>
          <w:p w14:paraId="14D81162" w14:textId="79B83955" w:rsidR="00310B16" w:rsidRPr="00F16A5E" w:rsidRDefault="00310B16" w:rsidP="00310B16">
            <w:pPr>
              <w:spacing w:line="300" w:lineRule="exact"/>
              <w:jc w:val="center"/>
              <w:rPr>
                <w:sz w:val="24"/>
              </w:rPr>
            </w:pPr>
            <w:r w:rsidRPr="00F16A5E">
              <w:t>August 5, 2020</w:t>
            </w:r>
          </w:p>
        </w:tc>
      </w:tr>
      <w:tr w:rsidR="006E18E9" w:rsidRPr="00F16A5E" w14:paraId="04F0D324" w14:textId="77777777" w:rsidTr="00880C9B">
        <w:trPr>
          <w:trHeight w:val="509"/>
          <w:jc w:val="center"/>
        </w:trPr>
        <w:tc>
          <w:tcPr>
            <w:tcW w:w="1734" w:type="pct"/>
            <w:shd w:val="clear" w:color="auto" w:fill="auto"/>
            <w:vAlign w:val="center"/>
          </w:tcPr>
          <w:p w14:paraId="1809485E" w14:textId="77777777" w:rsidR="006E18E9" w:rsidRPr="00F16A5E" w:rsidRDefault="006E18E9" w:rsidP="00880C9B">
            <w:pPr>
              <w:spacing w:line="300" w:lineRule="exact"/>
              <w:jc w:val="center"/>
              <w:rPr>
                <w:sz w:val="24"/>
              </w:rPr>
            </w:pPr>
            <w:r w:rsidRPr="00F16A5E">
              <w:rPr>
                <w:sz w:val="24"/>
              </w:rPr>
              <w:t>ICP-CL-00109</w:t>
            </w:r>
          </w:p>
        </w:tc>
        <w:tc>
          <w:tcPr>
            <w:tcW w:w="1599" w:type="pct"/>
            <w:shd w:val="clear" w:color="auto" w:fill="auto"/>
            <w:vAlign w:val="center"/>
          </w:tcPr>
          <w:p w14:paraId="372A07CE" w14:textId="77777777" w:rsidR="006E18E9" w:rsidRPr="00F16A5E" w:rsidRDefault="006E18E9" w:rsidP="00880C9B">
            <w:pPr>
              <w:spacing w:line="300" w:lineRule="exact"/>
              <w:jc w:val="center"/>
              <w:rPr>
                <w:sz w:val="24"/>
              </w:rPr>
            </w:pPr>
            <w:r w:rsidRPr="00F16A5E">
              <w:rPr>
                <w:sz w:val="24"/>
              </w:rPr>
              <w:t>V5.0</w:t>
            </w:r>
          </w:p>
        </w:tc>
        <w:tc>
          <w:tcPr>
            <w:tcW w:w="1667" w:type="pct"/>
            <w:shd w:val="clear" w:color="auto" w:fill="auto"/>
            <w:vAlign w:val="center"/>
          </w:tcPr>
          <w:p w14:paraId="627A3284" w14:textId="4A0DC254" w:rsidR="006E18E9" w:rsidRPr="00F16A5E" w:rsidRDefault="00310B16" w:rsidP="00880C9B">
            <w:pPr>
              <w:spacing w:line="300" w:lineRule="exact"/>
              <w:jc w:val="center"/>
              <w:rPr>
                <w:sz w:val="24"/>
              </w:rPr>
            </w:pPr>
            <w:r w:rsidRPr="00F16A5E">
              <w:rPr>
                <w:sz w:val="24"/>
              </w:rPr>
              <w:t>January 7, 2021</w:t>
            </w:r>
          </w:p>
        </w:tc>
      </w:tr>
      <w:tr w:rsidR="006E18E9" w:rsidRPr="00F16A5E" w14:paraId="2EAA1CE1" w14:textId="77777777" w:rsidTr="00880C9B">
        <w:trPr>
          <w:trHeight w:val="509"/>
          <w:jc w:val="center"/>
        </w:trPr>
        <w:tc>
          <w:tcPr>
            <w:tcW w:w="5000" w:type="pct"/>
            <w:gridSpan w:val="3"/>
            <w:shd w:val="clear" w:color="auto" w:fill="auto"/>
            <w:vAlign w:val="center"/>
          </w:tcPr>
          <w:p w14:paraId="623CD93C" w14:textId="6AD7370E" w:rsidR="000734FB" w:rsidRPr="00F16A5E" w:rsidRDefault="00310B16" w:rsidP="000734FB">
            <w:pPr>
              <w:spacing w:beforeLines="50" w:before="156" w:line="360" w:lineRule="auto"/>
              <w:rPr>
                <w:b/>
                <w:bCs/>
                <w:sz w:val="24"/>
              </w:rPr>
            </w:pPr>
            <w:r w:rsidRPr="00F16A5E">
              <w:rPr>
                <w:b/>
                <w:bCs/>
                <w:sz w:val="24"/>
              </w:rPr>
              <w:t>Ma</w:t>
            </w:r>
            <w:r w:rsidR="00BF3CE6" w:rsidRPr="00F16A5E">
              <w:rPr>
                <w:b/>
                <w:bCs/>
                <w:sz w:val="24"/>
              </w:rPr>
              <w:t>jor</w:t>
            </w:r>
            <w:r w:rsidRPr="00F16A5E">
              <w:rPr>
                <w:b/>
                <w:bCs/>
                <w:sz w:val="24"/>
              </w:rPr>
              <w:t xml:space="preserve"> changes from v4.0 to v5.0:</w:t>
            </w:r>
          </w:p>
          <w:p w14:paraId="5F9EC157"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Updated the version number and version date.</w:t>
            </w:r>
          </w:p>
          <w:p w14:paraId="1356DBB5" w14:textId="5FA3D936"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ICP-022 was updated to orelabrutinib (except for study name). Orelabrutinib is a generic name which has been certified by the National Pharmacopoeia Commission.</w:t>
            </w:r>
          </w:p>
          <w:p w14:paraId="063776C4"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Added exploratory endpoint(s) for efficacy.</w:t>
            </w:r>
          </w:p>
          <w:p w14:paraId="18D3DFAC"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Inclusion Criteria #4: The total score of SLEDAI was changed to 5~12.</w:t>
            </w:r>
          </w:p>
          <w:p w14:paraId="1338923E"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 xml:space="preserve">Inclusion criteria #5: Newly added immunomodulators for standard treatment of moderate SLE: cyclosporine, leflunomide, tacrolimus, sirolimus, </w:t>
            </w:r>
            <w:proofErr w:type="spellStart"/>
            <w:r w:rsidRPr="00F16A5E">
              <w:rPr>
                <w:rFonts w:ascii="Times New Roman" w:hAnsi="Times New Roman"/>
                <w:sz w:val="24"/>
              </w:rPr>
              <w:t>mizoribine</w:t>
            </w:r>
            <w:proofErr w:type="spellEnd"/>
            <w:r w:rsidRPr="00F16A5E">
              <w:rPr>
                <w:rFonts w:ascii="Times New Roman" w:hAnsi="Times New Roman"/>
                <w:sz w:val="24"/>
              </w:rPr>
              <w:t xml:space="preserve">, 6-mercaptopurine, </w:t>
            </w:r>
            <w:proofErr w:type="spellStart"/>
            <w:r w:rsidRPr="00F16A5E">
              <w:rPr>
                <w:rFonts w:ascii="Times New Roman" w:hAnsi="Times New Roman"/>
                <w:sz w:val="24"/>
              </w:rPr>
              <w:t>Iguratimod</w:t>
            </w:r>
            <w:proofErr w:type="spellEnd"/>
            <w:r w:rsidRPr="00F16A5E">
              <w:rPr>
                <w:rFonts w:ascii="Times New Roman" w:hAnsi="Times New Roman"/>
                <w:sz w:val="24"/>
              </w:rPr>
              <w:t xml:space="preserve"> or thalidomide.</w:t>
            </w:r>
          </w:p>
          <w:p w14:paraId="7C4F164F"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Deleted the original inclusion criterion #7 due to the overlap with exclusion criterion #2.</w:t>
            </w:r>
          </w:p>
          <w:p w14:paraId="0752D612" w14:textId="041CC7EC"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Newly added the exclusion criteria #5, #10, #11, #13, #14, #15, #18, and #19. For details, see section 4.2 of the main body.</w:t>
            </w:r>
          </w:p>
          <w:p w14:paraId="0FEB1A34"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Exclusion criterion #4: added the clinical manifestations of NPSLE.</w:t>
            </w:r>
          </w:p>
          <w:p w14:paraId="4958FB91"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Exclusion criterion #9: The time window was changed to 28 days prior to randomization.</w:t>
            </w:r>
          </w:p>
          <w:p w14:paraId="75B7D47C"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Due to the overlap with the newly added criterion #10, the original exclusion criterion was deleted: within 3 months before screening or during screening: start to use methotrexate, mycophenolic acid (mycophenolate mofetil or sodium mycophenolate), or azathioprine, hydroxychloroquine sulfate, or change its dose.</w:t>
            </w:r>
          </w:p>
          <w:p w14:paraId="285F834C"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 xml:space="preserve">Due to the overlap with the newly added criterion #10, the original exclusion criterion was deleted: within 3 months before screening or during screening: use cyclosporine, tacrolimus, </w:t>
            </w:r>
            <w:r w:rsidRPr="00F16A5E">
              <w:rPr>
                <w:rFonts w:ascii="Times New Roman" w:hAnsi="Times New Roman"/>
                <w:sz w:val="24"/>
              </w:rPr>
              <w:lastRenderedPageBreak/>
              <w:t>leflunomide, abatacept, intravenous immunoglobulin, plasma exchange, or other immunosuppressive agents/modulators.</w:t>
            </w:r>
          </w:p>
          <w:p w14:paraId="733CC3F6"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Exclusion criterion #12: The time window was changed to 6 months prior to randomization. Deleted rituximab, belimumab, or any other treatments that deplete or regulate B cells from the list of drugs that were not allowed.</w:t>
            </w:r>
          </w:p>
          <w:p w14:paraId="7D36ADE6"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The time window for pre-dose PK and BTK blood sampling was extended to within 60 minutes.</w:t>
            </w:r>
          </w:p>
          <w:p w14:paraId="35BA425F" w14:textId="77777777"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Simplified the study schedule.</w:t>
            </w:r>
          </w:p>
          <w:p w14:paraId="54A6C5D7" w14:textId="45910D0E" w:rsidR="00310B16" w:rsidRPr="00F16A5E" w:rsidRDefault="00310B16" w:rsidP="00EA5F3A">
            <w:pPr>
              <w:pStyle w:val="aa"/>
              <w:numPr>
                <w:ilvl w:val="0"/>
                <w:numId w:val="27"/>
              </w:numPr>
              <w:spacing w:beforeLines="50" w:before="156" w:line="300" w:lineRule="auto"/>
              <w:ind w:left="420" w:firstLineChars="0"/>
              <w:rPr>
                <w:rFonts w:ascii="Times New Roman" w:hAnsi="Times New Roman"/>
                <w:sz w:val="24"/>
              </w:rPr>
            </w:pPr>
            <w:r w:rsidRPr="00F16A5E">
              <w:rPr>
                <w:rFonts w:ascii="Times New Roman" w:hAnsi="Times New Roman"/>
                <w:sz w:val="24"/>
              </w:rPr>
              <w:t xml:space="preserve">Perform </w:t>
            </w:r>
            <w:proofErr w:type="spellStart"/>
            <w:r w:rsidRPr="00F16A5E">
              <w:rPr>
                <w:rFonts w:ascii="Times New Roman" w:hAnsi="Times New Roman"/>
                <w:sz w:val="24"/>
              </w:rPr>
              <w:t>haematology</w:t>
            </w:r>
            <w:proofErr w:type="spellEnd"/>
            <w:r w:rsidRPr="00F16A5E">
              <w:rPr>
                <w:rFonts w:ascii="Times New Roman" w:hAnsi="Times New Roman"/>
                <w:sz w:val="24"/>
              </w:rPr>
              <w:t>, urinalysis, blood chemistry, coagulation and other laboratory tests at D1, and the results within 5 days before the first medication can be accepted.</w:t>
            </w:r>
          </w:p>
          <w:p w14:paraId="2E5589DB" w14:textId="490ECC70" w:rsidR="00310B16" w:rsidRPr="00F16A5E" w:rsidRDefault="00310B16" w:rsidP="00880C9B">
            <w:pPr>
              <w:spacing w:beforeLines="50" w:before="156" w:line="360" w:lineRule="auto"/>
              <w:rPr>
                <w:b/>
                <w:bCs/>
                <w:sz w:val="24"/>
              </w:rPr>
            </w:pPr>
            <w:r w:rsidRPr="00F16A5E">
              <w:rPr>
                <w:b/>
                <w:bCs/>
                <w:sz w:val="24"/>
              </w:rPr>
              <w:t>Ma</w:t>
            </w:r>
            <w:r w:rsidR="00BF3CE6" w:rsidRPr="00F16A5E">
              <w:rPr>
                <w:b/>
                <w:bCs/>
                <w:sz w:val="24"/>
              </w:rPr>
              <w:t>jor</w:t>
            </w:r>
            <w:r w:rsidRPr="00F16A5E">
              <w:rPr>
                <w:b/>
                <w:bCs/>
                <w:sz w:val="24"/>
              </w:rPr>
              <w:t xml:space="preserve"> changes from v3.0 to v4.0:</w:t>
            </w:r>
          </w:p>
          <w:p w14:paraId="4558D6A1" w14:textId="77777777" w:rsidR="00310B16" w:rsidRPr="00F16A5E" w:rsidRDefault="00310B16" w:rsidP="00EA5F3A">
            <w:pPr>
              <w:pStyle w:val="aa"/>
              <w:numPr>
                <w:ilvl w:val="0"/>
                <w:numId w:val="28"/>
              </w:numPr>
              <w:spacing w:beforeLines="50" w:before="156" w:line="300" w:lineRule="auto"/>
              <w:ind w:firstLineChars="0"/>
              <w:rPr>
                <w:rFonts w:ascii="Times New Roman" w:hAnsi="Times New Roman"/>
                <w:sz w:val="24"/>
              </w:rPr>
            </w:pPr>
            <w:r w:rsidRPr="00F16A5E">
              <w:rPr>
                <w:rFonts w:ascii="Times New Roman" w:hAnsi="Times New Roman"/>
                <w:sz w:val="24"/>
              </w:rPr>
              <w:t>Updated the version number and version date.</w:t>
            </w:r>
          </w:p>
          <w:p w14:paraId="7C2EB0AE" w14:textId="77777777" w:rsidR="00310B16" w:rsidRPr="00F16A5E" w:rsidRDefault="00310B16" w:rsidP="00EA5F3A">
            <w:pPr>
              <w:pStyle w:val="aa"/>
              <w:numPr>
                <w:ilvl w:val="0"/>
                <w:numId w:val="28"/>
              </w:numPr>
              <w:spacing w:beforeLines="50" w:before="156" w:line="300" w:lineRule="auto"/>
              <w:ind w:firstLineChars="0"/>
              <w:rPr>
                <w:rFonts w:ascii="Times New Roman" w:hAnsi="Times New Roman"/>
                <w:sz w:val="24"/>
              </w:rPr>
            </w:pPr>
            <w:r w:rsidRPr="00F16A5E">
              <w:rPr>
                <w:rFonts w:ascii="Times New Roman" w:hAnsi="Times New Roman"/>
                <w:sz w:val="24"/>
              </w:rPr>
              <w:t>Added the reason and basis for the exclusion criteria of "Hemoglobin (Hb) &lt;100.0g/L" changed to "Hemoglobin &lt;90g/L" in the protocol amendment v2.0-v3.0; and the basis for modifying the cut-off value after converting the evaluation measurement of "creatinine clearance ≤40ml/min".</w:t>
            </w:r>
          </w:p>
          <w:p w14:paraId="4DF8744D" w14:textId="64DD30A7" w:rsidR="00310B16" w:rsidRPr="00F16A5E" w:rsidRDefault="00310B16" w:rsidP="00EA5F3A">
            <w:pPr>
              <w:pStyle w:val="aa"/>
              <w:numPr>
                <w:ilvl w:val="0"/>
                <w:numId w:val="28"/>
              </w:numPr>
              <w:spacing w:beforeLines="50" w:before="156" w:line="300" w:lineRule="auto"/>
              <w:ind w:firstLineChars="0"/>
              <w:rPr>
                <w:rFonts w:ascii="Times New Roman" w:hAnsi="Times New Roman"/>
                <w:sz w:val="24"/>
              </w:rPr>
            </w:pPr>
            <w:r w:rsidRPr="00F16A5E">
              <w:rPr>
                <w:rFonts w:ascii="Times New Roman" w:hAnsi="Times New Roman"/>
                <w:sz w:val="24"/>
              </w:rPr>
              <w:t>A note was added to Criterion #11 on page 17: “Subjects can continue to receive treatment until they meet the criteria for termination or discontinuation of treatment prescribed by the study protocol”, which clarifies that such subjects can continue to receive study drug treatment.</w:t>
            </w:r>
          </w:p>
          <w:p w14:paraId="3514BC86" w14:textId="0FCB8D49" w:rsidR="006E18E9" w:rsidRPr="00F16A5E" w:rsidRDefault="00310B16" w:rsidP="00310B16">
            <w:pPr>
              <w:spacing w:beforeLines="50" w:before="156" w:line="360" w:lineRule="auto"/>
              <w:rPr>
                <w:b/>
                <w:bCs/>
                <w:sz w:val="24"/>
              </w:rPr>
            </w:pPr>
            <w:r w:rsidRPr="00F16A5E">
              <w:rPr>
                <w:b/>
                <w:bCs/>
                <w:sz w:val="24"/>
              </w:rPr>
              <w:t>Ma</w:t>
            </w:r>
            <w:r w:rsidR="00BF3CE6" w:rsidRPr="00F16A5E">
              <w:rPr>
                <w:b/>
                <w:bCs/>
                <w:sz w:val="24"/>
              </w:rPr>
              <w:t>jor</w:t>
            </w:r>
            <w:r w:rsidRPr="00F16A5E">
              <w:rPr>
                <w:b/>
                <w:bCs/>
                <w:sz w:val="24"/>
              </w:rPr>
              <w:t xml:space="preserve"> changes from v2.0 to v3.0:</w:t>
            </w:r>
          </w:p>
          <w:p w14:paraId="542F97BC" w14:textId="77777777" w:rsidR="00310B16" w:rsidRPr="00F16A5E" w:rsidRDefault="00310B16" w:rsidP="00EA5F3A">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Updated the version number and version date.</w:t>
            </w:r>
          </w:p>
          <w:p w14:paraId="40DCDD04" w14:textId="246670B9" w:rsidR="00310B16" w:rsidRPr="00F16A5E" w:rsidRDefault="00310B16" w:rsidP="00EA5F3A">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 xml:space="preserve">The study schedule was adjusted according to the new </w:t>
            </w:r>
            <w:r w:rsidR="00461B39" w:rsidRPr="00F16A5E">
              <w:rPr>
                <w:rFonts w:ascii="Times New Roman" w:hAnsi="Times New Roman"/>
                <w:sz w:val="24"/>
              </w:rPr>
              <w:t>study protocol</w:t>
            </w:r>
            <w:r w:rsidRPr="00F16A5E">
              <w:rPr>
                <w:rFonts w:ascii="Times New Roman" w:hAnsi="Times New Roman"/>
                <w:sz w:val="24"/>
              </w:rPr>
              <w:t>, and the acceptable time window of some test items was adjusted to ensure clinical operability.</w:t>
            </w:r>
          </w:p>
          <w:p w14:paraId="7417B47F" w14:textId="41AFD194" w:rsidR="00310B16" w:rsidRPr="00F16A5E" w:rsidRDefault="00310B16" w:rsidP="00EA5F3A">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 xml:space="preserve">SLICC was deleted in Inclusion </w:t>
            </w:r>
            <w:r w:rsidR="00173798" w:rsidRPr="00F16A5E">
              <w:rPr>
                <w:rFonts w:ascii="Times New Roman" w:hAnsi="Times New Roman"/>
                <w:sz w:val="24"/>
              </w:rPr>
              <w:t>C</w:t>
            </w:r>
            <w:r w:rsidRPr="00F16A5E">
              <w:rPr>
                <w:rFonts w:ascii="Times New Roman" w:hAnsi="Times New Roman"/>
                <w:sz w:val="24"/>
              </w:rPr>
              <w:t>riteria</w:t>
            </w:r>
            <w:r w:rsidR="00173798" w:rsidRPr="00F16A5E">
              <w:rPr>
                <w:rFonts w:ascii="Times New Roman" w:hAnsi="Times New Roman"/>
                <w:sz w:val="24"/>
              </w:rPr>
              <w:t xml:space="preserve"> #3</w:t>
            </w:r>
            <w:r w:rsidRPr="00F16A5E">
              <w:rPr>
                <w:rFonts w:ascii="Times New Roman" w:hAnsi="Times New Roman"/>
                <w:sz w:val="24"/>
              </w:rPr>
              <w:t xml:space="preserve">, and a unified ACR diagnostic standard was adopted; modified the language in the </w:t>
            </w:r>
            <w:r w:rsidR="00173798" w:rsidRPr="00F16A5E">
              <w:rPr>
                <w:rFonts w:ascii="Times New Roman" w:hAnsi="Times New Roman"/>
                <w:sz w:val="24"/>
              </w:rPr>
              <w:t>E</w:t>
            </w:r>
            <w:r w:rsidRPr="00F16A5E">
              <w:rPr>
                <w:rFonts w:ascii="Times New Roman" w:hAnsi="Times New Roman"/>
                <w:sz w:val="24"/>
              </w:rPr>
              <w:t xml:space="preserve">xclusion </w:t>
            </w:r>
            <w:r w:rsidR="00173798" w:rsidRPr="00F16A5E">
              <w:rPr>
                <w:rFonts w:ascii="Times New Roman" w:hAnsi="Times New Roman"/>
                <w:sz w:val="24"/>
              </w:rPr>
              <w:t>C</w:t>
            </w:r>
            <w:r w:rsidRPr="00F16A5E">
              <w:rPr>
                <w:rFonts w:ascii="Times New Roman" w:hAnsi="Times New Roman"/>
                <w:sz w:val="24"/>
              </w:rPr>
              <w:t xml:space="preserve">riteria </w:t>
            </w:r>
            <w:r w:rsidR="00173798" w:rsidRPr="00F16A5E">
              <w:rPr>
                <w:rFonts w:ascii="Times New Roman" w:hAnsi="Times New Roman"/>
                <w:sz w:val="24"/>
              </w:rPr>
              <w:t xml:space="preserve"># 10, 12, 13, 19, 21, and 22 </w:t>
            </w:r>
            <w:r w:rsidRPr="00F16A5E">
              <w:rPr>
                <w:rFonts w:ascii="Times New Roman" w:hAnsi="Times New Roman"/>
                <w:sz w:val="24"/>
              </w:rPr>
              <w:t>to make it clearer; The exclusion criteria #14, 15, 24, and 25 were combined into the requirements o</w:t>
            </w:r>
            <w:r w:rsidR="00173798" w:rsidRPr="00F16A5E">
              <w:rPr>
                <w:rFonts w:ascii="Times New Roman" w:hAnsi="Times New Roman"/>
                <w:sz w:val="24"/>
              </w:rPr>
              <w:t>n</w:t>
            </w:r>
            <w:r w:rsidRPr="00F16A5E">
              <w:rPr>
                <w:rFonts w:ascii="Times New Roman" w:hAnsi="Times New Roman"/>
                <w:sz w:val="24"/>
              </w:rPr>
              <w:t xml:space="preserve"> organ function. The creatinine clearance rate was replaced by the glomerular filtration rate (MDRD) to meet clinical practice.</w:t>
            </w:r>
          </w:p>
          <w:p w14:paraId="4C74685E" w14:textId="77777777" w:rsidR="00310B16" w:rsidRPr="00F16A5E" w:rsidRDefault="00310B16" w:rsidP="00EA5F3A">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The evaluation endpoint of SLEDIA-2K score was added to the secondary endpoint.</w:t>
            </w:r>
          </w:p>
          <w:p w14:paraId="28D4BE48" w14:textId="2509C18C" w:rsidR="00310B16" w:rsidRPr="00F16A5E" w:rsidRDefault="00310B16" w:rsidP="00EA5F3A">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 xml:space="preserve">In </w:t>
            </w:r>
            <w:r w:rsidR="001F42AC" w:rsidRPr="00F16A5E">
              <w:rPr>
                <w:rFonts w:ascii="Times New Roman" w:hAnsi="Times New Roman"/>
                <w:sz w:val="24"/>
              </w:rPr>
              <w:t xml:space="preserve">the bullet Pharmacodynamics under </w:t>
            </w:r>
            <w:r w:rsidRPr="00F16A5E">
              <w:rPr>
                <w:rFonts w:ascii="Times New Roman" w:hAnsi="Times New Roman"/>
                <w:sz w:val="24"/>
              </w:rPr>
              <w:t>section 2.2.2 Secondary Endpoint</w:t>
            </w:r>
            <w:r w:rsidR="001F42AC" w:rsidRPr="00F16A5E">
              <w:rPr>
                <w:rFonts w:ascii="Times New Roman" w:hAnsi="Times New Roman"/>
                <w:sz w:val="24"/>
              </w:rPr>
              <w:t>s</w:t>
            </w:r>
            <w:r w:rsidRPr="00F16A5E">
              <w:rPr>
                <w:rFonts w:ascii="Times New Roman" w:hAnsi="Times New Roman"/>
                <w:sz w:val="24"/>
              </w:rPr>
              <w:t xml:space="preserve">, the test item Ig was </w:t>
            </w:r>
            <w:r w:rsidRPr="00F16A5E">
              <w:rPr>
                <w:rFonts w:ascii="Times New Roman" w:hAnsi="Times New Roman"/>
                <w:sz w:val="24"/>
              </w:rPr>
              <w:lastRenderedPageBreak/>
              <w:t>described more clearly.</w:t>
            </w:r>
          </w:p>
          <w:p w14:paraId="0494ABB9" w14:textId="77777777" w:rsidR="00310B16" w:rsidRPr="00F16A5E" w:rsidRDefault="00310B16" w:rsidP="00EA5F3A">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The definition of dose-limiting toxicity in Section 3.3 that was not applicable to this study was removed.</w:t>
            </w:r>
          </w:p>
          <w:p w14:paraId="568C8A55" w14:textId="4B0FE43F" w:rsidR="00310B16" w:rsidRPr="00F16A5E" w:rsidRDefault="00173798" w:rsidP="00EA5F3A">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D</w:t>
            </w:r>
            <w:r w:rsidR="00310B16" w:rsidRPr="00F16A5E">
              <w:rPr>
                <w:rFonts w:ascii="Times New Roman" w:hAnsi="Times New Roman"/>
                <w:sz w:val="24"/>
              </w:rPr>
              <w:t xml:space="preserve">ose </w:t>
            </w:r>
            <w:r w:rsidR="00606F2A" w:rsidRPr="00F16A5E">
              <w:rPr>
                <w:rFonts w:ascii="Times New Roman" w:hAnsi="Times New Roman"/>
                <w:sz w:val="24"/>
              </w:rPr>
              <w:t>modification rules</w:t>
            </w:r>
            <w:r w:rsidR="00310B16" w:rsidRPr="00F16A5E">
              <w:rPr>
                <w:rFonts w:ascii="Times New Roman" w:hAnsi="Times New Roman"/>
                <w:sz w:val="24"/>
              </w:rPr>
              <w:t xml:space="preserve"> </w:t>
            </w:r>
            <w:r w:rsidRPr="00F16A5E">
              <w:rPr>
                <w:rFonts w:ascii="Times New Roman" w:hAnsi="Times New Roman"/>
                <w:sz w:val="24"/>
              </w:rPr>
              <w:t xml:space="preserve">in Section 5.1.3 </w:t>
            </w:r>
            <w:r w:rsidR="00606F2A" w:rsidRPr="00F16A5E">
              <w:rPr>
                <w:rFonts w:ascii="Times New Roman" w:hAnsi="Times New Roman"/>
                <w:sz w:val="24"/>
              </w:rPr>
              <w:t>gave</w:t>
            </w:r>
            <w:r w:rsidR="00310B16" w:rsidRPr="00F16A5E">
              <w:rPr>
                <w:rFonts w:ascii="Times New Roman" w:hAnsi="Times New Roman"/>
                <w:sz w:val="24"/>
              </w:rPr>
              <w:t xml:space="preserve"> clearer guidance based on the </w:t>
            </w:r>
            <w:r w:rsidRPr="00F16A5E">
              <w:rPr>
                <w:rFonts w:ascii="Times New Roman" w:hAnsi="Times New Roman"/>
                <w:sz w:val="24"/>
              </w:rPr>
              <w:t>updated</w:t>
            </w:r>
            <w:r w:rsidR="00310B16" w:rsidRPr="00F16A5E">
              <w:rPr>
                <w:rFonts w:ascii="Times New Roman" w:hAnsi="Times New Roman"/>
                <w:sz w:val="24"/>
              </w:rPr>
              <w:t xml:space="preserve"> DMID2007 grading </w:t>
            </w:r>
            <w:r w:rsidRPr="00F16A5E">
              <w:rPr>
                <w:rFonts w:ascii="Times New Roman" w:hAnsi="Times New Roman"/>
                <w:sz w:val="24"/>
              </w:rPr>
              <w:t>criteria</w:t>
            </w:r>
            <w:r w:rsidR="00310B16" w:rsidRPr="00F16A5E">
              <w:rPr>
                <w:rFonts w:ascii="Times New Roman" w:hAnsi="Times New Roman"/>
                <w:sz w:val="24"/>
              </w:rPr>
              <w:t>.</w:t>
            </w:r>
          </w:p>
          <w:p w14:paraId="6DEC0A5E" w14:textId="19B2B06E" w:rsidR="00310B16" w:rsidRPr="00F16A5E" w:rsidRDefault="00310B16" w:rsidP="0030384E">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In the visit measurements in Sections 6.1 and 6.2, added height, weight, chest X-ray, and evaluation items as indicated by the BILAG2004 criteria, and ECOG scores that should not be used in this study were deleted.</w:t>
            </w:r>
            <w:r w:rsidR="00A26B91" w:rsidRPr="00F16A5E">
              <w:rPr>
                <w:rFonts w:ascii="Times New Roman" w:hAnsi="Times New Roman"/>
                <w:sz w:val="24"/>
              </w:rPr>
              <w:t xml:space="preserve"> </w:t>
            </w:r>
            <w:r w:rsidRPr="00F16A5E">
              <w:rPr>
                <w:rFonts w:ascii="Times New Roman" w:hAnsi="Times New Roman"/>
                <w:sz w:val="24"/>
              </w:rPr>
              <w:t>More clarified the requirements for pregnancy test.</w:t>
            </w:r>
            <w:r w:rsidR="00A26B91" w:rsidRPr="00F16A5E">
              <w:rPr>
                <w:rFonts w:ascii="Times New Roman" w:hAnsi="Times New Roman"/>
                <w:sz w:val="24"/>
              </w:rPr>
              <w:t xml:space="preserve"> </w:t>
            </w:r>
            <w:r w:rsidRPr="00F16A5E">
              <w:rPr>
                <w:rFonts w:ascii="Times New Roman" w:hAnsi="Times New Roman"/>
                <w:sz w:val="24"/>
              </w:rPr>
              <w:t>Adjusted the testing time of some test items to ensure clinical operability and necessity.</w:t>
            </w:r>
          </w:p>
          <w:p w14:paraId="7CD4D583" w14:textId="3156B631" w:rsidR="00310B16" w:rsidRPr="00F16A5E" w:rsidRDefault="00310B16" w:rsidP="0030384E">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Updated section 8.2 according to the new GCP requirements.</w:t>
            </w:r>
            <w:r w:rsidR="00A26B91" w:rsidRPr="00F16A5E">
              <w:rPr>
                <w:rFonts w:ascii="Times New Roman" w:hAnsi="Times New Roman"/>
                <w:sz w:val="24"/>
              </w:rPr>
              <w:t xml:space="preserve"> </w:t>
            </w:r>
            <w:r w:rsidRPr="00F16A5E">
              <w:rPr>
                <w:rFonts w:ascii="Times New Roman" w:hAnsi="Times New Roman"/>
                <w:sz w:val="24"/>
              </w:rPr>
              <w:t>The severity of AE was described according to the DMID2007 version.</w:t>
            </w:r>
          </w:p>
          <w:p w14:paraId="0C100D36" w14:textId="77777777" w:rsidR="00310B16" w:rsidRPr="00F16A5E" w:rsidRDefault="00310B16" w:rsidP="00EA5F3A">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The efficacy evaluation measurements were described in detail in section 8.6, and revised the corresponding appendix.</w:t>
            </w:r>
          </w:p>
          <w:p w14:paraId="0D2CDBCF" w14:textId="747BBAA3" w:rsidR="00310B16" w:rsidRPr="00F16A5E" w:rsidRDefault="00310B16" w:rsidP="0030384E">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Deleted unnecessary SLICC criteria, ECOG score, Cockcroft-Gault formula and SELENA-SLEDAI evaluation in the appendix.</w:t>
            </w:r>
            <w:r w:rsidR="00A26B91" w:rsidRPr="00F16A5E">
              <w:rPr>
                <w:rFonts w:ascii="Times New Roman" w:hAnsi="Times New Roman"/>
                <w:sz w:val="24"/>
              </w:rPr>
              <w:t xml:space="preserve"> Refined</w:t>
            </w:r>
            <w:r w:rsidRPr="00F16A5E">
              <w:rPr>
                <w:rFonts w:ascii="Times New Roman" w:hAnsi="Times New Roman"/>
                <w:sz w:val="24"/>
              </w:rPr>
              <w:t xml:space="preserve"> the Chinese translation of SLEDAI-2K and added the BILAG2004 evaluation scale to ensure the accuracy of the evaluation basis.</w:t>
            </w:r>
          </w:p>
          <w:p w14:paraId="5153D420" w14:textId="04462C35" w:rsidR="00310B16" w:rsidRPr="00F16A5E" w:rsidRDefault="00310B16" w:rsidP="0030384E">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The exclusion criterion "Hemoglobin (Hb) &lt;100.0g/L" was changed to "Hemoglobin &lt;90g/L".</w:t>
            </w:r>
            <w:r w:rsidR="00A26B91" w:rsidRPr="00F16A5E">
              <w:rPr>
                <w:rFonts w:ascii="Times New Roman" w:hAnsi="Times New Roman"/>
                <w:sz w:val="24"/>
              </w:rPr>
              <w:t xml:space="preserve"> </w:t>
            </w:r>
            <w:r w:rsidRPr="00F16A5E">
              <w:rPr>
                <w:rFonts w:ascii="Times New Roman" w:hAnsi="Times New Roman"/>
                <w:sz w:val="24"/>
              </w:rPr>
              <w:t>According to the existing toxicity and safety data of orelabrutinib from preclinical studies and clinical studies in healthy volunteers and patients with hematological tumor, it is safe for patients with hemoglobin ≥90</w:t>
            </w:r>
            <w:r w:rsidR="00F16A5E">
              <w:rPr>
                <w:rFonts w:ascii="Times New Roman" w:hAnsi="Times New Roman"/>
                <w:sz w:val="24"/>
              </w:rPr>
              <w:t xml:space="preserve"> </w:t>
            </w:r>
            <w:r w:rsidRPr="00F16A5E">
              <w:rPr>
                <w:rFonts w:ascii="Times New Roman" w:hAnsi="Times New Roman"/>
                <w:sz w:val="24"/>
              </w:rPr>
              <w:t>g/L to receive orelabrutinib treatment, and the modification of this criterion also meets the inclusion/exclusion requirements of patients enrolled in routine SLE clinical trials.</w:t>
            </w:r>
          </w:p>
          <w:p w14:paraId="705007CE" w14:textId="31F07E09" w:rsidR="00310B16" w:rsidRPr="00F16A5E" w:rsidRDefault="00310B16" w:rsidP="0030384E">
            <w:pPr>
              <w:pStyle w:val="aa"/>
              <w:numPr>
                <w:ilvl w:val="0"/>
                <w:numId w:val="29"/>
              </w:numPr>
              <w:spacing w:beforeLines="50" w:before="156" w:line="300" w:lineRule="auto"/>
              <w:ind w:firstLineChars="0"/>
              <w:rPr>
                <w:rFonts w:ascii="Times New Roman" w:hAnsi="Times New Roman"/>
                <w:sz w:val="24"/>
              </w:rPr>
            </w:pPr>
            <w:r w:rsidRPr="00F16A5E">
              <w:rPr>
                <w:rFonts w:ascii="Times New Roman" w:hAnsi="Times New Roman"/>
                <w:sz w:val="24"/>
              </w:rPr>
              <w:t>The exclusion criterion “creatinine clearance ≤40ml/min” was converted to another evaluation measurement of “estimated glomerular filtration rate &lt; 30 ml/min/1.73m</w:t>
            </w:r>
            <w:r w:rsidRPr="00F16A5E">
              <w:rPr>
                <w:rFonts w:ascii="Times New Roman" w:hAnsi="Times New Roman"/>
                <w:sz w:val="24"/>
                <w:vertAlign w:val="superscript"/>
              </w:rPr>
              <w:t>2</w:t>
            </w:r>
            <w:r w:rsidRPr="00F16A5E">
              <w:rPr>
                <w:rFonts w:ascii="Times New Roman" w:hAnsi="Times New Roman"/>
                <w:sz w:val="24"/>
              </w:rPr>
              <w:t xml:space="preserve"> from the Modification of Diet in Renal Disease (MDRD) formula”.</w:t>
            </w:r>
            <w:r w:rsidR="00A26B91" w:rsidRPr="00F16A5E">
              <w:rPr>
                <w:rFonts w:ascii="Times New Roman" w:hAnsi="Times New Roman"/>
                <w:sz w:val="24"/>
              </w:rPr>
              <w:t xml:space="preserve"> </w:t>
            </w:r>
            <w:r w:rsidRPr="00F16A5E">
              <w:rPr>
                <w:rFonts w:ascii="Times New Roman" w:hAnsi="Times New Roman"/>
                <w:sz w:val="24"/>
              </w:rPr>
              <w:t>According to the existing toxicity and safety data of orelabrutinib from preclinical studies and clinical studies in healthy volunteers and patients with hematological tumor, it is safe for patients with glomerular filtration rate ≥30ml/mi/1.73 m</w:t>
            </w:r>
            <w:r w:rsidRPr="00F16A5E">
              <w:rPr>
                <w:rFonts w:ascii="Times New Roman" w:hAnsi="Times New Roman"/>
                <w:sz w:val="24"/>
                <w:vertAlign w:val="superscript"/>
              </w:rPr>
              <w:t>2</w:t>
            </w:r>
            <w:r w:rsidRPr="00F16A5E">
              <w:rPr>
                <w:rFonts w:ascii="Times New Roman" w:hAnsi="Times New Roman"/>
                <w:sz w:val="24"/>
              </w:rPr>
              <w:t xml:space="preserve"> to receive orelabrutinib treatment.</w:t>
            </w:r>
            <w:r w:rsidR="00A26B91" w:rsidRPr="00F16A5E">
              <w:rPr>
                <w:rFonts w:ascii="Times New Roman" w:hAnsi="Times New Roman"/>
                <w:sz w:val="24"/>
              </w:rPr>
              <w:t xml:space="preserve"> </w:t>
            </w:r>
            <w:r w:rsidRPr="00F16A5E">
              <w:rPr>
                <w:rFonts w:ascii="Times New Roman" w:hAnsi="Times New Roman"/>
                <w:sz w:val="24"/>
              </w:rPr>
              <w:t>The glomerular filtration rate estimated according to the MDRD formula can more accurately reflect the renal function than the creatinine clearance rate, and the SLE activity score on renal function in the study also uses this measurement, therefore, the modification ensures consistency with the evaluation criteria of renal function in the trial.</w:t>
            </w:r>
          </w:p>
          <w:p w14:paraId="4C305A31" w14:textId="3AADBD53" w:rsidR="006E18E9" w:rsidRPr="00F16A5E" w:rsidRDefault="00A26B91" w:rsidP="00880C9B">
            <w:pPr>
              <w:spacing w:beforeLines="50" w:before="156" w:line="360" w:lineRule="auto"/>
              <w:rPr>
                <w:b/>
                <w:bCs/>
                <w:sz w:val="24"/>
              </w:rPr>
            </w:pPr>
            <w:r w:rsidRPr="00F16A5E">
              <w:rPr>
                <w:b/>
                <w:bCs/>
                <w:sz w:val="24"/>
              </w:rPr>
              <w:t>Ma</w:t>
            </w:r>
            <w:r w:rsidR="00BF3CE6" w:rsidRPr="00F16A5E">
              <w:rPr>
                <w:b/>
                <w:bCs/>
                <w:sz w:val="24"/>
              </w:rPr>
              <w:t>jor</w:t>
            </w:r>
            <w:r w:rsidRPr="00F16A5E">
              <w:rPr>
                <w:b/>
                <w:bCs/>
                <w:sz w:val="24"/>
              </w:rPr>
              <w:t xml:space="preserve"> changes from v1.0 to v2.0:</w:t>
            </w:r>
          </w:p>
          <w:p w14:paraId="4F0F3A66" w14:textId="77777777" w:rsidR="00A26B91" w:rsidRPr="00F16A5E" w:rsidRDefault="00A26B91" w:rsidP="00A26B91">
            <w:pPr>
              <w:pStyle w:val="aa"/>
              <w:numPr>
                <w:ilvl w:val="2"/>
                <w:numId w:val="32"/>
              </w:numPr>
              <w:spacing w:beforeLines="50" w:before="156" w:line="300" w:lineRule="auto"/>
              <w:ind w:left="420" w:firstLineChars="0"/>
              <w:rPr>
                <w:rFonts w:ascii="Times New Roman" w:hAnsi="Times New Roman"/>
                <w:sz w:val="24"/>
              </w:rPr>
            </w:pPr>
            <w:r w:rsidRPr="00F16A5E">
              <w:rPr>
                <w:rFonts w:ascii="Times New Roman" w:hAnsi="Times New Roman"/>
                <w:sz w:val="24"/>
              </w:rPr>
              <w:lastRenderedPageBreak/>
              <w:t>Updated the version number and version date.</w:t>
            </w:r>
          </w:p>
          <w:p w14:paraId="1640295C" w14:textId="77777777" w:rsidR="00A26B91" w:rsidRPr="00F16A5E" w:rsidRDefault="00A26B91" w:rsidP="00A26B91">
            <w:pPr>
              <w:pStyle w:val="aa"/>
              <w:numPr>
                <w:ilvl w:val="2"/>
                <w:numId w:val="32"/>
              </w:numPr>
              <w:spacing w:beforeLines="50" w:before="156" w:line="300" w:lineRule="auto"/>
              <w:ind w:left="420" w:firstLineChars="0"/>
              <w:rPr>
                <w:rFonts w:ascii="Times New Roman" w:hAnsi="Times New Roman"/>
                <w:sz w:val="24"/>
              </w:rPr>
            </w:pPr>
            <w:r w:rsidRPr="00F16A5E">
              <w:rPr>
                <w:rFonts w:ascii="Times New Roman" w:hAnsi="Times New Roman"/>
                <w:sz w:val="24"/>
              </w:rPr>
              <w:t>All abbreviations in this document had their full English names added when they first appeared in this document; abbreviations that appeared only once were deleted.</w:t>
            </w:r>
          </w:p>
          <w:p w14:paraId="367F5AC8" w14:textId="77777777" w:rsidR="00A26B91" w:rsidRPr="00F16A5E" w:rsidRDefault="00A26B91" w:rsidP="00A26B91">
            <w:pPr>
              <w:pStyle w:val="aa"/>
              <w:numPr>
                <w:ilvl w:val="2"/>
                <w:numId w:val="32"/>
              </w:numPr>
              <w:spacing w:beforeLines="50" w:before="156" w:line="300" w:lineRule="auto"/>
              <w:ind w:left="420" w:firstLineChars="0"/>
              <w:rPr>
                <w:rFonts w:ascii="Times New Roman" w:hAnsi="Times New Roman"/>
                <w:sz w:val="24"/>
              </w:rPr>
            </w:pPr>
            <w:r w:rsidRPr="00F16A5E">
              <w:rPr>
                <w:rFonts w:ascii="Times New Roman" w:hAnsi="Times New Roman"/>
                <w:sz w:val="24"/>
              </w:rPr>
              <w:t>Changes to the study design: the original 4-week main study + 20-week follow-up study design was changed to the overall 12-week study, no longer divided into two stages.</w:t>
            </w:r>
          </w:p>
          <w:p w14:paraId="4ECA7283" w14:textId="40E4B5C0" w:rsidR="00A26B91" w:rsidRPr="00F16A5E" w:rsidRDefault="00A26B91" w:rsidP="00A26B91">
            <w:pPr>
              <w:pStyle w:val="aa"/>
              <w:numPr>
                <w:ilvl w:val="2"/>
                <w:numId w:val="32"/>
              </w:numPr>
              <w:spacing w:beforeLines="50" w:before="156" w:line="300" w:lineRule="auto"/>
              <w:ind w:left="420" w:firstLineChars="0"/>
              <w:rPr>
                <w:rFonts w:ascii="Times New Roman" w:hAnsi="Times New Roman"/>
                <w:sz w:val="24"/>
              </w:rPr>
            </w:pPr>
            <w:r w:rsidRPr="00F16A5E">
              <w:rPr>
                <w:rFonts w:ascii="Times New Roman" w:hAnsi="Times New Roman"/>
                <w:sz w:val="24"/>
              </w:rPr>
              <w:t xml:space="preserve">The study schedule was adjusted according to the new </w:t>
            </w:r>
            <w:r w:rsidR="00461B39" w:rsidRPr="00F16A5E">
              <w:rPr>
                <w:rFonts w:ascii="Times New Roman" w:hAnsi="Times New Roman"/>
                <w:sz w:val="24"/>
              </w:rPr>
              <w:t>study protocol</w:t>
            </w:r>
            <w:r w:rsidRPr="00F16A5E">
              <w:rPr>
                <w:rFonts w:ascii="Times New Roman" w:hAnsi="Times New Roman"/>
                <w:sz w:val="24"/>
              </w:rPr>
              <w:t>, and the original study schedule, i.e. Table 2 was deleted.</w:t>
            </w:r>
          </w:p>
          <w:p w14:paraId="4797ECD9" w14:textId="2BC88DC5" w:rsidR="00A26B91" w:rsidRPr="00F16A5E" w:rsidRDefault="00A26B91" w:rsidP="00A26B91">
            <w:pPr>
              <w:pStyle w:val="aa"/>
              <w:numPr>
                <w:ilvl w:val="2"/>
                <w:numId w:val="32"/>
              </w:numPr>
              <w:spacing w:beforeLines="50" w:before="156" w:line="300" w:lineRule="auto"/>
              <w:ind w:left="420" w:firstLineChars="0"/>
              <w:rPr>
                <w:rFonts w:ascii="Times New Roman" w:hAnsi="Times New Roman"/>
                <w:sz w:val="24"/>
              </w:rPr>
            </w:pPr>
            <w:r w:rsidRPr="00F16A5E">
              <w:rPr>
                <w:rFonts w:ascii="Times New Roman" w:hAnsi="Times New Roman"/>
                <w:sz w:val="24"/>
              </w:rPr>
              <w:t>The language in the Inclusion Criteria</w:t>
            </w:r>
            <w:r w:rsidR="00173798" w:rsidRPr="00F16A5E">
              <w:rPr>
                <w:rFonts w:ascii="Times New Roman" w:hAnsi="Times New Roman"/>
                <w:sz w:val="24"/>
              </w:rPr>
              <w:t xml:space="preserve"> #5</w:t>
            </w:r>
            <w:r w:rsidRPr="00F16A5E">
              <w:rPr>
                <w:rFonts w:ascii="Times New Roman" w:hAnsi="Times New Roman"/>
                <w:sz w:val="24"/>
              </w:rPr>
              <w:t xml:space="preserve"> and the Exclusion Criteria </w:t>
            </w:r>
            <w:r w:rsidR="00173798" w:rsidRPr="00F16A5E">
              <w:rPr>
                <w:rFonts w:ascii="Times New Roman" w:hAnsi="Times New Roman"/>
                <w:sz w:val="24"/>
              </w:rPr>
              <w:t xml:space="preserve">#23 &amp; #24 </w:t>
            </w:r>
            <w:r w:rsidRPr="00F16A5E">
              <w:rPr>
                <w:rFonts w:ascii="Times New Roman" w:hAnsi="Times New Roman"/>
                <w:sz w:val="24"/>
              </w:rPr>
              <w:t>w</w:t>
            </w:r>
            <w:r w:rsidR="005E5126" w:rsidRPr="00F16A5E">
              <w:rPr>
                <w:rFonts w:ascii="Times New Roman" w:hAnsi="Times New Roman"/>
                <w:sz w:val="24"/>
              </w:rPr>
              <w:t>ere</w:t>
            </w:r>
            <w:r w:rsidRPr="00F16A5E">
              <w:rPr>
                <w:rFonts w:ascii="Times New Roman" w:hAnsi="Times New Roman"/>
                <w:sz w:val="24"/>
              </w:rPr>
              <w:t xml:space="preserve"> reworded to make it clearer.</w:t>
            </w:r>
          </w:p>
          <w:p w14:paraId="2A6611D5" w14:textId="77777777" w:rsidR="00A26B91" w:rsidRPr="00F16A5E" w:rsidRDefault="00A26B91" w:rsidP="00A26B91">
            <w:pPr>
              <w:pStyle w:val="aa"/>
              <w:numPr>
                <w:ilvl w:val="2"/>
                <w:numId w:val="32"/>
              </w:numPr>
              <w:spacing w:beforeLines="50" w:before="156" w:line="300" w:lineRule="auto"/>
              <w:ind w:left="420" w:firstLineChars="0"/>
              <w:rPr>
                <w:rFonts w:ascii="Times New Roman" w:hAnsi="Times New Roman"/>
                <w:sz w:val="24"/>
              </w:rPr>
            </w:pPr>
            <w:r w:rsidRPr="00F16A5E">
              <w:rPr>
                <w:rFonts w:ascii="Times New Roman" w:hAnsi="Times New Roman"/>
                <w:sz w:val="24"/>
              </w:rPr>
              <w:t>Changes in the collection time of PD samples and BTK samples.</w:t>
            </w:r>
          </w:p>
          <w:p w14:paraId="6F8FAAD2" w14:textId="51B838E8" w:rsidR="00A26B91" w:rsidRPr="00F16A5E" w:rsidRDefault="00A26B91" w:rsidP="0030384E">
            <w:pPr>
              <w:pStyle w:val="aa"/>
              <w:numPr>
                <w:ilvl w:val="2"/>
                <w:numId w:val="32"/>
              </w:numPr>
              <w:spacing w:beforeLines="50" w:before="156" w:line="300" w:lineRule="auto"/>
              <w:ind w:left="420" w:firstLineChars="0"/>
              <w:rPr>
                <w:rFonts w:ascii="Times New Roman" w:hAnsi="Times New Roman"/>
                <w:sz w:val="24"/>
              </w:rPr>
            </w:pPr>
            <w:r w:rsidRPr="00F16A5E">
              <w:rPr>
                <w:rFonts w:ascii="Times New Roman" w:hAnsi="Times New Roman"/>
                <w:sz w:val="24"/>
              </w:rPr>
              <w:t>In Section 1.1, the expression of some sentences was modified to make the expression more accurate and clearer. Deleted some sentences that were irrelevant to this study and refined the introduction of BTK.</w:t>
            </w:r>
          </w:p>
          <w:p w14:paraId="3ED28E4E" w14:textId="583C60CC" w:rsidR="00A26B91" w:rsidRPr="00F16A5E" w:rsidRDefault="00A26B91" w:rsidP="00A26B91">
            <w:pPr>
              <w:pStyle w:val="aa"/>
              <w:spacing w:beforeLines="50" w:before="156" w:line="300" w:lineRule="auto"/>
              <w:ind w:left="420" w:firstLineChars="0" w:firstLine="0"/>
              <w:rPr>
                <w:rFonts w:ascii="Times New Roman" w:hAnsi="Times New Roman"/>
                <w:sz w:val="24"/>
              </w:rPr>
            </w:pPr>
            <w:r w:rsidRPr="00F16A5E">
              <w:rPr>
                <w:rFonts w:ascii="Times New Roman" w:hAnsi="Times New Roman"/>
                <w:sz w:val="24"/>
              </w:rPr>
              <w:t xml:space="preserve">In Section 1.2.2, the details of the Phase I study of the study drug (orelabrutinib) </w:t>
            </w:r>
            <w:r w:rsidR="00DC6B9C" w:rsidRPr="00F16A5E">
              <w:rPr>
                <w:rFonts w:ascii="Times New Roman" w:hAnsi="Times New Roman"/>
                <w:sz w:val="24"/>
              </w:rPr>
              <w:t>were</w:t>
            </w:r>
            <w:r w:rsidRPr="00F16A5E">
              <w:rPr>
                <w:rFonts w:ascii="Times New Roman" w:hAnsi="Times New Roman"/>
                <w:sz w:val="24"/>
              </w:rPr>
              <w:t xml:space="preserve"> added (number of subjects, race, time of multiple administration, etc.), and the clinical study progress and safety information of </w:t>
            </w:r>
            <w:r w:rsidR="00DC6B9C" w:rsidRPr="00F16A5E">
              <w:rPr>
                <w:rFonts w:ascii="Times New Roman" w:hAnsi="Times New Roman"/>
                <w:sz w:val="24"/>
              </w:rPr>
              <w:t>other BTK inhibitors</w:t>
            </w:r>
            <w:r w:rsidRPr="00F16A5E">
              <w:rPr>
                <w:rFonts w:ascii="Times New Roman" w:hAnsi="Times New Roman"/>
                <w:sz w:val="24"/>
              </w:rPr>
              <w:t xml:space="preserve"> were supplemented.</w:t>
            </w:r>
          </w:p>
        </w:tc>
      </w:tr>
    </w:tbl>
    <w:p w14:paraId="4F22B5B6" w14:textId="6D8B45DA" w:rsidR="006E18E9" w:rsidRPr="00F16A5E" w:rsidRDefault="006E18E9" w:rsidP="006E18E9">
      <w:pPr>
        <w:pStyle w:val="1"/>
        <w:pageBreakBefore/>
        <w:spacing w:beforeLines="0" w:before="120" w:line="360" w:lineRule="auto"/>
        <w:jc w:val="both"/>
        <w:rPr>
          <w:rFonts w:eastAsia="宋体"/>
          <w:sz w:val="24"/>
          <w:lang w:eastAsia="zh-CN"/>
        </w:rPr>
      </w:pPr>
      <w:bookmarkStart w:id="432" w:name="_Toc7170315"/>
      <w:bookmarkStart w:id="433" w:name="_Toc9456245"/>
      <w:bookmarkStart w:id="434" w:name="_Toc20224920"/>
      <w:bookmarkStart w:id="435" w:name="_Toc71149225"/>
      <w:bookmarkEnd w:id="431"/>
      <w:r w:rsidRPr="00F16A5E">
        <w:rPr>
          <w:rFonts w:eastAsia="宋体"/>
          <w:sz w:val="24"/>
          <w:lang w:eastAsia="zh-CN"/>
        </w:rPr>
        <w:lastRenderedPageBreak/>
        <w:t>11</w:t>
      </w:r>
      <w:bookmarkEnd w:id="432"/>
      <w:bookmarkEnd w:id="433"/>
      <w:bookmarkEnd w:id="434"/>
      <w:r w:rsidR="00A26B91" w:rsidRPr="00F16A5E">
        <w:rPr>
          <w:rFonts w:eastAsia="宋体"/>
          <w:sz w:val="24"/>
          <w:lang w:eastAsia="zh-CN"/>
        </w:rPr>
        <w:tab/>
        <w:t>Literature References</w:t>
      </w:r>
      <w:bookmarkEnd w:id="435"/>
    </w:p>
    <w:p w14:paraId="01A1D605" w14:textId="3D83B6AA" w:rsidR="006E18E9" w:rsidRPr="00F16A5E" w:rsidRDefault="00A26B91" w:rsidP="006E18E9">
      <w:pPr>
        <w:pStyle w:val="EndNoteBibliography"/>
        <w:rPr>
          <w:rStyle w:val="ae"/>
          <w:sz w:val="24"/>
        </w:rPr>
      </w:pPr>
      <w:bookmarkStart w:id="436" w:name="伊布替尼PD综述"/>
      <w:bookmarkEnd w:id="436"/>
      <w:r w:rsidRPr="00F16A5E">
        <w:rPr>
          <w:sz w:val="24"/>
        </w:rPr>
        <w:t xml:space="preserve">Overview of pharmacodynamics of ibrutinib: </w:t>
      </w:r>
      <w:hyperlink r:id="rId16" w:history="1">
        <w:r w:rsidR="006E18E9" w:rsidRPr="00F16A5E">
          <w:rPr>
            <w:rStyle w:val="ae"/>
            <w:sz w:val="24"/>
          </w:rPr>
          <w:t>https://www.accessdata.fda.gov/drugsatfda_docs/nda/2014/205552Orig2s000PharmR.pdf</w:t>
        </w:r>
      </w:hyperlink>
    </w:p>
    <w:p w14:paraId="389C3B8F" w14:textId="77777777" w:rsidR="006E18E9" w:rsidRPr="00F16A5E" w:rsidRDefault="006E18E9" w:rsidP="006E18E9">
      <w:pPr>
        <w:pStyle w:val="EndNoteBibliography"/>
        <w:jc w:val="both"/>
        <w:rPr>
          <w:sz w:val="24"/>
        </w:rPr>
      </w:pPr>
    </w:p>
    <w:p w14:paraId="5CA5AA33" w14:textId="77777777" w:rsidR="006E18E9" w:rsidRPr="00F16A5E" w:rsidRDefault="006E18E9" w:rsidP="006E18E9">
      <w:pPr>
        <w:pStyle w:val="EndNoteBibliography"/>
        <w:jc w:val="both"/>
        <w:rPr>
          <w:sz w:val="24"/>
        </w:rPr>
      </w:pPr>
      <w:bookmarkStart w:id="437" w:name="文献Advani"/>
      <w:r w:rsidRPr="00F16A5E">
        <w:rPr>
          <w:sz w:val="24"/>
        </w:rPr>
        <w:t>Advani</w:t>
      </w:r>
      <w:bookmarkEnd w:id="437"/>
      <w:r w:rsidRPr="00F16A5E">
        <w:rPr>
          <w:sz w:val="24"/>
        </w:rPr>
        <w:t>, R. H., Buggy, J. J., Sharman, J. P., Smith, S. M., Boyd, T. E., Grant, B., Kolibaba, K. S., Furman, R. R., Rodriguez, S., Chang, B. Y.</w:t>
      </w:r>
      <w:r w:rsidRPr="00F16A5E">
        <w:rPr>
          <w:i/>
          <w:sz w:val="24"/>
        </w:rPr>
        <w:t>, et al.</w:t>
      </w:r>
      <w:r w:rsidRPr="00F16A5E">
        <w:rPr>
          <w:sz w:val="24"/>
        </w:rPr>
        <w:t xml:space="preserve"> (2013). Bruton tyrosine kinase inhibitor ibrutinib (PCI-32765) has significant activity in patients with relapsed/refractory B-cell malignancies. Journal of clinical oncology : official journal of the American Society of Clinical Oncology</w:t>
      </w:r>
      <w:r w:rsidRPr="00F16A5E">
        <w:rPr>
          <w:i/>
          <w:sz w:val="24"/>
        </w:rPr>
        <w:t xml:space="preserve"> 31</w:t>
      </w:r>
      <w:r w:rsidRPr="00F16A5E">
        <w:rPr>
          <w:sz w:val="24"/>
        </w:rPr>
        <w:t>, 88-94.</w:t>
      </w:r>
    </w:p>
    <w:p w14:paraId="5A7F563E" w14:textId="77777777" w:rsidR="006E18E9" w:rsidRPr="00F16A5E" w:rsidRDefault="006E18E9" w:rsidP="006E18E9">
      <w:pPr>
        <w:pStyle w:val="EndNoteBibliography"/>
        <w:jc w:val="both"/>
        <w:rPr>
          <w:sz w:val="24"/>
        </w:rPr>
      </w:pPr>
    </w:p>
    <w:p w14:paraId="621C820E" w14:textId="77777777" w:rsidR="006E18E9" w:rsidRPr="00F16A5E" w:rsidRDefault="006E18E9" w:rsidP="006E18E9">
      <w:pPr>
        <w:pStyle w:val="EndNoteBibliography"/>
        <w:jc w:val="both"/>
        <w:rPr>
          <w:sz w:val="24"/>
        </w:rPr>
      </w:pPr>
      <w:bookmarkStart w:id="438" w:name="文献Chan"/>
      <w:r w:rsidRPr="00F16A5E">
        <w:rPr>
          <w:sz w:val="24"/>
        </w:rPr>
        <w:t>Chan</w:t>
      </w:r>
      <w:bookmarkEnd w:id="438"/>
      <w:r w:rsidRPr="00F16A5E">
        <w:rPr>
          <w:sz w:val="24"/>
        </w:rPr>
        <w:t>, O., and Shlomchik, M. J. (1998). A new role for B cells in systemic autoimmunity: B cells promote spontaneous T cell activation in MRL-lpr/lpr mice. Journal of immunology (Baltimore, Md : 1950)</w:t>
      </w:r>
      <w:r w:rsidRPr="00F16A5E">
        <w:rPr>
          <w:i/>
          <w:sz w:val="24"/>
        </w:rPr>
        <w:t xml:space="preserve"> 160</w:t>
      </w:r>
      <w:r w:rsidRPr="00F16A5E">
        <w:rPr>
          <w:sz w:val="24"/>
        </w:rPr>
        <w:t>, 51-59.</w:t>
      </w:r>
    </w:p>
    <w:p w14:paraId="7AB644C0" w14:textId="77777777" w:rsidR="006E18E9" w:rsidRPr="00F16A5E" w:rsidRDefault="006E18E9" w:rsidP="006E18E9">
      <w:pPr>
        <w:pStyle w:val="EndNoteBibliography"/>
        <w:jc w:val="both"/>
        <w:rPr>
          <w:sz w:val="24"/>
        </w:rPr>
      </w:pPr>
    </w:p>
    <w:p w14:paraId="3D7868A5" w14:textId="77777777" w:rsidR="006E18E9" w:rsidRPr="00F16A5E" w:rsidRDefault="006E18E9" w:rsidP="006E18E9">
      <w:pPr>
        <w:pStyle w:val="EndNoteBibliography"/>
        <w:jc w:val="both"/>
        <w:rPr>
          <w:sz w:val="24"/>
        </w:rPr>
      </w:pPr>
      <w:bookmarkStart w:id="439" w:name="文献Choi"/>
      <w:r w:rsidRPr="00F16A5E">
        <w:rPr>
          <w:sz w:val="24"/>
        </w:rPr>
        <w:t>Choi,</w:t>
      </w:r>
      <w:bookmarkEnd w:id="439"/>
      <w:r w:rsidRPr="00F16A5E">
        <w:rPr>
          <w:sz w:val="24"/>
        </w:rPr>
        <w:t xml:space="preserve"> J., Kim, S. T., and Craft, J. (2012). The pathogenesis of systemic lupus erythematosus-an update. Current opinion in immunology</w:t>
      </w:r>
      <w:r w:rsidRPr="00F16A5E">
        <w:rPr>
          <w:i/>
          <w:sz w:val="24"/>
        </w:rPr>
        <w:t xml:space="preserve"> 24</w:t>
      </w:r>
      <w:r w:rsidRPr="00F16A5E">
        <w:rPr>
          <w:sz w:val="24"/>
        </w:rPr>
        <w:t>, 651-657.</w:t>
      </w:r>
    </w:p>
    <w:p w14:paraId="4F535530" w14:textId="77777777" w:rsidR="006E18E9" w:rsidRPr="00F16A5E" w:rsidRDefault="006E18E9" w:rsidP="006E18E9">
      <w:pPr>
        <w:pStyle w:val="EndNoteBibliography"/>
        <w:jc w:val="both"/>
        <w:rPr>
          <w:sz w:val="24"/>
        </w:rPr>
      </w:pPr>
    </w:p>
    <w:p w14:paraId="4AF7E4B5" w14:textId="77777777" w:rsidR="006E18E9" w:rsidRPr="00F16A5E" w:rsidRDefault="006E18E9" w:rsidP="006E18E9">
      <w:pPr>
        <w:pStyle w:val="EndNoteBibliography"/>
        <w:jc w:val="both"/>
        <w:rPr>
          <w:sz w:val="24"/>
        </w:rPr>
      </w:pPr>
      <w:bookmarkStart w:id="440" w:name="文献Erickson"/>
      <w:r w:rsidRPr="00F16A5E">
        <w:rPr>
          <w:sz w:val="24"/>
        </w:rPr>
        <w:t>Erickson</w:t>
      </w:r>
      <w:bookmarkEnd w:id="440"/>
      <w:r w:rsidRPr="00F16A5E">
        <w:rPr>
          <w:sz w:val="24"/>
        </w:rPr>
        <w:t>, R. I., Schutt, L. K., Tarrant, J. M., McDowell, M., Liu, L., Johnson, A. R., Lewin-Koh, S. C., Hedehus, M., Ross, J., Carano, R. A.</w:t>
      </w:r>
      <w:r w:rsidRPr="00F16A5E">
        <w:rPr>
          <w:i/>
          <w:sz w:val="24"/>
        </w:rPr>
        <w:t>, et al.</w:t>
      </w:r>
      <w:r w:rsidRPr="00F16A5E">
        <w:rPr>
          <w:sz w:val="24"/>
        </w:rPr>
        <w:t xml:space="preserve"> (2017). Bruton's Tyrosine Kinase Small Molecule Inhibitors Induce a Distinct Pancreatic Toxicity in Rats. The Journal of pharmacology and experimental therapeutics</w:t>
      </w:r>
      <w:r w:rsidRPr="00F16A5E">
        <w:rPr>
          <w:i/>
          <w:sz w:val="24"/>
        </w:rPr>
        <w:t xml:space="preserve"> 360</w:t>
      </w:r>
      <w:r w:rsidRPr="00F16A5E">
        <w:rPr>
          <w:sz w:val="24"/>
        </w:rPr>
        <w:t>, 226-238.</w:t>
      </w:r>
    </w:p>
    <w:p w14:paraId="230DDE87" w14:textId="77777777" w:rsidR="006E18E9" w:rsidRPr="00F16A5E" w:rsidRDefault="006E18E9" w:rsidP="006E18E9">
      <w:pPr>
        <w:pStyle w:val="EndNoteBibliography"/>
        <w:jc w:val="both"/>
        <w:rPr>
          <w:sz w:val="24"/>
        </w:rPr>
      </w:pPr>
    </w:p>
    <w:p w14:paraId="661EB4A9" w14:textId="77777777" w:rsidR="006E18E9" w:rsidRPr="00F16A5E" w:rsidRDefault="006E18E9" w:rsidP="006E18E9">
      <w:pPr>
        <w:pStyle w:val="EndNoteBibliography"/>
        <w:jc w:val="both"/>
        <w:rPr>
          <w:sz w:val="24"/>
        </w:rPr>
      </w:pPr>
      <w:bookmarkStart w:id="441" w:name="文献Gao"/>
      <w:r w:rsidRPr="00F16A5E">
        <w:rPr>
          <w:sz w:val="24"/>
        </w:rPr>
        <w:t>Gao</w:t>
      </w:r>
      <w:bookmarkEnd w:id="441"/>
      <w:r w:rsidRPr="00F16A5E">
        <w:rPr>
          <w:sz w:val="24"/>
        </w:rPr>
        <w:t>, W., Wang, M., Wang, L., Lu, H., Wu, S., Dai, B., Ou, Z., Zhang, L., Heymach, J. V., Gold, K. A.</w:t>
      </w:r>
      <w:r w:rsidRPr="00F16A5E">
        <w:rPr>
          <w:i/>
          <w:sz w:val="24"/>
        </w:rPr>
        <w:t>, et al.</w:t>
      </w:r>
      <w:r w:rsidRPr="00F16A5E">
        <w:rPr>
          <w:sz w:val="24"/>
        </w:rPr>
        <w:t xml:space="preserve"> (2014). Selective antitumor activity of ibrutinib in EGFR-mutant non-small cell lung cancer cells. Journal of the National Cancer Institute</w:t>
      </w:r>
      <w:r w:rsidRPr="00F16A5E">
        <w:rPr>
          <w:i/>
          <w:sz w:val="24"/>
        </w:rPr>
        <w:t xml:space="preserve"> 106</w:t>
      </w:r>
      <w:r w:rsidRPr="00F16A5E">
        <w:rPr>
          <w:sz w:val="24"/>
        </w:rPr>
        <w:t>.</w:t>
      </w:r>
    </w:p>
    <w:p w14:paraId="4305AC82" w14:textId="77777777" w:rsidR="006E18E9" w:rsidRPr="00F16A5E" w:rsidRDefault="006E18E9" w:rsidP="006E18E9">
      <w:pPr>
        <w:pStyle w:val="EndNoteBibliography"/>
        <w:jc w:val="both"/>
        <w:rPr>
          <w:sz w:val="24"/>
        </w:rPr>
      </w:pPr>
    </w:p>
    <w:p w14:paraId="4BB7CD65" w14:textId="77777777" w:rsidR="006E18E9" w:rsidRPr="00F16A5E" w:rsidRDefault="006E18E9" w:rsidP="006E18E9">
      <w:pPr>
        <w:pStyle w:val="EndNoteBibliography"/>
        <w:jc w:val="both"/>
        <w:rPr>
          <w:sz w:val="24"/>
        </w:rPr>
      </w:pPr>
      <w:bookmarkStart w:id="442" w:name="文献Harandi"/>
      <w:r w:rsidRPr="00F16A5E">
        <w:rPr>
          <w:sz w:val="24"/>
        </w:rPr>
        <w:t>Harandi</w:t>
      </w:r>
      <w:bookmarkEnd w:id="442"/>
      <w:r w:rsidRPr="00F16A5E">
        <w:rPr>
          <w:sz w:val="24"/>
        </w:rPr>
        <w:t>, A., Zaidi, A. S., Stocker, A. M., and Laber, D. A. (2009). Clinical Efficacy and Toxicity of Anti-EGFR Therapy in Common Cancers. Journal of oncology</w:t>
      </w:r>
      <w:r w:rsidRPr="00F16A5E">
        <w:rPr>
          <w:i/>
          <w:sz w:val="24"/>
        </w:rPr>
        <w:t xml:space="preserve"> 2009</w:t>
      </w:r>
      <w:r w:rsidRPr="00F16A5E">
        <w:rPr>
          <w:sz w:val="24"/>
        </w:rPr>
        <w:t>, 567486.</w:t>
      </w:r>
    </w:p>
    <w:p w14:paraId="654F712F" w14:textId="77777777" w:rsidR="006E18E9" w:rsidRPr="00F16A5E" w:rsidRDefault="006E18E9" w:rsidP="006E18E9">
      <w:pPr>
        <w:pStyle w:val="EndNoteBibliography"/>
        <w:jc w:val="both"/>
        <w:rPr>
          <w:sz w:val="24"/>
        </w:rPr>
      </w:pPr>
    </w:p>
    <w:p w14:paraId="33B5FB94" w14:textId="77777777" w:rsidR="006E18E9" w:rsidRPr="00F16A5E" w:rsidRDefault="006E18E9" w:rsidP="006E18E9">
      <w:pPr>
        <w:pStyle w:val="EndNoteBibliography"/>
        <w:jc w:val="both"/>
        <w:rPr>
          <w:sz w:val="24"/>
        </w:rPr>
      </w:pPr>
      <w:bookmarkStart w:id="443" w:name="文献Holroyd"/>
      <w:r w:rsidRPr="00F16A5E">
        <w:rPr>
          <w:sz w:val="24"/>
        </w:rPr>
        <w:t>Holroyd</w:t>
      </w:r>
      <w:bookmarkEnd w:id="443"/>
      <w:r w:rsidRPr="00F16A5E">
        <w:rPr>
          <w:sz w:val="24"/>
        </w:rPr>
        <w:t>, C. R., and Edwards, C. J. (2009). The effects of hormone replacement therapy on autoimmune disease: rheumatoid arthritis and systemic lupus erythematosus. Climacteric : the journal of the International Menopause Society</w:t>
      </w:r>
      <w:r w:rsidRPr="00F16A5E">
        <w:rPr>
          <w:i/>
          <w:sz w:val="24"/>
        </w:rPr>
        <w:t xml:space="preserve"> 12</w:t>
      </w:r>
      <w:r w:rsidRPr="00F16A5E">
        <w:rPr>
          <w:sz w:val="24"/>
        </w:rPr>
        <w:t>, 378-386.</w:t>
      </w:r>
    </w:p>
    <w:p w14:paraId="67813EFF" w14:textId="77777777" w:rsidR="006E18E9" w:rsidRPr="00F16A5E" w:rsidRDefault="006E18E9" w:rsidP="006E18E9">
      <w:pPr>
        <w:pStyle w:val="EndNoteBibliography"/>
        <w:jc w:val="both"/>
        <w:rPr>
          <w:sz w:val="24"/>
        </w:rPr>
      </w:pPr>
    </w:p>
    <w:p w14:paraId="645A9B7E" w14:textId="77777777" w:rsidR="006E18E9" w:rsidRPr="00F16A5E" w:rsidRDefault="006E18E9" w:rsidP="006E18E9">
      <w:pPr>
        <w:autoSpaceDE w:val="0"/>
        <w:autoSpaceDN w:val="0"/>
        <w:adjustRightInd w:val="0"/>
        <w:rPr>
          <w:kern w:val="0"/>
          <w:sz w:val="24"/>
        </w:rPr>
      </w:pPr>
      <w:bookmarkStart w:id="444" w:name="Johnson"/>
      <w:r w:rsidRPr="00F16A5E">
        <w:rPr>
          <w:kern w:val="0"/>
          <w:sz w:val="24"/>
        </w:rPr>
        <w:t>Johnson</w:t>
      </w:r>
      <w:bookmarkEnd w:id="444"/>
      <w:r w:rsidRPr="00F16A5E">
        <w:rPr>
          <w:kern w:val="0"/>
          <w:sz w:val="24"/>
        </w:rPr>
        <w:t xml:space="preserve">, S., et al. (1993). The effects on rat thyroid function of an hepatic microsomal enzyme inducer. Hum Exp </w:t>
      </w:r>
      <w:proofErr w:type="spellStart"/>
      <w:r w:rsidRPr="00F16A5E">
        <w:rPr>
          <w:kern w:val="0"/>
          <w:sz w:val="24"/>
        </w:rPr>
        <w:t>Toxicol</w:t>
      </w:r>
      <w:proofErr w:type="spellEnd"/>
      <w:r w:rsidRPr="00F16A5E">
        <w:rPr>
          <w:kern w:val="0"/>
          <w:sz w:val="24"/>
        </w:rPr>
        <w:t xml:space="preserve"> 12(2): 153-158.</w:t>
      </w:r>
    </w:p>
    <w:p w14:paraId="030C2F55" w14:textId="77777777" w:rsidR="006E18E9" w:rsidRPr="00F16A5E" w:rsidRDefault="006E18E9" w:rsidP="006E18E9">
      <w:pPr>
        <w:pStyle w:val="EndNoteBibliography"/>
        <w:jc w:val="both"/>
        <w:rPr>
          <w:sz w:val="24"/>
        </w:rPr>
      </w:pPr>
    </w:p>
    <w:p w14:paraId="05807B57" w14:textId="77777777" w:rsidR="006E18E9" w:rsidRPr="00F16A5E" w:rsidRDefault="006E18E9" w:rsidP="006E18E9">
      <w:pPr>
        <w:pStyle w:val="EndNoteBibliography"/>
        <w:jc w:val="both"/>
        <w:rPr>
          <w:sz w:val="24"/>
        </w:rPr>
      </w:pPr>
      <w:bookmarkStart w:id="445" w:name="文献Kil"/>
      <w:r w:rsidRPr="00F16A5E">
        <w:rPr>
          <w:sz w:val="24"/>
        </w:rPr>
        <w:t>Kil</w:t>
      </w:r>
      <w:bookmarkEnd w:id="445"/>
      <w:r w:rsidRPr="00F16A5E">
        <w:rPr>
          <w:sz w:val="24"/>
        </w:rPr>
        <w:t>, L. P., de Bruijn, M. J., van Nimwegen, M., Corneth, O. B., van Hamburg, J. P., Dingjan, G. M., Thaiss, F., Rimmelzwaan, G. F., Elewaut, D., Delsing, D.</w:t>
      </w:r>
      <w:r w:rsidRPr="00F16A5E">
        <w:rPr>
          <w:i/>
          <w:sz w:val="24"/>
        </w:rPr>
        <w:t>, et al.</w:t>
      </w:r>
      <w:r w:rsidRPr="00F16A5E">
        <w:rPr>
          <w:sz w:val="24"/>
        </w:rPr>
        <w:t xml:space="preserve"> (2012). Btk levels set the threshold for B-cell activation and negative selection of autoreactive B cells in mice. Blood</w:t>
      </w:r>
      <w:r w:rsidRPr="00F16A5E">
        <w:rPr>
          <w:i/>
          <w:sz w:val="24"/>
        </w:rPr>
        <w:t xml:space="preserve"> 119</w:t>
      </w:r>
      <w:r w:rsidRPr="00F16A5E">
        <w:rPr>
          <w:sz w:val="24"/>
        </w:rPr>
        <w:t>, 3744-3756.</w:t>
      </w:r>
    </w:p>
    <w:p w14:paraId="2D087992" w14:textId="77777777" w:rsidR="006E18E9" w:rsidRPr="00F16A5E" w:rsidRDefault="006E18E9" w:rsidP="006E18E9">
      <w:pPr>
        <w:pStyle w:val="EndNoteBibliography"/>
        <w:jc w:val="both"/>
        <w:rPr>
          <w:sz w:val="24"/>
        </w:rPr>
      </w:pPr>
    </w:p>
    <w:p w14:paraId="392CB304" w14:textId="77777777" w:rsidR="006E18E9" w:rsidRPr="00F16A5E" w:rsidRDefault="006E18E9" w:rsidP="006E18E9">
      <w:pPr>
        <w:pStyle w:val="EndNoteBibliography"/>
        <w:jc w:val="both"/>
        <w:rPr>
          <w:sz w:val="24"/>
        </w:rPr>
      </w:pPr>
      <w:bookmarkStart w:id="446" w:name="文献Maas"/>
      <w:r w:rsidRPr="00F16A5E">
        <w:rPr>
          <w:sz w:val="24"/>
        </w:rPr>
        <w:t>Maas</w:t>
      </w:r>
      <w:bookmarkEnd w:id="446"/>
      <w:r w:rsidRPr="00F16A5E">
        <w:rPr>
          <w:sz w:val="24"/>
        </w:rPr>
        <w:t>, A., and Hendriks, R. W. (2001). Role of Bruton's tyrosine kinase in B cell development. Developmental immunology</w:t>
      </w:r>
      <w:r w:rsidRPr="00F16A5E">
        <w:rPr>
          <w:i/>
          <w:sz w:val="24"/>
        </w:rPr>
        <w:t xml:space="preserve"> 8</w:t>
      </w:r>
      <w:r w:rsidRPr="00F16A5E">
        <w:rPr>
          <w:sz w:val="24"/>
        </w:rPr>
        <w:t>, 171-181.</w:t>
      </w:r>
    </w:p>
    <w:p w14:paraId="02DC7B02" w14:textId="77777777" w:rsidR="006E18E9" w:rsidRPr="00F16A5E" w:rsidRDefault="006E18E9" w:rsidP="006E18E9">
      <w:pPr>
        <w:pStyle w:val="EndNoteBibliography"/>
        <w:jc w:val="both"/>
        <w:rPr>
          <w:sz w:val="24"/>
        </w:rPr>
      </w:pPr>
    </w:p>
    <w:p w14:paraId="5F67AFBA" w14:textId="77777777" w:rsidR="006E18E9" w:rsidRPr="00F16A5E" w:rsidRDefault="006E18E9" w:rsidP="006E18E9">
      <w:pPr>
        <w:pStyle w:val="EndNoteBibliography"/>
        <w:jc w:val="both"/>
        <w:rPr>
          <w:sz w:val="24"/>
        </w:rPr>
      </w:pPr>
      <w:bookmarkStart w:id="447" w:name="文献McMullen"/>
      <w:r w:rsidRPr="00F16A5E">
        <w:rPr>
          <w:sz w:val="24"/>
        </w:rPr>
        <w:t>McMullen</w:t>
      </w:r>
      <w:bookmarkEnd w:id="447"/>
      <w:r w:rsidRPr="00F16A5E">
        <w:rPr>
          <w:sz w:val="24"/>
        </w:rPr>
        <w:t xml:space="preserve">, J. R., Boey, E. J. H., Ooi, J. Y. Y., Seymour, J. F., Keating, M. J., and Tam, C. S. (2014). Ibrutinib increases the risk of atrial fibrillation, potentially through inhibition of cardiac PI3K-Akt signaling. </w:t>
      </w:r>
      <w:r w:rsidRPr="00F16A5E">
        <w:rPr>
          <w:i/>
          <w:sz w:val="24"/>
        </w:rPr>
        <w:t xml:space="preserve"> 124</w:t>
      </w:r>
      <w:r w:rsidRPr="00F16A5E">
        <w:rPr>
          <w:sz w:val="24"/>
        </w:rPr>
        <w:t>, 3829-3830.</w:t>
      </w:r>
    </w:p>
    <w:p w14:paraId="27CD4EA9" w14:textId="77777777" w:rsidR="006E18E9" w:rsidRPr="00F16A5E" w:rsidRDefault="006E18E9" w:rsidP="006E18E9">
      <w:pPr>
        <w:pStyle w:val="EndNoteBibliography"/>
        <w:jc w:val="both"/>
        <w:rPr>
          <w:sz w:val="24"/>
        </w:rPr>
      </w:pPr>
    </w:p>
    <w:p w14:paraId="0A4F7CF1" w14:textId="77777777" w:rsidR="006E18E9" w:rsidRPr="00F16A5E" w:rsidRDefault="006E18E9" w:rsidP="006E18E9">
      <w:pPr>
        <w:pStyle w:val="EndNoteBibliography"/>
        <w:jc w:val="both"/>
        <w:rPr>
          <w:sz w:val="24"/>
        </w:rPr>
      </w:pPr>
      <w:bookmarkStart w:id="448" w:name="文献Satterthwaite"/>
      <w:r w:rsidRPr="00F16A5E">
        <w:rPr>
          <w:sz w:val="24"/>
        </w:rPr>
        <w:t>Satterthwaite</w:t>
      </w:r>
      <w:bookmarkEnd w:id="448"/>
      <w:r w:rsidRPr="00F16A5E">
        <w:rPr>
          <w:sz w:val="24"/>
        </w:rPr>
        <w:t>, A. B., and Witte, O. N. (2000). The role of Bruton's tyrosine kinase in B-cell development and function: a genetic perspective. Immunological reviews</w:t>
      </w:r>
      <w:r w:rsidRPr="00F16A5E">
        <w:rPr>
          <w:i/>
          <w:sz w:val="24"/>
        </w:rPr>
        <w:t xml:space="preserve"> 175</w:t>
      </w:r>
      <w:r w:rsidRPr="00F16A5E">
        <w:rPr>
          <w:sz w:val="24"/>
        </w:rPr>
        <w:t>, 120-127.</w:t>
      </w:r>
    </w:p>
    <w:p w14:paraId="2678F155" w14:textId="77777777" w:rsidR="006E18E9" w:rsidRPr="00F16A5E" w:rsidRDefault="006E18E9" w:rsidP="006E18E9">
      <w:pPr>
        <w:pStyle w:val="EndNoteBibliography"/>
        <w:jc w:val="both"/>
        <w:rPr>
          <w:sz w:val="24"/>
        </w:rPr>
      </w:pPr>
    </w:p>
    <w:p w14:paraId="08CF242C" w14:textId="77777777" w:rsidR="006E18E9" w:rsidRPr="00F16A5E" w:rsidRDefault="006E18E9" w:rsidP="006E18E9">
      <w:pPr>
        <w:pStyle w:val="EndNoteBibliography"/>
        <w:jc w:val="both"/>
        <w:rPr>
          <w:sz w:val="24"/>
        </w:rPr>
      </w:pPr>
      <w:bookmarkStart w:id="449" w:name="文献Shlomchik"/>
      <w:r w:rsidRPr="00F16A5E">
        <w:rPr>
          <w:sz w:val="24"/>
        </w:rPr>
        <w:t>Shlomchik</w:t>
      </w:r>
      <w:bookmarkEnd w:id="449"/>
      <w:r w:rsidRPr="00F16A5E">
        <w:rPr>
          <w:sz w:val="24"/>
        </w:rPr>
        <w:t>, M. J., Madaio, M. P., Ni, D., Trounstein, M., and Huszar, D. (1994). The role of B cells in lpr/lpr-induced autoimmunity. The Journal of experimental medicine</w:t>
      </w:r>
      <w:r w:rsidRPr="00F16A5E">
        <w:rPr>
          <w:i/>
          <w:sz w:val="24"/>
        </w:rPr>
        <w:t xml:space="preserve"> 180</w:t>
      </w:r>
      <w:r w:rsidRPr="00F16A5E">
        <w:rPr>
          <w:sz w:val="24"/>
        </w:rPr>
        <w:t>, 1295-1306.</w:t>
      </w:r>
    </w:p>
    <w:p w14:paraId="0DAB5ABE" w14:textId="77777777" w:rsidR="006E18E9" w:rsidRPr="00F16A5E" w:rsidRDefault="006E18E9" w:rsidP="006E18E9">
      <w:pPr>
        <w:pStyle w:val="EndNoteBibliography"/>
        <w:jc w:val="both"/>
        <w:rPr>
          <w:sz w:val="24"/>
        </w:rPr>
      </w:pPr>
    </w:p>
    <w:p w14:paraId="01C4EBB1" w14:textId="77777777" w:rsidR="006E18E9" w:rsidRPr="00F16A5E" w:rsidRDefault="006E18E9" w:rsidP="006E18E9">
      <w:pPr>
        <w:pStyle w:val="EndNoteBibliography"/>
        <w:jc w:val="both"/>
        <w:rPr>
          <w:sz w:val="24"/>
        </w:rPr>
      </w:pPr>
      <w:bookmarkStart w:id="450" w:name="文献Smith"/>
      <w:r w:rsidRPr="00F16A5E">
        <w:rPr>
          <w:sz w:val="24"/>
        </w:rPr>
        <w:t>Smith</w:t>
      </w:r>
      <w:bookmarkEnd w:id="450"/>
      <w:r w:rsidRPr="00F16A5E">
        <w:rPr>
          <w:sz w:val="24"/>
        </w:rPr>
        <w:t>, M. R. (2015). Ibrutinib in B lymphoid malignancies. Expert opinion on pharmacotherapy</w:t>
      </w:r>
      <w:r w:rsidRPr="00F16A5E">
        <w:rPr>
          <w:i/>
          <w:sz w:val="24"/>
        </w:rPr>
        <w:t xml:space="preserve"> 16</w:t>
      </w:r>
      <w:r w:rsidRPr="00F16A5E">
        <w:rPr>
          <w:sz w:val="24"/>
        </w:rPr>
        <w:t>, 1879-1887.</w:t>
      </w:r>
    </w:p>
    <w:p w14:paraId="7A928F68" w14:textId="77777777" w:rsidR="006E18E9" w:rsidRPr="00F16A5E" w:rsidRDefault="006E18E9" w:rsidP="006E18E9">
      <w:pPr>
        <w:pStyle w:val="EndNoteBibliography"/>
        <w:jc w:val="both"/>
        <w:rPr>
          <w:sz w:val="24"/>
        </w:rPr>
      </w:pPr>
    </w:p>
    <w:p w14:paraId="63948C22" w14:textId="77777777" w:rsidR="006E18E9" w:rsidRPr="00F16A5E" w:rsidRDefault="006E18E9" w:rsidP="006E18E9">
      <w:pPr>
        <w:autoSpaceDE w:val="0"/>
        <w:autoSpaceDN w:val="0"/>
        <w:adjustRightInd w:val="0"/>
        <w:rPr>
          <w:kern w:val="0"/>
          <w:sz w:val="24"/>
        </w:rPr>
      </w:pPr>
      <w:bookmarkStart w:id="451" w:name="SmithPF"/>
      <w:r w:rsidRPr="00F16A5E">
        <w:rPr>
          <w:kern w:val="0"/>
          <w:sz w:val="24"/>
        </w:rPr>
        <w:t>Smith, P. F</w:t>
      </w:r>
      <w:bookmarkEnd w:id="451"/>
      <w:r w:rsidRPr="00F16A5E">
        <w:rPr>
          <w:kern w:val="0"/>
          <w:sz w:val="24"/>
        </w:rPr>
        <w:t xml:space="preserve">., et al. (1991). Studies on the mechanism of simvastatin-induced thyroid hypertrophy and follicular cell adenoma in the rat. </w:t>
      </w:r>
      <w:proofErr w:type="spellStart"/>
      <w:r w:rsidRPr="00F16A5E">
        <w:rPr>
          <w:kern w:val="0"/>
          <w:sz w:val="24"/>
        </w:rPr>
        <w:t>Toxicol</w:t>
      </w:r>
      <w:proofErr w:type="spellEnd"/>
      <w:r w:rsidRPr="00F16A5E">
        <w:rPr>
          <w:kern w:val="0"/>
          <w:sz w:val="24"/>
        </w:rPr>
        <w:t xml:space="preserve"> </w:t>
      </w:r>
      <w:proofErr w:type="spellStart"/>
      <w:r w:rsidRPr="00F16A5E">
        <w:rPr>
          <w:kern w:val="0"/>
          <w:sz w:val="24"/>
        </w:rPr>
        <w:t>Pathol</w:t>
      </w:r>
      <w:proofErr w:type="spellEnd"/>
      <w:r w:rsidRPr="00F16A5E">
        <w:rPr>
          <w:kern w:val="0"/>
          <w:sz w:val="24"/>
        </w:rPr>
        <w:t xml:space="preserve"> 19(3): 197-205.</w:t>
      </w:r>
    </w:p>
    <w:p w14:paraId="54D0CECA" w14:textId="77777777" w:rsidR="006E18E9" w:rsidRPr="00F16A5E" w:rsidRDefault="006E18E9" w:rsidP="006E18E9">
      <w:pPr>
        <w:pStyle w:val="EndNoteBibliography"/>
        <w:jc w:val="both"/>
        <w:rPr>
          <w:sz w:val="24"/>
        </w:rPr>
      </w:pPr>
    </w:p>
    <w:p w14:paraId="6999FE70" w14:textId="77777777" w:rsidR="006E18E9" w:rsidRPr="00F16A5E" w:rsidRDefault="006E18E9" w:rsidP="006E18E9">
      <w:pPr>
        <w:pStyle w:val="EndNoteBibliography"/>
        <w:jc w:val="both"/>
        <w:rPr>
          <w:sz w:val="24"/>
        </w:rPr>
      </w:pPr>
      <w:bookmarkStart w:id="452" w:name="文献Tucker"/>
      <w:r w:rsidRPr="00F16A5E">
        <w:rPr>
          <w:sz w:val="24"/>
        </w:rPr>
        <w:t>Tucker</w:t>
      </w:r>
      <w:bookmarkEnd w:id="452"/>
      <w:r w:rsidRPr="00F16A5E">
        <w:rPr>
          <w:sz w:val="24"/>
        </w:rPr>
        <w:t>, D. L., and Rule, S. A. (2015). A critical appraisal of ibrutinib in the treatment of mantle cell lymphoma and chronic lymphocytic leukemia. Therapeutics and clinical risk management</w:t>
      </w:r>
      <w:r w:rsidRPr="00F16A5E">
        <w:rPr>
          <w:i/>
          <w:sz w:val="24"/>
        </w:rPr>
        <w:t xml:space="preserve"> 11</w:t>
      </w:r>
      <w:r w:rsidRPr="00F16A5E">
        <w:rPr>
          <w:sz w:val="24"/>
        </w:rPr>
        <w:t>, 979-990.</w:t>
      </w:r>
    </w:p>
    <w:p w14:paraId="53C2ED79" w14:textId="77777777" w:rsidR="006E18E9" w:rsidRPr="00F16A5E" w:rsidRDefault="006E18E9" w:rsidP="006E18E9">
      <w:pPr>
        <w:pStyle w:val="EndNoteBibliography"/>
        <w:jc w:val="both"/>
        <w:rPr>
          <w:sz w:val="24"/>
        </w:rPr>
      </w:pPr>
    </w:p>
    <w:p w14:paraId="781D0C2D" w14:textId="77777777" w:rsidR="006E18E9" w:rsidRPr="00F16A5E" w:rsidRDefault="006E18E9" w:rsidP="006E18E9">
      <w:pPr>
        <w:pStyle w:val="EndNoteBibliography"/>
        <w:jc w:val="both"/>
        <w:rPr>
          <w:sz w:val="24"/>
        </w:rPr>
      </w:pPr>
      <w:bookmarkStart w:id="453" w:name="文献Wang"/>
      <w:r w:rsidRPr="00F16A5E">
        <w:rPr>
          <w:sz w:val="24"/>
        </w:rPr>
        <w:t>Wang</w:t>
      </w:r>
      <w:bookmarkEnd w:id="453"/>
      <w:r w:rsidRPr="00F16A5E">
        <w:rPr>
          <w:sz w:val="24"/>
        </w:rPr>
        <w:t>, M. L., Rule, S., Martin, P., Goy, A., Auer, R., Kahl, B. S., Jurczak, W., Advani, R. H., Romaguera, J. E., Williams, M. E.</w:t>
      </w:r>
      <w:r w:rsidRPr="00F16A5E">
        <w:rPr>
          <w:i/>
          <w:sz w:val="24"/>
        </w:rPr>
        <w:t>, et al.</w:t>
      </w:r>
      <w:r w:rsidRPr="00F16A5E">
        <w:rPr>
          <w:sz w:val="24"/>
        </w:rPr>
        <w:t xml:space="preserve"> (2013). Targeting BTK with Ibrutinib in Relapsed or Refractory Mantle-Cell Lymphoma. </w:t>
      </w:r>
      <w:r w:rsidRPr="00F16A5E">
        <w:rPr>
          <w:i/>
          <w:sz w:val="24"/>
        </w:rPr>
        <w:t xml:space="preserve"> 369</w:t>
      </w:r>
      <w:r w:rsidRPr="00F16A5E">
        <w:rPr>
          <w:sz w:val="24"/>
        </w:rPr>
        <w:t>, 507-516.</w:t>
      </w:r>
    </w:p>
    <w:p w14:paraId="0D6916A8" w14:textId="77777777" w:rsidR="006E18E9" w:rsidRPr="00F16A5E" w:rsidRDefault="006E18E9" w:rsidP="006E18E9">
      <w:pPr>
        <w:rPr>
          <w:sz w:val="24"/>
        </w:rPr>
      </w:pPr>
    </w:p>
    <w:p w14:paraId="1396EBB3" w14:textId="77777777" w:rsidR="006E18E9" w:rsidRPr="00F16A5E" w:rsidRDefault="006E18E9" w:rsidP="006E18E9">
      <w:pPr>
        <w:autoSpaceDE w:val="0"/>
        <w:autoSpaceDN w:val="0"/>
        <w:adjustRightInd w:val="0"/>
        <w:rPr>
          <w:kern w:val="0"/>
          <w:sz w:val="24"/>
        </w:rPr>
      </w:pPr>
      <w:bookmarkStart w:id="454" w:name="Zabka"/>
      <w:bookmarkEnd w:id="454"/>
      <w:r w:rsidRPr="00F16A5E">
        <w:rPr>
          <w:kern w:val="0"/>
          <w:sz w:val="24"/>
        </w:rPr>
        <w:t xml:space="preserve">Zabka, T. S., et al. (2011). Characterization of xenobiotic-induced hepatocellular enzyme induction in rats: anticipated thyroid effects and unique pituitary gland findings. </w:t>
      </w:r>
      <w:proofErr w:type="spellStart"/>
      <w:r w:rsidRPr="00F16A5E">
        <w:rPr>
          <w:kern w:val="0"/>
          <w:sz w:val="24"/>
        </w:rPr>
        <w:t>Toxicol</w:t>
      </w:r>
      <w:proofErr w:type="spellEnd"/>
      <w:r w:rsidRPr="00F16A5E">
        <w:rPr>
          <w:kern w:val="0"/>
          <w:sz w:val="24"/>
        </w:rPr>
        <w:t xml:space="preserve"> </w:t>
      </w:r>
      <w:proofErr w:type="spellStart"/>
      <w:r w:rsidRPr="00F16A5E">
        <w:rPr>
          <w:kern w:val="0"/>
          <w:sz w:val="24"/>
        </w:rPr>
        <w:t>Pathol</w:t>
      </w:r>
      <w:proofErr w:type="spellEnd"/>
      <w:r w:rsidRPr="00F16A5E">
        <w:rPr>
          <w:kern w:val="0"/>
          <w:sz w:val="24"/>
        </w:rPr>
        <w:t xml:space="preserve"> </w:t>
      </w:r>
      <w:r w:rsidRPr="00F16A5E">
        <w:rPr>
          <w:bCs/>
          <w:kern w:val="0"/>
          <w:sz w:val="24"/>
        </w:rPr>
        <w:t>39</w:t>
      </w:r>
      <w:r w:rsidRPr="00F16A5E">
        <w:rPr>
          <w:kern w:val="0"/>
          <w:sz w:val="24"/>
        </w:rPr>
        <w:t>(4): 664-677.</w:t>
      </w:r>
    </w:p>
    <w:sectPr w:rsidR="006E18E9" w:rsidRPr="00F16A5E" w:rsidSect="009C760A">
      <w:headerReference w:type="default" r:id="rId17"/>
      <w:pgSz w:w="11906" w:h="16838" w:code="9"/>
      <w:pgMar w:top="1134" w:right="1134" w:bottom="1134" w:left="1134" w:header="680"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9543" w14:textId="77777777" w:rsidR="006D6035" w:rsidRDefault="006D6035">
      <w:r>
        <w:separator/>
      </w:r>
    </w:p>
  </w:endnote>
  <w:endnote w:type="continuationSeparator" w:id="0">
    <w:p w14:paraId="6FCAF96A" w14:textId="77777777" w:rsidR="006D6035" w:rsidRDefault="006D6035">
      <w:r>
        <w:continuationSeparator/>
      </w:r>
    </w:p>
  </w:endnote>
  <w:endnote w:type="continuationNotice" w:id="1">
    <w:p w14:paraId="21DE1B79" w14:textId="77777777" w:rsidR="006D6035" w:rsidRDefault="006D6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P7B6C">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161A" w14:textId="77777777" w:rsidR="00173798" w:rsidRPr="00CB3AB9" w:rsidRDefault="00173798" w:rsidP="004F7984">
    <w:pPr>
      <w:pStyle w:val="a6"/>
      <w:jc w:val="center"/>
      <w:rPr>
        <w:sz w:val="21"/>
      </w:rPr>
    </w:pPr>
    <w:r w:rsidRPr="00525E2E">
      <w:rPr>
        <w:sz w:val="21"/>
      </w:rPr>
      <w:fldChar w:fldCharType="begin"/>
    </w:r>
    <w:r w:rsidRPr="00525E2E">
      <w:rPr>
        <w:sz w:val="21"/>
      </w:rPr>
      <w:instrText>PAGE   \* MERGEFORMAT</w:instrText>
    </w:r>
    <w:r w:rsidRPr="00525E2E">
      <w:rPr>
        <w:sz w:val="21"/>
      </w:rPr>
      <w:fldChar w:fldCharType="separate"/>
    </w:r>
    <w:r w:rsidRPr="00525E2E">
      <w:rPr>
        <w:sz w:val="21"/>
        <w:lang w:val="zh-CN"/>
      </w:rPr>
      <w:t>2</w:t>
    </w:r>
    <w:r w:rsidRPr="00525E2E">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EAFC" w14:textId="77777777" w:rsidR="006D6035" w:rsidRDefault="006D6035">
      <w:r>
        <w:separator/>
      </w:r>
    </w:p>
  </w:footnote>
  <w:footnote w:type="continuationSeparator" w:id="0">
    <w:p w14:paraId="64DFEA10" w14:textId="77777777" w:rsidR="006D6035" w:rsidRDefault="006D6035">
      <w:r>
        <w:continuationSeparator/>
      </w:r>
    </w:p>
  </w:footnote>
  <w:footnote w:type="continuationNotice" w:id="1">
    <w:p w14:paraId="4D218F43" w14:textId="77777777" w:rsidR="006D6035" w:rsidRDefault="006D6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D51C" w14:textId="77777777" w:rsidR="00173798" w:rsidRDefault="00173798" w:rsidP="004F7984">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607"/>
      <w:gridCol w:w="4699"/>
    </w:tblGrid>
    <w:tr w:rsidR="00173798" w:rsidRPr="0044031E" w14:paraId="2B49CE73" w14:textId="77777777" w:rsidTr="004F7984">
      <w:tc>
        <w:tcPr>
          <w:tcW w:w="3936" w:type="dxa"/>
          <w:shd w:val="clear" w:color="auto" w:fill="auto"/>
          <w:vAlign w:val="center"/>
        </w:tcPr>
        <w:p w14:paraId="0C7CFCBF" w14:textId="11F69C69" w:rsidR="00173798" w:rsidRPr="00525E2E" w:rsidRDefault="00173798" w:rsidP="004F7984">
          <w:pPr>
            <w:pStyle w:val="a4"/>
            <w:pBdr>
              <w:bottom w:val="none" w:sz="0" w:space="0" w:color="auto"/>
            </w:pBdr>
            <w:jc w:val="both"/>
            <w:rPr>
              <w:i/>
              <w:kern w:val="0"/>
              <w:sz w:val="21"/>
              <w:szCs w:val="21"/>
            </w:rPr>
          </w:pPr>
          <w:r w:rsidRPr="00DF386E">
            <w:rPr>
              <w:i/>
              <w:kern w:val="0"/>
              <w:sz w:val="21"/>
              <w:szCs w:val="21"/>
            </w:rPr>
            <w:t>Protocol No.: ICP-CL-00109</w:t>
          </w:r>
        </w:p>
        <w:p w14:paraId="31F8EA7A" w14:textId="2EC8CE46" w:rsidR="00173798" w:rsidRPr="00525E2E" w:rsidRDefault="00173798" w:rsidP="004F7984">
          <w:pPr>
            <w:pStyle w:val="a6"/>
            <w:jc w:val="both"/>
            <w:rPr>
              <w:i/>
              <w:sz w:val="21"/>
              <w:szCs w:val="21"/>
            </w:rPr>
          </w:pPr>
          <w:r w:rsidRPr="00DF386E">
            <w:rPr>
              <w:i/>
              <w:sz w:val="21"/>
              <w:szCs w:val="21"/>
            </w:rPr>
            <w:t>Protocol Version: V5.0, Jan. 7, 2021</w:t>
          </w:r>
        </w:p>
      </w:tc>
      <w:tc>
        <w:tcPr>
          <w:tcW w:w="5124" w:type="dxa"/>
          <w:shd w:val="clear" w:color="auto" w:fill="auto"/>
          <w:vAlign w:val="center"/>
        </w:tcPr>
        <w:p w14:paraId="354821EA" w14:textId="46910215" w:rsidR="00173798" w:rsidRPr="00525E2E" w:rsidRDefault="00173798" w:rsidP="004F7984">
          <w:pPr>
            <w:pStyle w:val="a4"/>
            <w:pBdr>
              <w:bottom w:val="none" w:sz="0" w:space="0" w:color="auto"/>
            </w:pBdr>
            <w:jc w:val="right"/>
            <w:rPr>
              <w:i/>
              <w:kern w:val="0"/>
              <w:sz w:val="21"/>
            </w:rPr>
          </w:pPr>
          <w:r w:rsidRPr="00DF386E">
            <w:rPr>
              <w:i/>
              <w:kern w:val="0"/>
              <w:sz w:val="21"/>
            </w:rPr>
            <w:t>Confidential</w:t>
          </w:r>
        </w:p>
      </w:tc>
    </w:tr>
  </w:tbl>
  <w:p w14:paraId="4981CD58" w14:textId="77777777" w:rsidR="00173798" w:rsidRPr="00000B3A" w:rsidRDefault="00173798" w:rsidP="004F7984">
    <w:pPr>
      <w:pStyle w:val="a4"/>
      <w:pBdr>
        <w:bottom w:val="none" w:sz="0" w:space="0" w:color="auto"/>
      </w:pBdr>
      <w:jc w:val="both"/>
      <w:rPr>
        <w:i/>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608"/>
      <w:gridCol w:w="4698"/>
    </w:tblGrid>
    <w:tr w:rsidR="00173798" w:rsidRPr="0044031E" w14:paraId="21915E6F" w14:textId="77777777" w:rsidTr="004F7984">
      <w:tc>
        <w:tcPr>
          <w:tcW w:w="2172" w:type="pct"/>
          <w:shd w:val="clear" w:color="auto" w:fill="auto"/>
          <w:vAlign w:val="center"/>
        </w:tcPr>
        <w:p w14:paraId="4F43007A" w14:textId="77777777" w:rsidR="00173798" w:rsidRPr="00525E2E" w:rsidRDefault="00173798" w:rsidP="00D64925">
          <w:pPr>
            <w:pStyle w:val="a4"/>
            <w:pBdr>
              <w:bottom w:val="none" w:sz="0" w:space="0" w:color="auto"/>
            </w:pBdr>
            <w:jc w:val="both"/>
            <w:rPr>
              <w:i/>
              <w:kern w:val="0"/>
              <w:sz w:val="21"/>
              <w:szCs w:val="21"/>
            </w:rPr>
          </w:pPr>
          <w:r w:rsidRPr="00DF386E">
            <w:rPr>
              <w:i/>
              <w:kern w:val="0"/>
              <w:sz w:val="21"/>
              <w:szCs w:val="21"/>
            </w:rPr>
            <w:t>Protocol No.: ICP-CL-00109</w:t>
          </w:r>
        </w:p>
        <w:p w14:paraId="55AD8813" w14:textId="58761C9D" w:rsidR="00173798" w:rsidRPr="00525E2E" w:rsidRDefault="00173798" w:rsidP="00D64925">
          <w:pPr>
            <w:pStyle w:val="a6"/>
            <w:jc w:val="both"/>
            <w:rPr>
              <w:i/>
              <w:sz w:val="21"/>
              <w:szCs w:val="21"/>
            </w:rPr>
          </w:pPr>
          <w:r w:rsidRPr="00DF386E">
            <w:rPr>
              <w:i/>
              <w:sz w:val="21"/>
              <w:szCs w:val="21"/>
            </w:rPr>
            <w:t>Protocol Version: V5.0, Jan. 7, 2021</w:t>
          </w:r>
        </w:p>
      </w:tc>
      <w:tc>
        <w:tcPr>
          <w:tcW w:w="2828" w:type="pct"/>
          <w:shd w:val="clear" w:color="auto" w:fill="auto"/>
          <w:vAlign w:val="center"/>
        </w:tcPr>
        <w:p w14:paraId="7D4A2C45" w14:textId="27A67004" w:rsidR="00173798" w:rsidRPr="0044031E" w:rsidRDefault="00173798" w:rsidP="004F7984">
          <w:pPr>
            <w:pStyle w:val="a4"/>
            <w:pBdr>
              <w:bottom w:val="none" w:sz="0" w:space="0" w:color="auto"/>
            </w:pBdr>
            <w:jc w:val="right"/>
            <w:rPr>
              <w:i/>
              <w:kern w:val="0"/>
              <w:sz w:val="21"/>
            </w:rPr>
          </w:pPr>
          <w:r w:rsidRPr="00D64925">
            <w:rPr>
              <w:i/>
              <w:kern w:val="0"/>
              <w:sz w:val="21"/>
            </w:rPr>
            <w:t>Confidential</w:t>
          </w:r>
        </w:p>
      </w:tc>
    </w:tr>
  </w:tbl>
  <w:p w14:paraId="60E09C78" w14:textId="77777777" w:rsidR="00173798" w:rsidRPr="0060618D" w:rsidRDefault="00173798" w:rsidP="004F7984">
    <w:pPr>
      <w:pStyle w:val="a4"/>
      <w:pBdr>
        <w:bottom w:val="none" w:sz="0" w:space="0" w:color="auto"/>
      </w:pBdr>
      <w:jc w:val="both"/>
      <w:rPr>
        <w:i/>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678"/>
      <w:gridCol w:w="3628"/>
    </w:tblGrid>
    <w:tr w:rsidR="00173798" w:rsidRPr="0044031E" w14:paraId="2E8EF9BD" w14:textId="77777777" w:rsidTr="00880C9B">
      <w:tc>
        <w:tcPr>
          <w:tcW w:w="2816" w:type="pct"/>
          <w:shd w:val="clear" w:color="auto" w:fill="auto"/>
          <w:vAlign w:val="center"/>
        </w:tcPr>
        <w:p w14:paraId="1D074B6A" w14:textId="77777777" w:rsidR="00173798" w:rsidRPr="00525E2E" w:rsidRDefault="00173798" w:rsidP="008E29FA">
          <w:pPr>
            <w:pStyle w:val="a4"/>
            <w:pBdr>
              <w:bottom w:val="none" w:sz="0" w:space="0" w:color="auto"/>
            </w:pBdr>
            <w:jc w:val="both"/>
            <w:rPr>
              <w:i/>
              <w:kern w:val="0"/>
              <w:sz w:val="21"/>
              <w:szCs w:val="21"/>
            </w:rPr>
          </w:pPr>
          <w:r w:rsidRPr="00DF386E">
            <w:rPr>
              <w:i/>
              <w:kern w:val="0"/>
              <w:sz w:val="21"/>
              <w:szCs w:val="21"/>
            </w:rPr>
            <w:t>Protocol No.: ICP-CL-00109</w:t>
          </w:r>
        </w:p>
        <w:p w14:paraId="0E5CA87E" w14:textId="3BE4EB2A" w:rsidR="00173798" w:rsidRPr="00525E2E" w:rsidRDefault="00173798" w:rsidP="008E29FA">
          <w:pPr>
            <w:pStyle w:val="a6"/>
            <w:jc w:val="both"/>
            <w:rPr>
              <w:i/>
              <w:sz w:val="21"/>
              <w:szCs w:val="21"/>
            </w:rPr>
          </w:pPr>
          <w:r w:rsidRPr="00DF386E">
            <w:rPr>
              <w:i/>
              <w:sz w:val="21"/>
              <w:szCs w:val="21"/>
            </w:rPr>
            <w:t>Protocol Version: V5.0, Jan. 7, 2021</w:t>
          </w:r>
        </w:p>
      </w:tc>
      <w:tc>
        <w:tcPr>
          <w:tcW w:w="2184" w:type="pct"/>
          <w:shd w:val="clear" w:color="auto" w:fill="auto"/>
          <w:vAlign w:val="center"/>
        </w:tcPr>
        <w:p w14:paraId="13B8AB44" w14:textId="7F5099A7" w:rsidR="00173798" w:rsidRPr="00525E2E" w:rsidRDefault="00173798" w:rsidP="004F7984">
          <w:pPr>
            <w:pStyle w:val="a4"/>
            <w:pBdr>
              <w:bottom w:val="none" w:sz="0" w:space="0" w:color="auto"/>
            </w:pBdr>
            <w:jc w:val="right"/>
            <w:rPr>
              <w:i/>
              <w:kern w:val="0"/>
              <w:sz w:val="21"/>
            </w:rPr>
          </w:pPr>
          <w:r w:rsidRPr="00D64925">
            <w:rPr>
              <w:i/>
              <w:kern w:val="0"/>
              <w:sz w:val="21"/>
            </w:rPr>
            <w:t>Confidential</w:t>
          </w:r>
        </w:p>
      </w:tc>
    </w:tr>
  </w:tbl>
  <w:p w14:paraId="3E0F9DAE" w14:textId="77777777" w:rsidR="00173798" w:rsidRPr="00000B3A" w:rsidRDefault="00173798" w:rsidP="00880C9B">
    <w:pPr>
      <w:pStyle w:val="a4"/>
      <w:pBdr>
        <w:bottom w:val="none" w:sz="0" w:space="0" w:color="auto"/>
      </w:pBdr>
      <w:spacing w:line="100" w:lineRule="exact"/>
      <w:jc w:val="both"/>
      <w:rPr>
        <w:i/>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6C5344"/>
    <w:lvl w:ilvl="0">
      <w:start w:val="1"/>
      <w:numFmt w:val="bullet"/>
      <w:pStyle w:val="SynopsisBullet"/>
      <w:lvlText w:val=""/>
      <w:lvlJc w:val="left"/>
      <w:pPr>
        <w:tabs>
          <w:tab w:val="num" w:pos="432"/>
        </w:tabs>
        <w:ind w:left="432" w:hanging="331"/>
      </w:pPr>
      <w:rPr>
        <w:rFonts w:ascii="Symbol" w:hAnsi="Symbol" w:hint="default"/>
      </w:rPr>
    </w:lvl>
  </w:abstractNum>
  <w:abstractNum w:abstractNumId="1" w15:restartNumberingAfterBreak="0">
    <w:nsid w:val="00000005"/>
    <w:multiLevelType w:val="singleLevel"/>
    <w:tmpl w:val="3B64E82E"/>
    <w:lvl w:ilvl="0">
      <w:start w:val="1"/>
      <w:numFmt w:val="bullet"/>
      <w:lvlText w:val=""/>
      <w:lvlJc w:val="left"/>
      <w:pPr>
        <w:ind w:left="420" w:hanging="420"/>
      </w:pPr>
      <w:rPr>
        <w:rFonts w:ascii="Wingdings" w:hAnsi="Wingdings" w:hint="default"/>
      </w:rPr>
    </w:lvl>
  </w:abstractNum>
  <w:abstractNum w:abstractNumId="2" w15:restartNumberingAfterBreak="0">
    <w:nsid w:val="03046B1E"/>
    <w:multiLevelType w:val="hybridMultilevel"/>
    <w:tmpl w:val="46B0620A"/>
    <w:lvl w:ilvl="0" w:tplc="3B64E82E">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0A701CCF"/>
    <w:multiLevelType w:val="hybridMultilevel"/>
    <w:tmpl w:val="3F6C68E8"/>
    <w:lvl w:ilvl="0" w:tplc="0A12B71C">
      <w:start w:val="1"/>
      <w:numFmt w:val="bullet"/>
      <w:pStyle w:val="a"/>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36078"/>
    <w:multiLevelType w:val="hybridMultilevel"/>
    <w:tmpl w:val="5600A506"/>
    <w:lvl w:ilvl="0" w:tplc="3B64E82E">
      <w:start w:val="1"/>
      <w:numFmt w:val="bullet"/>
      <w:lvlText w:val=""/>
      <w:lvlJc w:val="left"/>
      <w:pPr>
        <w:ind w:left="494" w:hanging="420"/>
      </w:pPr>
      <w:rPr>
        <w:rFonts w:ascii="Wingdings" w:hAnsi="Wingdings" w:hint="default"/>
      </w:rPr>
    </w:lvl>
    <w:lvl w:ilvl="1" w:tplc="04090003" w:tentative="1">
      <w:start w:val="1"/>
      <w:numFmt w:val="bullet"/>
      <w:lvlText w:val=""/>
      <w:lvlJc w:val="left"/>
      <w:pPr>
        <w:ind w:left="914" w:hanging="420"/>
      </w:pPr>
      <w:rPr>
        <w:rFonts w:ascii="Wingdings" w:hAnsi="Wingdings" w:hint="default"/>
      </w:rPr>
    </w:lvl>
    <w:lvl w:ilvl="2" w:tplc="04090005" w:tentative="1">
      <w:start w:val="1"/>
      <w:numFmt w:val="bullet"/>
      <w:lvlText w:val=""/>
      <w:lvlJc w:val="left"/>
      <w:pPr>
        <w:ind w:left="1334" w:hanging="420"/>
      </w:pPr>
      <w:rPr>
        <w:rFonts w:ascii="Wingdings" w:hAnsi="Wingdings" w:hint="default"/>
      </w:rPr>
    </w:lvl>
    <w:lvl w:ilvl="3" w:tplc="04090001" w:tentative="1">
      <w:start w:val="1"/>
      <w:numFmt w:val="bullet"/>
      <w:lvlText w:val=""/>
      <w:lvlJc w:val="left"/>
      <w:pPr>
        <w:ind w:left="1754" w:hanging="420"/>
      </w:pPr>
      <w:rPr>
        <w:rFonts w:ascii="Wingdings" w:hAnsi="Wingdings" w:hint="default"/>
      </w:rPr>
    </w:lvl>
    <w:lvl w:ilvl="4" w:tplc="04090003" w:tentative="1">
      <w:start w:val="1"/>
      <w:numFmt w:val="bullet"/>
      <w:lvlText w:val=""/>
      <w:lvlJc w:val="left"/>
      <w:pPr>
        <w:ind w:left="2174" w:hanging="420"/>
      </w:pPr>
      <w:rPr>
        <w:rFonts w:ascii="Wingdings" w:hAnsi="Wingdings" w:hint="default"/>
      </w:rPr>
    </w:lvl>
    <w:lvl w:ilvl="5" w:tplc="04090005" w:tentative="1">
      <w:start w:val="1"/>
      <w:numFmt w:val="bullet"/>
      <w:lvlText w:val=""/>
      <w:lvlJc w:val="left"/>
      <w:pPr>
        <w:ind w:left="2594" w:hanging="420"/>
      </w:pPr>
      <w:rPr>
        <w:rFonts w:ascii="Wingdings" w:hAnsi="Wingdings" w:hint="default"/>
      </w:rPr>
    </w:lvl>
    <w:lvl w:ilvl="6" w:tplc="04090001" w:tentative="1">
      <w:start w:val="1"/>
      <w:numFmt w:val="bullet"/>
      <w:lvlText w:val=""/>
      <w:lvlJc w:val="left"/>
      <w:pPr>
        <w:ind w:left="3014" w:hanging="420"/>
      </w:pPr>
      <w:rPr>
        <w:rFonts w:ascii="Wingdings" w:hAnsi="Wingdings" w:hint="default"/>
      </w:rPr>
    </w:lvl>
    <w:lvl w:ilvl="7" w:tplc="04090003" w:tentative="1">
      <w:start w:val="1"/>
      <w:numFmt w:val="bullet"/>
      <w:lvlText w:val=""/>
      <w:lvlJc w:val="left"/>
      <w:pPr>
        <w:ind w:left="3434" w:hanging="420"/>
      </w:pPr>
      <w:rPr>
        <w:rFonts w:ascii="Wingdings" w:hAnsi="Wingdings" w:hint="default"/>
      </w:rPr>
    </w:lvl>
    <w:lvl w:ilvl="8" w:tplc="04090005" w:tentative="1">
      <w:start w:val="1"/>
      <w:numFmt w:val="bullet"/>
      <w:lvlText w:val=""/>
      <w:lvlJc w:val="left"/>
      <w:pPr>
        <w:ind w:left="3854" w:hanging="420"/>
      </w:pPr>
      <w:rPr>
        <w:rFonts w:ascii="Wingdings" w:hAnsi="Wingdings" w:hint="default"/>
      </w:rPr>
    </w:lvl>
  </w:abstractNum>
  <w:abstractNum w:abstractNumId="5" w15:restartNumberingAfterBreak="0">
    <w:nsid w:val="0EB72A2D"/>
    <w:multiLevelType w:val="hybridMultilevel"/>
    <w:tmpl w:val="58E0196A"/>
    <w:lvl w:ilvl="0" w:tplc="B6BCF2FE">
      <w:start w:val="1"/>
      <w:numFmt w:val="decimal"/>
      <w:lvlText w:val="%1."/>
      <w:lvlJc w:val="left"/>
      <w:pPr>
        <w:ind w:left="794" w:hanging="567"/>
      </w:pPr>
      <w:rPr>
        <w:rFonts w:ascii="Times New Roman" w:hAnsi="Times New Roman" w:cs="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81488"/>
    <w:multiLevelType w:val="hybridMultilevel"/>
    <w:tmpl w:val="C30E9F44"/>
    <w:lvl w:ilvl="0" w:tplc="B5DC3210">
      <w:start w:val="1"/>
      <w:numFmt w:val="decimal"/>
      <w:lvlText w:val="%1)"/>
      <w:lvlJc w:val="left"/>
      <w:pPr>
        <w:ind w:left="432"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9142B2"/>
    <w:multiLevelType w:val="hybridMultilevel"/>
    <w:tmpl w:val="EBD4B25E"/>
    <w:lvl w:ilvl="0" w:tplc="3B64E8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6C0EC3"/>
    <w:multiLevelType w:val="hybridMultilevel"/>
    <w:tmpl w:val="C6F66448"/>
    <w:lvl w:ilvl="0" w:tplc="BEBCCA8A">
      <w:start w:val="1"/>
      <w:numFmt w:val="decimal"/>
      <w:lvlText w:val="%1)"/>
      <w:lvlJc w:val="left"/>
      <w:pPr>
        <w:ind w:left="432" w:hanging="360"/>
      </w:pPr>
      <w:rPr>
        <w:rFonts w:hint="default"/>
        <w:color w:val="auto"/>
      </w:rPr>
    </w:lvl>
    <w:lvl w:ilvl="1" w:tplc="04090001">
      <w:start w:val="1"/>
      <w:numFmt w:val="bullet"/>
      <w:lvlText w:val=""/>
      <w:lvlJc w:val="left"/>
      <w:pPr>
        <w:ind w:left="1152" w:hanging="360"/>
      </w:pPr>
      <w:rPr>
        <w:rFonts w:ascii="Symbol" w:hAnsi="Symbol" w:hint="default"/>
      </w:rPr>
    </w:lvl>
    <w:lvl w:ilvl="2" w:tplc="699051A4">
      <w:numFmt w:val="bullet"/>
      <w:lvlText w:val="•"/>
      <w:lvlJc w:val="left"/>
      <w:pPr>
        <w:ind w:left="2097" w:hanging="405"/>
      </w:pPr>
      <w:rPr>
        <w:rFonts w:ascii="宋体" w:eastAsia="宋体" w:hAnsi="宋体" w:cs="Times New Roman" w:hint="eastAsia"/>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249D5B7A"/>
    <w:multiLevelType w:val="hybridMultilevel"/>
    <w:tmpl w:val="570CC8C0"/>
    <w:lvl w:ilvl="0" w:tplc="56E87A7C">
      <w:start w:val="1"/>
      <w:numFmt w:val="decimal"/>
      <w:lvlText w:val="%1、"/>
      <w:lvlJc w:val="left"/>
      <w:pPr>
        <w:ind w:left="1636" w:hanging="360"/>
      </w:pPr>
      <w:rPr>
        <w:rFonts w:hint="default"/>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10" w15:restartNumberingAfterBreak="0">
    <w:nsid w:val="26B10F45"/>
    <w:multiLevelType w:val="hybridMultilevel"/>
    <w:tmpl w:val="EEEC811C"/>
    <w:lvl w:ilvl="0" w:tplc="D6B455F6">
      <w:start w:val="1"/>
      <w:numFmt w:val="bullet"/>
      <w:lvlText w:val=""/>
      <w:lvlJc w:val="left"/>
      <w:pPr>
        <w:ind w:left="647" w:hanging="420"/>
      </w:pPr>
      <w:rPr>
        <w:rFonts w:ascii="Wingdings" w:hAnsi="Wingdings" w:hint="default"/>
      </w:rPr>
    </w:lvl>
    <w:lvl w:ilvl="1" w:tplc="04090009">
      <w:start w:val="1"/>
      <w:numFmt w:val="bullet"/>
      <w:lvlText w:val=""/>
      <w:lvlJc w:val="left"/>
      <w:pPr>
        <w:ind w:left="1440" w:hanging="480"/>
      </w:pPr>
      <w:rPr>
        <w:rFonts w:ascii="Wingdings" w:hAnsi="Wingdings" w:hint="default"/>
        <w:b w:val="0"/>
        <w:color w:val="auto"/>
      </w:rPr>
    </w:lvl>
    <w:lvl w:ilvl="2" w:tplc="04090005">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3" w:tentative="1">
      <w:start w:val="1"/>
      <w:numFmt w:val="bullet"/>
      <w:lvlText w:val=""/>
      <w:lvlJc w:val="left"/>
      <w:pPr>
        <w:ind w:left="2327" w:hanging="420"/>
      </w:pPr>
      <w:rPr>
        <w:rFonts w:ascii="Wingdings" w:hAnsi="Wingdings" w:hint="default"/>
      </w:rPr>
    </w:lvl>
    <w:lvl w:ilvl="5" w:tplc="04090005"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3" w:tentative="1">
      <w:start w:val="1"/>
      <w:numFmt w:val="bullet"/>
      <w:lvlText w:val=""/>
      <w:lvlJc w:val="left"/>
      <w:pPr>
        <w:ind w:left="3587" w:hanging="420"/>
      </w:pPr>
      <w:rPr>
        <w:rFonts w:ascii="Wingdings" w:hAnsi="Wingdings" w:hint="default"/>
      </w:rPr>
    </w:lvl>
    <w:lvl w:ilvl="8" w:tplc="04090005" w:tentative="1">
      <w:start w:val="1"/>
      <w:numFmt w:val="bullet"/>
      <w:lvlText w:val=""/>
      <w:lvlJc w:val="left"/>
      <w:pPr>
        <w:ind w:left="4007" w:hanging="420"/>
      </w:pPr>
      <w:rPr>
        <w:rFonts w:ascii="Wingdings" w:hAnsi="Wingdings" w:hint="default"/>
      </w:rPr>
    </w:lvl>
  </w:abstractNum>
  <w:abstractNum w:abstractNumId="11" w15:restartNumberingAfterBreak="0">
    <w:nsid w:val="26C63105"/>
    <w:multiLevelType w:val="hybridMultilevel"/>
    <w:tmpl w:val="91A01B76"/>
    <w:lvl w:ilvl="0" w:tplc="87B2252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283A660E"/>
    <w:multiLevelType w:val="hybridMultilevel"/>
    <w:tmpl w:val="4C527F36"/>
    <w:lvl w:ilvl="0" w:tplc="BEBCCA8A">
      <w:start w:val="1"/>
      <w:numFmt w:val="decimal"/>
      <w:lvlText w:val="%1)"/>
      <w:lvlJc w:val="left"/>
      <w:pPr>
        <w:ind w:left="840" w:hanging="420"/>
      </w:pPr>
      <w:rPr>
        <w:color w:val="auto"/>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A466942"/>
    <w:multiLevelType w:val="hybridMultilevel"/>
    <w:tmpl w:val="A03469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960238"/>
    <w:multiLevelType w:val="hybridMultilevel"/>
    <w:tmpl w:val="314A6CE6"/>
    <w:lvl w:ilvl="0" w:tplc="CCE4F6B8">
      <w:start w:val="1"/>
      <w:numFmt w:val="bullet"/>
      <w:lvlText w:val=""/>
      <w:lvlJc w:val="left"/>
      <w:pPr>
        <w:ind w:left="840" w:hanging="42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74B675D"/>
    <w:multiLevelType w:val="hybridMultilevel"/>
    <w:tmpl w:val="A598262C"/>
    <w:lvl w:ilvl="0" w:tplc="B6BCF2FE">
      <w:start w:val="1"/>
      <w:numFmt w:val="decimal"/>
      <w:lvlText w:val="%1."/>
      <w:lvlJc w:val="left"/>
      <w:pPr>
        <w:ind w:left="647" w:hanging="420"/>
      </w:pPr>
      <w:rPr>
        <w:rFonts w:ascii="Times New Roman" w:hAnsi="Times New Roman" w:cs="Times New Roman" w:hint="default"/>
        <w:sz w:val="24"/>
        <w:szCs w:val="24"/>
      </w:rPr>
    </w:lvl>
    <w:lvl w:ilvl="1" w:tplc="04090019">
      <w:start w:val="1"/>
      <w:numFmt w:val="lowerLetter"/>
      <w:lvlText w:val="%2)"/>
      <w:lvlJc w:val="left"/>
      <w:pPr>
        <w:ind w:left="1067" w:hanging="420"/>
      </w:pPr>
    </w:lvl>
    <w:lvl w:ilvl="2" w:tplc="B6BCF2FE">
      <w:start w:val="1"/>
      <w:numFmt w:val="decimal"/>
      <w:lvlText w:val="%3."/>
      <w:lvlJc w:val="left"/>
      <w:pPr>
        <w:ind w:left="1487" w:hanging="420"/>
      </w:pPr>
      <w:rPr>
        <w:rFonts w:ascii="Times New Roman" w:hAnsi="Times New Roman" w:cs="Times New Roman" w:hint="default"/>
        <w:sz w:val="24"/>
        <w:szCs w:val="24"/>
      </w:rPr>
    </w:lvl>
    <w:lvl w:ilvl="3" w:tplc="0409000F" w:tentative="1">
      <w:start w:val="1"/>
      <w:numFmt w:val="decimal"/>
      <w:lvlText w:val="%4."/>
      <w:lvlJc w:val="left"/>
      <w:pPr>
        <w:ind w:left="1907" w:hanging="420"/>
      </w:pPr>
    </w:lvl>
    <w:lvl w:ilvl="4" w:tplc="04090019" w:tentative="1">
      <w:start w:val="1"/>
      <w:numFmt w:val="lowerLetter"/>
      <w:lvlText w:val="%5)"/>
      <w:lvlJc w:val="left"/>
      <w:pPr>
        <w:ind w:left="2327" w:hanging="420"/>
      </w:pPr>
    </w:lvl>
    <w:lvl w:ilvl="5" w:tplc="0409001B" w:tentative="1">
      <w:start w:val="1"/>
      <w:numFmt w:val="lowerRoman"/>
      <w:lvlText w:val="%6."/>
      <w:lvlJc w:val="right"/>
      <w:pPr>
        <w:ind w:left="2747" w:hanging="420"/>
      </w:pPr>
    </w:lvl>
    <w:lvl w:ilvl="6" w:tplc="0409000F" w:tentative="1">
      <w:start w:val="1"/>
      <w:numFmt w:val="decimal"/>
      <w:lvlText w:val="%7."/>
      <w:lvlJc w:val="left"/>
      <w:pPr>
        <w:ind w:left="3167" w:hanging="420"/>
      </w:pPr>
    </w:lvl>
    <w:lvl w:ilvl="7" w:tplc="04090019" w:tentative="1">
      <w:start w:val="1"/>
      <w:numFmt w:val="lowerLetter"/>
      <w:lvlText w:val="%8)"/>
      <w:lvlJc w:val="left"/>
      <w:pPr>
        <w:ind w:left="3587" w:hanging="420"/>
      </w:pPr>
    </w:lvl>
    <w:lvl w:ilvl="8" w:tplc="0409001B" w:tentative="1">
      <w:start w:val="1"/>
      <w:numFmt w:val="lowerRoman"/>
      <w:lvlText w:val="%9."/>
      <w:lvlJc w:val="right"/>
      <w:pPr>
        <w:ind w:left="4007" w:hanging="420"/>
      </w:pPr>
    </w:lvl>
  </w:abstractNum>
  <w:abstractNum w:abstractNumId="16" w15:restartNumberingAfterBreak="0">
    <w:nsid w:val="3B37708E"/>
    <w:multiLevelType w:val="hybridMultilevel"/>
    <w:tmpl w:val="78FA9B90"/>
    <w:lvl w:ilvl="0" w:tplc="CCE4F6B8">
      <w:start w:val="1"/>
      <w:numFmt w:val="bullet"/>
      <w:lvlText w:val=""/>
      <w:lvlJc w:val="left"/>
      <w:pPr>
        <w:ind w:left="420" w:hanging="42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4A3FB2"/>
    <w:multiLevelType w:val="hybridMultilevel"/>
    <w:tmpl w:val="8C62EC8E"/>
    <w:lvl w:ilvl="0" w:tplc="E2CE9940">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47D047DA"/>
    <w:multiLevelType w:val="hybridMultilevel"/>
    <w:tmpl w:val="84D2EBB8"/>
    <w:lvl w:ilvl="0" w:tplc="3B64E82E">
      <w:start w:val="1"/>
      <w:numFmt w:val="bullet"/>
      <w:lvlText w:val=""/>
      <w:lvlJc w:val="left"/>
      <w:pPr>
        <w:ind w:left="735" w:hanging="420"/>
      </w:pPr>
      <w:rPr>
        <w:rFonts w:ascii="Wingdings" w:hAnsi="Wingdings" w:hint="default"/>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19" w15:restartNumberingAfterBreak="0">
    <w:nsid w:val="48E6688B"/>
    <w:multiLevelType w:val="hybridMultilevel"/>
    <w:tmpl w:val="4EDA8E64"/>
    <w:lvl w:ilvl="0" w:tplc="C2C2FF5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FEB3F0C"/>
    <w:multiLevelType w:val="hybridMultilevel"/>
    <w:tmpl w:val="D0A4D7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D11430"/>
    <w:multiLevelType w:val="hybridMultilevel"/>
    <w:tmpl w:val="5C9408A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925010"/>
    <w:multiLevelType w:val="hybridMultilevel"/>
    <w:tmpl w:val="1C52FA36"/>
    <w:lvl w:ilvl="0" w:tplc="BEBCCA8A">
      <w:start w:val="1"/>
      <w:numFmt w:val="decimal"/>
      <w:lvlText w:val="%1)"/>
      <w:lvlJc w:val="left"/>
      <w:pPr>
        <w:ind w:left="432" w:hanging="360"/>
      </w:pPr>
      <w:rPr>
        <w:rFonts w:hint="default"/>
        <w:color w:val="auto"/>
      </w:rPr>
    </w:lvl>
    <w:lvl w:ilvl="1" w:tplc="04090001">
      <w:start w:val="1"/>
      <w:numFmt w:val="bullet"/>
      <w:lvlText w:val=""/>
      <w:lvlJc w:val="left"/>
      <w:pPr>
        <w:ind w:left="1152" w:hanging="360"/>
      </w:pPr>
      <w:rPr>
        <w:rFonts w:ascii="Symbol" w:hAnsi="Symbol" w:hint="default"/>
      </w:rPr>
    </w:lvl>
    <w:lvl w:ilvl="2" w:tplc="04090005">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5C0D2F84"/>
    <w:multiLevelType w:val="hybridMultilevel"/>
    <w:tmpl w:val="4356C8EE"/>
    <w:lvl w:ilvl="0" w:tplc="3B64E8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0339DE"/>
    <w:multiLevelType w:val="hybridMultilevel"/>
    <w:tmpl w:val="5D0ABC00"/>
    <w:lvl w:ilvl="0" w:tplc="B2D06B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9A26A5"/>
    <w:multiLevelType w:val="hybridMultilevel"/>
    <w:tmpl w:val="8C82FD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AD0ED8"/>
    <w:multiLevelType w:val="hybridMultilevel"/>
    <w:tmpl w:val="4FB09BE2"/>
    <w:lvl w:ilvl="0" w:tplc="0409000F">
      <w:start w:val="1"/>
      <w:numFmt w:val="decimal"/>
      <w:lvlText w:val="%1."/>
      <w:lvlJc w:val="left"/>
      <w:pPr>
        <w:ind w:left="1686" w:hanging="420"/>
      </w:pPr>
    </w:lvl>
    <w:lvl w:ilvl="1" w:tplc="04090019" w:tentative="1">
      <w:start w:val="1"/>
      <w:numFmt w:val="lowerLetter"/>
      <w:lvlText w:val="%2)"/>
      <w:lvlJc w:val="left"/>
      <w:pPr>
        <w:ind w:left="2106" w:hanging="420"/>
      </w:pPr>
    </w:lvl>
    <w:lvl w:ilvl="2" w:tplc="0409001B" w:tentative="1">
      <w:start w:val="1"/>
      <w:numFmt w:val="lowerRoman"/>
      <w:lvlText w:val="%3."/>
      <w:lvlJc w:val="right"/>
      <w:pPr>
        <w:ind w:left="2526" w:hanging="420"/>
      </w:pPr>
    </w:lvl>
    <w:lvl w:ilvl="3" w:tplc="0409000F" w:tentative="1">
      <w:start w:val="1"/>
      <w:numFmt w:val="decimal"/>
      <w:lvlText w:val="%4."/>
      <w:lvlJc w:val="left"/>
      <w:pPr>
        <w:ind w:left="2946" w:hanging="420"/>
      </w:pPr>
    </w:lvl>
    <w:lvl w:ilvl="4" w:tplc="04090019" w:tentative="1">
      <w:start w:val="1"/>
      <w:numFmt w:val="lowerLetter"/>
      <w:lvlText w:val="%5)"/>
      <w:lvlJc w:val="left"/>
      <w:pPr>
        <w:ind w:left="3366" w:hanging="420"/>
      </w:pPr>
    </w:lvl>
    <w:lvl w:ilvl="5" w:tplc="0409001B" w:tentative="1">
      <w:start w:val="1"/>
      <w:numFmt w:val="lowerRoman"/>
      <w:lvlText w:val="%6."/>
      <w:lvlJc w:val="right"/>
      <w:pPr>
        <w:ind w:left="3786" w:hanging="420"/>
      </w:pPr>
    </w:lvl>
    <w:lvl w:ilvl="6" w:tplc="0409000F" w:tentative="1">
      <w:start w:val="1"/>
      <w:numFmt w:val="decimal"/>
      <w:lvlText w:val="%7."/>
      <w:lvlJc w:val="left"/>
      <w:pPr>
        <w:ind w:left="4206" w:hanging="420"/>
      </w:pPr>
    </w:lvl>
    <w:lvl w:ilvl="7" w:tplc="04090019" w:tentative="1">
      <w:start w:val="1"/>
      <w:numFmt w:val="lowerLetter"/>
      <w:lvlText w:val="%8)"/>
      <w:lvlJc w:val="left"/>
      <w:pPr>
        <w:ind w:left="4626" w:hanging="420"/>
      </w:pPr>
    </w:lvl>
    <w:lvl w:ilvl="8" w:tplc="0409001B" w:tentative="1">
      <w:start w:val="1"/>
      <w:numFmt w:val="lowerRoman"/>
      <w:lvlText w:val="%9."/>
      <w:lvlJc w:val="right"/>
      <w:pPr>
        <w:ind w:left="5046" w:hanging="420"/>
      </w:pPr>
    </w:lvl>
  </w:abstractNum>
  <w:abstractNum w:abstractNumId="27" w15:restartNumberingAfterBreak="0">
    <w:nsid w:val="75326392"/>
    <w:multiLevelType w:val="hybridMultilevel"/>
    <w:tmpl w:val="C6F66448"/>
    <w:lvl w:ilvl="0" w:tplc="BEBCCA8A">
      <w:start w:val="1"/>
      <w:numFmt w:val="decimal"/>
      <w:lvlText w:val="%1)"/>
      <w:lvlJc w:val="left"/>
      <w:pPr>
        <w:ind w:left="432" w:hanging="360"/>
      </w:pPr>
      <w:rPr>
        <w:rFonts w:hint="default"/>
        <w:color w:val="auto"/>
      </w:rPr>
    </w:lvl>
    <w:lvl w:ilvl="1" w:tplc="04090001">
      <w:start w:val="1"/>
      <w:numFmt w:val="bullet"/>
      <w:lvlText w:val=""/>
      <w:lvlJc w:val="left"/>
      <w:pPr>
        <w:ind w:left="1152" w:hanging="360"/>
      </w:pPr>
      <w:rPr>
        <w:rFonts w:ascii="Symbol" w:hAnsi="Symbol" w:hint="default"/>
      </w:rPr>
    </w:lvl>
    <w:lvl w:ilvl="2" w:tplc="699051A4">
      <w:numFmt w:val="bullet"/>
      <w:lvlText w:val="•"/>
      <w:lvlJc w:val="left"/>
      <w:pPr>
        <w:ind w:left="2097" w:hanging="405"/>
      </w:pPr>
      <w:rPr>
        <w:rFonts w:ascii="宋体" w:eastAsia="宋体" w:hAnsi="宋体" w:cs="Times New Roman" w:hint="eastAsia"/>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7D31CD0"/>
    <w:multiLevelType w:val="hybridMultilevel"/>
    <w:tmpl w:val="47B6A184"/>
    <w:lvl w:ilvl="0" w:tplc="C2C2FF5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79284042"/>
    <w:multiLevelType w:val="hybridMultilevel"/>
    <w:tmpl w:val="E494BCF2"/>
    <w:lvl w:ilvl="0" w:tplc="0409000B">
      <w:start w:val="1"/>
      <w:numFmt w:val="bullet"/>
      <w:lvlText w:val=""/>
      <w:lvlJc w:val="left"/>
      <w:pPr>
        <w:ind w:left="492" w:hanging="420"/>
      </w:pPr>
      <w:rPr>
        <w:rFonts w:ascii="Wingdings" w:hAnsi="Wingdings" w:hint="default"/>
      </w:rPr>
    </w:lvl>
    <w:lvl w:ilvl="1" w:tplc="04090003" w:tentative="1">
      <w:start w:val="1"/>
      <w:numFmt w:val="bullet"/>
      <w:lvlText w:val=""/>
      <w:lvlJc w:val="left"/>
      <w:pPr>
        <w:ind w:left="912" w:hanging="420"/>
      </w:pPr>
      <w:rPr>
        <w:rFonts w:ascii="Wingdings" w:hAnsi="Wingdings" w:hint="default"/>
      </w:rPr>
    </w:lvl>
    <w:lvl w:ilvl="2" w:tplc="04090005" w:tentative="1">
      <w:start w:val="1"/>
      <w:numFmt w:val="bullet"/>
      <w:lvlText w:val=""/>
      <w:lvlJc w:val="left"/>
      <w:pPr>
        <w:ind w:left="1332" w:hanging="420"/>
      </w:pPr>
      <w:rPr>
        <w:rFonts w:ascii="Wingdings" w:hAnsi="Wingdings" w:hint="default"/>
      </w:rPr>
    </w:lvl>
    <w:lvl w:ilvl="3" w:tplc="04090001" w:tentative="1">
      <w:start w:val="1"/>
      <w:numFmt w:val="bullet"/>
      <w:lvlText w:val=""/>
      <w:lvlJc w:val="left"/>
      <w:pPr>
        <w:ind w:left="1752" w:hanging="420"/>
      </w:pPr>
      <w:rPr>
        <w:rFonts w:ascii="Wingdings" w:hAnsi="Wingdings" w:hint="default"/>
      </w:rPr>
    </w:lvl>
    <w:lvl w:ilvl="4" w:tplc="04090003" w:tentative="1">
      <w:start w:val="1"/>
      <w:numFmt w:val="bullet"/>
      <w:lvlText w:val=""/>
      <w:lvlJc w:val="left"/>
      <w:pPr>
        <w:ind w:left="2172" w:hanging="420"/>
      </w:pPr>
      <w:rPr>
        <w:rFonts w:ascii="Wingdings" w:hAnsi="Wingdings" w:hint="default"/>
      </w:rPr>
    </w:lvl>
    <w:lvl w:ilvl="5" w:tplc="04090005" w:tentative="1">
      <w:start w:val="1"/>
      <w:numFmt w:val="bullet"/>
      <w:lvlText w:val=""/>
      <w:lvlJc w:val="left"/>
      <w:pPr>
        <w:ind w:left="2592" w:hanging="420"/>
      </w:pPr>
      <w:rPr>
        <w:rFonts w:ascii="Wingdings" w:hAnsi="Wingdings" w:hint="default"/>
      </w:rPr>
    </w:lvl>
    <w:lvl w:ilvl="6" w:tplc="04090001" w:tentative="1">
      <w:start w:val="1"/>
      <w:numFmt w:val="bullet"/>
      <w:lvlText w:val=""/>
      <w:lvlJc w:val="left"/>
      <w:pPr>
        <w:ind w:left="3012" w:hanging="420"/>
      </w:pPr>
      <w:rPr>
        <w:rFonts w:ascii="Wingdings" w:hAnsi="Wingdings" w:hint="default"/>
      </w:rPr>
    </w:lvl>
    <w:lvl w:ilvl="7" w:tplc="04090003" w:tentative="1">
      <w:start w:val="1"/>
      <w:numFmt w:val="bullet"/>
      <w:lvlText w:val=""/>
      <w:lvlJc w:val="left"/>
      <w:pPr>
        <w:ind w:left="3432" w:hanging="420"/>
      </w:pPr>
      <w:rPr>
        <w:rFonts w:ascii="Wingdings" w:hAnsi="Wingdings" w:hint="default"/>
      </w:rPr>
    </w:lvl>
    <w:lvl w:ilvl="8" w:tplc="04090005" w:tentative="1">
      <w:start w:val="1"/>
      <w:numFmt w:val="bullet"/>
      <w:lvlText w:val=""/>
      <w:lvlJc w:val="left"/>
      <w:pPr>
        <w:ind w:left="3852" w:hanging="420"/>
      </w:pPr>
      <w:rPr>
        <w:rFonts w:ascii="Wingdings" w:hAnsi="Wingdings" w:hint="default"/>
      </w:rPr>
    </w:lvl>
  </w:abstractNum>
  <w:abstractNum w:abstractNumId="30" w15:restartNumberingAfterBreak="0">
    <w:nsid w:val="79921708"/>
    <w:multiLevelType w:val="hybridMultilevel"/>
    <w:tmpl w:val="A75E3854"/>
    <w:lvl w:ilvl="0" w:tplc="B6BCF2FE">
      <w:start w:val="1"/>
      <w:numFmt w:val="decimal"/>
      <w:lvlText w:val="%1."/>
      <w:lvlJc w:val="left"/>
      <w:pPr>
        <w:ind w:left="647" w:hanging="420"/>
      </w:pPr>
      <w:rPr>
        <w:rFonts w:ascii="Times New Roman" w:hAnsi="Times New Roman" w:cs="Times New Roman" w:hint="default"/>
        <w:sz w:val="24"/>
        <w:szCs w:val="24"/>
      </w:rPr>
    </w:lvl>
    <w:lvl w:ilvl="1" w:tplc="04090019">
      <w:start w:val="1"/>
      <w:numFmt w:val="lowerLetter"/>
      <w:lvlText w:val="%2)"/>
      <w:lvlJc w:val="left"/>
      <w:pPr>
        <w:ind w:left="1067" w:hanging="420"/>
      </w:pPr>
    </w:lvl>
    <w:lvl w:ilvl="2" w:tplc="0409001B">
      <w:start w:val="1"/>
      <w:numFmt w:val="lowerRoman"/>
      <w:lvlText w:val="%3."/>
      <w:lvlJc w:val="right"/>
      <w:pPr>
        <w:ind w:left="1487" w:hanging="420"/>
      </w:pPr>
    </w:lvl>
    <w:lvl w:ilvl="3" w:tplc="0409000F" w:tentative="1">
      <w:start w:val="1"/>
      <w:numFmt w:val="decimal"/>
      <w:lvlText w:val="%4."/>
      <w:lvlJc w:val="left"/>
      <w:pPr>
        <w:ind w:left="1907" w:hanging="420"/>
      </w:pPr>
    </w:lvl>
    <w:lvl w:ilvl="4" w:tplc="04090019" w:tentative="1">
      <w:start w:val="1"/>
      <w:numFmt w:val="lowerLetter"/>
      <w:lvlText w:val="%5)"/>
      <w:lvlJc w:val="left"/>
      <w:pPr>
        <w:ind w:left="2327" w:hanging="420"/>
      </w:pPr>
    </w:lvl>
    <w:lvl w:ilvl="5" w:tplc="0409001B" w:tentative="1">
      <w:start w:val="1"/>
      <w:numFmt w:val="lowerRoman"/>
      <w:lvlText w:val="%6."/>
      <w:lvlJc w:val="right"/>
      <w:pPr>
        <w:ind w:left="2747" w:hanging="420"/>
      </w:pPr>
    </w:lvl>
    <w:lvl w:ilvl="6" w:tplc="0409000F" w:tentative="1">
      <w:start w:val="1"/>
      <w:numFmt w:val="decimal"/>
      <w:lvlText w:val="%7."/>
      <w:lvlJc w:val="left"/>
      <w:pPr>
        <w:ind w:left="3167" w:hanging="420"/>
      </w:pPr>
    </w:lvl>
    <w:lvl w:ilvl="7" w:tplc="04090019" w:tentative="1">
      <w:start w:val="1"/>
      <w:numFmt w:val="lowerLetter"/>
      <w:lvlText w:val="%8)"/>
      <w:lvlJc w:val="left"/>
      <w:pPr>
        <w:ind w:left="3587" w:hanging="420"/>
      </w:pPr>
    </w:lvl>
    <w:lvl w:ilvl="8" w:tplc="0409001B" w:tentative="1">
      <w:start w:val="1"/>
      <w:numFmt w:val="lowerRoman"/>
      <w:lvlText w:val="%9."/>
      <w:lvlJc w:val="right"/>
      <w:pPr>
        <w:ind w:left="4007" w:hanging="420"/>
      </w:pPr>
    </w:lvl>
  </w:abstractNum>
  <w:abstractNum w:abstractNumId="31" w15:restartNumberingAfterBreak="0">
    <w:nsid w:val="7F2E5561"/>
    <w:multiLevelType w:val="hybridMultilevel"/>
    <w:tmpl w:val="847AAFAA"/>
    <w:lvl w:ilvl="0" w:tplc="BEBCCA8A">
      <w:start w:val="1"/>
      <w:numFmt w:val="decimal"/>
      <w:lvlText w:val="%1)"/>
      <w:lvlJc w:val="left"/>
      <w:pPr>
        <w:ind w:left="420" w:hanging="4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25581813">
    <w:abstractNumId w:val="14"/>
  </w:num>
  <w:num w:numId="2" w16cid:durableId="1929268345">
    <w:abstractNumId w:val="29"/>
  </w:num>
  <w:num w:numId="3" w16cid:durableId="966424089">
    <w:abstractNumId w:val="0"/>
  </w:num>
  <w:num w:numId="4" w16cid:durableId="1513488956">
    <w:abstractNumId w:val="3"/>
  </w:num>
  <w:num w:numId="5" w16cid:durableId="193470153">
    <w:abstractNumId w:val="22"/>
  </w:num>
  <w:num w:numId="6" w16cid:durableId="919681380">
    <w:abstractNumId w:val="27"/>
  </w:num>
  <w:num w:numId="7" w16cid:durableId="1002316481">
    <w:abstractNumId w:val="5"/>
  </w:num>
  <w:num w:numId="8" w16cid:durableId="1623264878">
    <w:abstractNumId w:val="23"/>
  </w:num>
  <w:num w:numId="9" w16cid:durableId="1379822833">
    <w:abstractNumId w:val="11"/>
  </w:num>
  <w:num w:numId="10" w16cid:durableId="2041390309">
    <w:abstractNumId w:val="19"/>
  </w:num>
  <w:num w:numId="11" w16cid:durableId="913853538">
    <w:abstractNumId w:val="7"/>
  </w:num>
  <w:num w:numId="12" w16cid:durableId="305085228">
    <w:abstractNumId w:val="10"/>
  </w:num>
  <w:num w:numId="13" w16cid:durableId="1910185937">
    <w:abstractNumId w:val="1"/>
  </w:num>
  <w:num w:numId="14" w16cid:durableId="1151562416">
    <w:abstractNumId w:val="12"/>
  </w:num>
  <w:num w:numId="15" w16cid:durableId="1468208583">
    <w:abstractNumId w:val="18"/>
  </w:num>
  <w:num w:numId="16" w16cid:durableId="513499599">
    <w:abstractNumId w:val="6"/>
  </w:num>
  <w:num w:numId="17" w16cid:durableId="696858628">
    <w:abstractNumId w:val="4"/>
  </w:num>
  <w:num w:numId="18" w16cid:durableId="543563291">
    <w:abstractNumId w:val="2"/>
  </w:num>
  <w:num w:numId="19" w16cid:durableId="139469577">
    <w:abstractNumId w:val="9"/>
  </w:num>
  <w:num w:numId="20" w16cid:durableId="1192956154">
    <w:abstractNumId w:val="24"/>
  </w:num>
  <w:num w:numId="21" w16cid:durableId="823350698">
    <w:abstractNumId w:val="17"/>
  </w:num>
  <w:num w:numId="22" w16cid:durableId="1071392292">
    <w:abstractNumId w:val="16"/>
  </w:num>
  <w:num w:numId="23" w16cid:durableId="94598283">
    <w:abstractNumId w:val="8"/>
  </w:num>
  <w:num w:numId="24" w16cid:durableId="649215660">
    <w:abstractNumId w:val="31"/>
  </w:num>
  <w:num w:numId="25" w16cid:durableId="94442287">
    <w:abstractNumId w:val="28"/>
  </w:num>
  <w:num w:numId="26" w16cid:durableId="1447308248">
    <w:abstractNumId w:val="13"/>
  </w:num>
  <w:num w:numId="27" w16cid:durableId="1841576672">
    <w:abstractNumId w:val="26"/>
  </w:num>
  <w:num w:numId="28" w16cid:durableId="145366436">
    <w:abstractNumId w:val="20"/>
  </w:num>
  <w:num w:numId="29" w16cid:durableId="792094329">
    <w:abstractNumId w:val="25"/>
  </w:num>
  <w:num w:numId="30" w16cid:durableId="72776814">
    <w:abstractNumId w:val="21"/>
  </w:num>
  <w:num w:numId="31" w16cid:durableId="509414022">
    <w:abstractNumId w:val="30"/>
  </w:num>
  <w:num w:numId="32" w16cid:durableId="204151535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1176C"/>
    <w:rsid w:val="000011BB"/>
    <w:rsid w:val="000043A1"/>
    <w:rsid w:val="00005AA3"/>
    <w:rsid w:val="0000686A"/>
    <w:rsid w:val="000075A0"/>
    <w:rsid w:val="00010EB4"/>
    <w:rsid w:val="0001176C"/>
    <w:rsid w:val="000149CA"/>
    <w:rsid w:val="00015F49"/>
    <w:rsid w:val="000167F2"/>
    <w:rsid w:val="00016FAC"/>
    <w:rsid w:val="00023964"/>
    <w:rsid w:val="00023E64"/>
    <w:rsid w:val="000247FE"/>
    <w:rsid w:val="0002695B"/>
    <w:rsid w:val="00026C66"/>
    <w:rsid w:val="00027AFE"/>
    <w:rsid w:val="0003067B"/>
    <w:rsid w:val="00030C17"/>
    <w:rsid w:val="00032368"/>
    <w:rsid w:val="00032428"/>
    <w:rsid w:val="0003529E"/>
    <w:rsid w:val="00035FFC"/>
    <w:rsid w:val="000363AF"/>
    <w:rsid w:val="000364A6"/>
    <w:rsid w:val="000374B5"/>
    <w:rsid w:val="00041AB2"/>
    <w:rsid w:val="00042CCD"/>
    <w:rsid w:val="00043ABB"/>
    <w:rsid w:val="000471A3"/>
    <w:rsid w:val="00047826"/>
    <w:rsid w:val="00047EEE"/>
    <w:rsid w:val="00050E66"/>
    <w:rsid w:val="00051652"/>
    <w:rsid w:val="0005199E"/>
    <w:rsid w:val="00051D58"/>
    <w:rsid w:val="00052558"/>
    <w:rsid w:val="00053024"/>
    <w:rsid w:val="0005359C"/>
    <w:rsid w:val="000537BB"/>
    <w:rsid w:val="00061F71"/>
    <w:rsid w:val="00062120"/>
    <w:rsid w:val="00063B32"/>
    <w:rsid w:val="00064A41"/>
    <w:rsid w:val="00067DB4"/>
    <w:rsid w:val="00071632"/>
    <w:rsid w:val="00071E71"/>
    <w:rsid w:val="000727D6"/>
    <w:rsid w:val="00072AAC"/>
    <w:rsid w:val="000734FB"/>
    <w:rsid w:val="00073AA3"/>
    <w:rsid w:val="00074990"/>
    <w:rsid w:val="00074FB0"/>
    <w:rsid w:val="000769D2"/>
    <w:rsid w:val="000800C9"/>
    <w:rsid w:val="00081856"/>
    <w:rsid w:val="000865D3"/>
    <w:rsid w:val="0008745C"/>
    <w:rsid w:val="0009277D"/>
    <w:rsid w:val="000953BA"/>
    <w:rsid w:val="00096404"/>
    <w:rsid w:val="000A26DE"/>
    <w:rsid w:val="000A4C8C"/>
    <w:rsid w:val="000A53E5"/>
    <w:rsid w:val="000A5BC2"/>
    <w:rsid w:val="000A6A6F"/>
    <w:rsid w:val="000A7272"/>
    <w:rsid w:val="000A783D"/>
    <w:rsid w:val="000B0576"/>
    <w:rsid w:val="000B08B7"/>
    <w:rsid w:val="000B3441"/>
    <w:rsid w:val="000B6BD6"/>
    <w:rsid w:val="000C1955"/>
    <w:rsid w:val="000C2195"/>
    <w:rsid w:val="000C391C"/>
    <w:rsid w:val="000C3D09"/>
    <w:rsid w:val="000C7A80"/>
    <w:rsid w:val="000D12C5"/>
    <w:rsid w:val="000D5780"/>
    <w:rsid w:val="000D6D3D"/>
    <w:rsid w:val="000D76D7"/>
    <w:rsid w:val="000E0F2A"/>
    <w:rsid w:val="000E3336"/>
    <w:rsid w:val="000E58F6"/>
    <w:rsid w:val="000E7103"/>
    <w:rsid w:val="000E75DD"/>
    <w:rsid w:val="000E75E1"/>
    <w:rsid w:val="000E7CD6"/>
    <w:rsid w:val="000F0AA3"/>
    <w:rsid w:val="000F0B2B"/>
    <w:rsid w:val="000F29D9"/>
    <w:rsid w:val="000F4B85"/>
    <w:rsid w:val="000F71F1"/>
    <w:rsid w:val="0010192E"/>
    <w:rsid w:val="00101D02"/>
    <w:rsid w:val="00101D56"/>
    <w:rsid w:val="001020DA"/>
    <w:rsid w:val="0010214C"/>
    <w:rsid w:val="0010228E"/>
    <w:rsid w:val="001026EA"/>
    <w:rsid w:val="00103011"/>
    <w:rsid w:val="0011133A"/>
    <w:rsid w:val="0011149E"/>
    <w:rsid w:val="0011544F"/>
    <w:rsid w:val="0011634D"/>
    <w:rsid w:val="0011702D"/>
    <w:rsid w:val="001211CE"/>
    <w:rsid w:val="00122300"/>
    <w:rsid w:val="0012443D"/>
    <w:rsid w:val="001245E4"/>
    <w:rsid w:val="0012540B"/>
    <w:rsid w:val="00126DEA"/>
    <w:rsid w:val="0012718E"/>
    <w:rsid w:val="00131C7D"/>
    <w:rsid w:val="00133998"/>
    <w:rsid w:val="0013516A"/>
    <w:rsid w:val="00136932"/>
    <w:rsid w:val="00137657"/>
    <w:rsid w:val="00141088"/>
    <w:rsid w:val="00151DFD"/>
    <w:rsid w:val="00152A66"/>
    <w:rsid w:val="001538E8"/>
    <w:rsid w:val="00155E66"/>
    <w:rsid w:val="00157175"/>
    <w:rsid w:val="001654C9"/>
    <w:rsid w:val="00173492"/>
    <w:rsid w:val="00173621"/>
    <w:rsid w:val="00173798"/>
    <w:rsid w:val="00173AD7"/>
    <w:rsid w:val="00173E83"/>
    <w:rsid w:val="00174C7B"/>
    <w:rsid w:val="001808A1"/>
    <w:rsid w:val="001815C6"/>
    <w:rsid w:val="00183A0C"/>
    <w:rsid w:val="00185130"/>
    <w:rsid w:val="00190526"/>
    <w:rsid w:val="001946C1"/>
    <w:rsid w:val="001953A5"/>
    <w:rsid w:val="001A06FB"/>
    <w:rsid w:val="001A116A"/>
    <w:rsid w:val="001A2B8C"/>
    <w:rsid w:val="001A4CFE"/>
    <w:rsid w:val="001A5365"/>
    <w:rsid w:val="001B709A"/>
    <w:rsid w:val="001B716F"/>
    <w:rsid w:val="001B7F8E"/>
    <w:rsid w:val="001C46DF"/>
    <w:rsid w:val="001C5B52"/>
    <w:rsid w:val="001D2395"/>
    <w:rsid w:val="001D4095"/>
    <w:rsid w:val="001D4E3E"/>
    <w:rsid w:val="001D6D53"/>
    <w:rsid w:val="001D6FB9"/>
    <w:rsid w:val="001E0255"/>
    <w:rsid w:val="001E0672"/>
    <w:rsid w:val="001E4096"/>
    <w:rsid w:val="001E6D2F"/>
    <w:rsid w:val="001F3E20"/>
    <w:rsid w:val="001F42AC"/>
    <w:rsid w:val="001F44B0"/>
    <w:rsid w:val="001F4B9D"/>
    <w:rsid w:val="001F4EFB"/>
    <w:rsid w:val="001F6527"/>
    <w:rsid w:val="00200EE1"/>
    <w:rsid w:val="00202107"/>
    <w:rsid w:val="00205FBE"/>
    <w:rsid w:val="00206B99"/>
    <w:rsid w:val="0020757F"/>
    <w:rsid w:val="002101CC"/>
    <w:rsid w:val="00210992"/>
    <w:rsid w:val="00211AC6"/>
    <w:rsid w:val="00220956"/>
    <w:rsid w:val="00222F32"/>
    <w:rsid w:val="00224A4C"/>
    <w:rsid w:val="00227F33"/>
    <w:rsid w:val="00227F9B"/>
    <w:rsid w:val="00227FC4"/>
    <w:rsid w:val="00231A95"/>
    <w:rsid w:val="00234168"/>
    <w:rsid w:val="0023516A"/>
    <w:rsid w:val="00237BB5"/>
    <w:rsid w:val="00241551"/>
    <w:rsid w:val="002430DB"/>
    <w:rsid w:val="00246BCA"/>
    <w:rsid w:val="002536A4"/>
    <w:rsid w:val="00253A95"/>
    <w:rsid w:val="00256DD9"/>
    <w:rsid w:val="002616BD"/>
    <w:rsid w:val="0026288C"/>
    <w:rsid w:val="0026309E"/>
    <w:rsid w:val="00266296"/>
    <w:rsid w:val="00267B8E"/>
    <w:rsid w:val="00267FD5"/>
    <w:rsid w:val="00270CB4"/>
    <w:rsid w:val="00271041"/>
    <w:rsid w:val="002723D4"/>
    <w:rsid w:val="00272649"/>
    <w:rsid w:val="00272F5D"/>
    <w:rsid w:val="002747FF"/>
    <w:rsid w:val="002758D3"/>
    <w:rsid w:val="00275AF6"/>
    <w:rsid w:val="00280ACB"/>
    <w:rsid w:val="00283CCD"/>
    <w:rsid w:val="00284003"/>
    <w:rsid w:val="0028551D"/>
    <w:rsid w:val="00286E82"/>
    <w:rsid w:val="002904C2"/>
    <w:rsid w:val="0029209B"/>
    <w:rsid w:val="00294155"/>
    <w:rsid w:val="0029481C"/>
    <w:rsid w:val="002978BB"/>
    <w:rsid w:val="002979E7"/>
    <w:rsid w:val="002A1E41"/>
    <w:rsid w:val="002A3020"/>
    <w:rsid w:val="002A31E2"/>
    <w:rsid w:val="002A505F"/>
    <w:rsid w:val="002A64B7"/>
    <w:rsid w:val="002B0997"/>
    <w:rsid w:val="002B38C3"/>
    <w:rsid w:val="002B4B5D"/>
    <w:rsid w:val="002B6EDC"/>
    <w:rsid w:val="002B731D"/>
    <w:rsid w:val="002B73A1"/>
    <w:rsid w:val="002C125C"/>
    <w:rsid w:val="002C3EED"/>
    <w:rsid w:val="002C4216"/>
    <w:rsid w:val="002C574D"/>
    <w:rsid w:val="002C5891"/>
    <w:rsid w:val="002D0330"/>
    <w:rsid w:val="002D18D9"/>
    <w:rsid w:val="002D1B9D"/>
    <w:rsid w:val="002D1CC5"/>
    <w:rsid w:val="002D1D84"/>
    <w:rsid w:val="002D24F9"/>
    <w:rsid w:val="002D2B52"/>
    <w:rsid w:val="002D40E2"/>
    <w:rsid w:val="002D44F2"/>
    <w:rsid w:val="002D5641"/>
    <w:rsid w:val="002D5A0F"/>
    <w:rsid w:val="002E42BB"/>
    <w:rsid w:val="002E60D9"/>
    <w:rsid w:val="002F3500"/>
    <w:rsid w:val="002F3CA2"/>
    <w:rsid w:val="002F4DFE"/>
    <w:rsid w:val="003017FB"/>
    <w:rsid w:val="00302978"/>
    <w:rsid w:val="0030384E"/>
    <w:rsid w:val="00303D52"/>
    <w:rsid w:val="00304238"/>
    <w:rsid w:val="003043B0"/>
    <w:rsid w:val="003071A1"/>
    <w:rsid w:val="00307403"/>
    <w:rsid w:val="00310B16"/>
    <w:rsid w:val="00313671"/>
    <w:rsid w:val="00313D23"/>
    <w:rsid w:val="00314043"/>
    <w:rsid w:val="0031520A"/>
    <w:rsid w:val="003169DF"/>
    <w:rsid w:val="00321CC6"/>
    <w:rsid w:val="00324BBA"/>
    <w:rsid w:val="003323A7"/>
    <w:rsid w:val="003347E5"/>
    <w:rsid w:val="00342062"/>
    <w:rsid w:val="0034319D"/>
    <w:rsid w:val="003445AA"/>
    <w:rsid w:val="00346276"/>
    <w:rsid w:val="00346D3E"/>
    <w:rsid w:val="00347639"/>
    <w:rsid w:val="003554B9"/>
    <w:rsid w:val="00356A2C"/>
    <w:rsid w:val="0036006F"/>
    <w:rsid w:val="003604EB"/>
    <w:rsid w:val="003608ED"/>
    <w:rsid w:val="003643BD"/>
    <w:rsid w:val="00364A3F"/>
    <w:rsid w:val="003656EE"/>
    <w:rsid w:val="00366189"/>
    <w:rsid w:val="003716E7"/>
    <w:rsid w:val="00372B8E"/>
    <w:rsid w:val="00373699"/>
    <w:rsid w:val="00373707"/>
    <w:rsid w:val="003745CE"/>
    <w:rsid w:val="003745E9"/>
    <w:rsid w:val="0037693A"/>
    <w:rsid w:val="003825F1"/>
    <w:rsid w:val="00384CD0"/>
    <w:rsid w:val="00387269"/>
    <w:rsid w:val="00391263"/>
    <w:rsid w:val="00394C6F"/>
    <w:rsid w:val="0039673B"/>
    <w:rsid w:val="003971F4"/>
    <w:rsid w:val="003974CB"/>
    <w:rsid w:val="003A2A8A"/>
    <w:rsid w:val="003A5ABC"/>
    <w:rsid w:val="003A66C6"/>
    <w:rsid w:val="003B0A77"/>
    <w:rsid w:val="003B17CE"/>
    <w:rsid w:val="003B1D2D"/>
    <w:rsid w:val="003B2C2C"/>
    <w:rsid w:val="003B50C7"/>
    <w:rsid w:val="003B7DD7"/>
    <w:rsid w:val="003C0964"/>
    <w:rsid w:val="003C2AB7"/>
    <w:rsid w:val="003C2B1D"/>
    <w:rsid w:val="003C60E1"/>
    <w:rsid w:val="003C70A2"/>
    <w:rsid w:val="003C766E"/>
    <w:rsid w:val="003D0772"/>
    <w:rsid w:val="003D1ED0"/>
    <w:rsid w:val="003D69D9"/>
    <w:rsid w:val="003E108F"/>
    <w:rsid w:val="003E17DD"/>
    <w:rsid w:val="003E1851"/>
    <w:rsid w:val="003E28FB"/>
    <w:rsid w:val="003E4DE9"/>
    <w:rsid w:val="003E536C"/>
    <w:rsid w:val="003E6F8F"/>
    <w:rsid w:val="003E71B2"/>
    <w:rsid w:val="003E7DF2"/>
    <w:rsid w:val="003F102B"/>
    <w:rsid w:val="003F1558"/>
    <w:rsid w:val="003F1A4F"/>
    <w:rsid w:val="003F1B92"/>
    <w:rsid w:val="003F35EB"/>
    <w:rsid w:val="003F77F3"/>
    <w:rsid w:val="0040037D"/>
    <w:rsid w:val="00400EBB"/>
    <w:rsid w:val="0040177D"/>
    <w:rsid w:val="00405811"/>
    <w:rsid w:val="004058C1"/>
    <w:rsid w:val="004077DE"/>
    <w:rsid w:val="00410B59"/>
    <w:rsid w:val="00411415"/>
    <w:rsid w:val="0041269D"/>
    <w:rsid w:val="004137B0"/>
    <w:rsid w:val="0041426C"/>
    <w:rsid w:val="00420068"/>
    <w:rsid w:val="00420294"/>
    <w:rsid w:val="00420759"/>
    <w:rsid w:val="004210F1"/>
    <w:rsid w:val="0042450C"/>
    <w:rsid w:val="00424537"/>
    <w:rsid w:val="00426E35"/>
    <w:rsid w:val="00434F7C"/>
    <w:rsid w:val="0043784F"/>
    <w:rsid w:val="004433CE"/>
    <w:rsid w:val="00443B12"/>
    <w:rsid w:val="00444CA4"/>
    <w:rsid w:val="00447E70"/>
    <w:rsid w:val="00450228"/>
    <w:rsid w:val="00450EC5"/>
    <w:rsid w:val="00453075"/>
    <w:rsid w:val="00453413"/>
    <w:rsid w:val="00454042"/>
    <w:rsid w:val="004545AD"/>
    <w:rsid w:val="0045572C"/>
    <w:rsid w:val="004578C8"/>
    <w:rsid w:val="004603AE"/>
    <w:rsid w:val="00460EE0"/>
    <w:rsid w:val="00461B39"/>
    <w:rsid w:val="00461F5A"/>
    <w:rsid w:val="00464A36"/>
    <w:rsid w:val="00465D53"/>
    <w:rsid w:val="004668DE"/>
    <w:rsid w:val="00467155"/>
    <w:rsid w:val="00467484"/>
    <w:rsid w:val="00470BB2"/>
    <w:rsid w:val="00470C9C"/>
    <w:rsid w:val="00471755"/>
    <w:rsid w:val="004751B5"/>
    <w:rsid w:val="004776EB"/>
    <w:rsid w:val="00482D68"/>
    <w:rsid w:val="004836E4"/>
    <w:rsid w:val="00485124"/>
    <w:rsid w:val="00490E42"/>
    <w:rsid w:val="00492B10"/>
    <w:rsid w:val="004938DB"/>
    <w:rsid w:val="004952A5"/>
    <w:rsid w:val="00495712"/>
    <w:rsid w:val="004961B6"/>
    <w:rsid w:val="0049673E"/>
    <w:rsid w:val="0049720C"/>
    <w:rsid w:val="004972C4"/>
    <w:rsid w:val="004A02EF"/>
    <w:rsid w:val="004A0BC6"/>
    <w:rsid w:val="004A4F64"/>
    <w:rsid w:val="004A5723"/>
    <w:rsid w:val="004A6BB1"/>
    <w:rsid w:val="004B1620"/>
    <w:rsid w:val="004B2099"/>
    <w:rsid w:val="004B3A36"/>
    <w:rsid w:val="004B50CE"/>
    <w:rsid w:val="004C10EE"/>
    <w:rsid w:val="004D24B0"/>
    <w:rsid w:val="004E0A5A"/>
    <w:rsid w:val="004E13A6"/>
    <w:rsid w:val="004E30FB"/>
    <w:rsid w:val="004E33CC"/>
    <w:rsid w:val="004E48B0"/>
    <w:rsid w:val="004F075E"/>
    <w:rsid w:val="004F338F"/>
    <w:rsid w:val="004F5469"/>
    <w:rsid w:val="004F5777"/>
    <w:rsid w:val="004F6BCE"/>
    <w:rsid w:val="004F78BA"/>
    <w:rsid w:val="004F7984"/>
    <w:rsid w:val="00500E24"/>
    <w:rsid w:val="00503AC2"/>
    <w:rsid w:val="00504E96"/>
    <w:rsid w:val="00511A61"/>
    <w:rsid w:val="005138A7"/>
    <w:rsid w:val="00514366"/>
    <w:rsid w:val="00517747"/>
    <w:rsid w:val="00517B59"/>
    <w:rsid w:val="00520B16"/>
    <w:rsid w:val="00522127"/>
    <w:rsid w:val="005223D6"/>
    <w:rsid w:val="005233A1"/>
    <w:rsid w:val="005249D1"/>
    <w:rsid w:val="005252CA"/>
    <w:rsid w:val="005265B5"/>
    <w:rsid w:val="0052743E"/>
    <w:rsid w:val="0053017E"/>
    <w:rsid w:val="00531C52"/>
    <w:rsid w:val="005331C3"/>
    <w:rsid w:val="00533540"/>
    <w:rsid w:val="0053453D"/>
    <w:rsid w:val="00536321"/>
    <w:rsid w:val="00536A52"/>
    <w:rsid w:val="00536B7E"/>
    <w:rsid w:val="00537BAC"/>
    <w:rsid w:val="00541FEE"/>
    <w:rsid w:val="0054410C"/>
    <w:rsid w:val="005441CF"/>
    <w:rsid w:val="00544514"/>
    <w:rsid w:val="00544E56"/>
    <w:rsid w:val="0055009B"/>
    <w:rsid w:val="00551A57"/>
    <w:rsid w:val="005533D5"/>
    <w:rsid w:val="00555227"/>
    <w:rsid w:val="00555933"/>
    <w:rsid w:val="00555E25"/>
    <w:rsid w:val="00556C67"/>
    <w:rsid w:val="00560DC5"/>
    <w:rsid w:val="00561D44"/>
    <w:rsid w:val="00562E02"/>
    <w:rsid w:val="00564172"/>
    <w:rsid w:val="00564B17"/>
    <w:rsid w:val="00565AFE"/>
    <w:rsid w:val="00565F6B"/>
    <w:rsid w:val="00566C60"/>
    <w:rsid w:val="005673AE"/>
    <w:rsid w:val="00571029"/>
    <w:rsid w:val="00573C3A"/>
    <w:rsid w:val="00573F74"/>
    <w:rsid w:val="00577B01"/>
    <w:rsid w:val="0058002F"/>
    <w:rsid w:val="005834EF"/>
    <w:rsid w:val="005841DC"/>
    <w:rsid w:val="005864B8"/>
    <w:rsid w:val="00586A49"/>
    <w:rsid w:val="00591924"/>
    <w:rsid w:val="00591EDB"/>
    <w:rsid w:val="00593ACF"/>
    <w:rsid w:val="00596EF9"/>
    <w:rsid w:val="005979F0"/>
    <w:rsid w:val="005A0EBE"/>
    <w:rsid w:val="005A530D"/>
    <w:rsid w:val="005A6BEF"/>
    <w:rsid w:val="005B0BDE"/>
    <w:rsid w:val="005B0C30"/>
    <w:rsid w:val="005B11D6"/>
    <w:rsid w:val="005B799C"/>
    <w:rsid w:val="005C0351"/>
    <w:rsid w:val="005C0F66"/>
    <w:rsid w:val="005C24CC"/>
    <w:rsid w:val="005C64B5"/>
    <w:rsid w:val="005D03A0"/>
    <w:rsid w:val="005D0EB5"/>
    <w:rsid w:val="005D137A"/>
    <w:rsid w:val="005D1F40"/>
    <w:rsid w:val="005D22C9"/>
    <w:rsid w:val="005D3012"/>
    <w:rsid w:val="005D5AC8"/>
    <w:rsid w:val="005D61C3"/>
    <w:rsid w:val="005E18A1"/>
    <w:rsid w:val="005E1F4B"/>
    <w:rsid w:val="005E32A7"/>
    <w:rsid w:val="005E5126"/>
    <w:rsid w:val="005E534F"/>
    <w:rsid w:val="005E607E"/>
    <w:rsid w:val="005E68E7"/>
    <w:rsid w:val="005E75FB"/>
    <w:rsid w:val="005E796D"/>
    <w:rsid w:val="005E7C8C"/>
    <w:rsid w:val="005F237E"/>
    <w:rsid w:val="005F4DFF"/>
    <w:rsid w:val="005F4F3B"/>
    <w:rsid w:val="005F5D8F"/>
    <w:rsid w:val="005F6188"/>
    <w:rsid w:val="00601CE7"/>
    <w:rsid w:val="00602707"/>
    <w:rsid w:val="0060340C"/>
    <w:rsid w:val="006047E1"/>
    <w:rsid w:val="00604ADC"/>
    <w:rsid w:val="00604F26"/>
    <w:rsid w:val="00605DFA"/>
    <w:rsid w:val="00606F2A"/>
    <w:rsid w:val="00607567"/>
    <w:rsid w:val="006106FA"/>
    <w:rsid w:val="006116C6"/>
    <w:rsid w:val="00612400"/>
    <w:rsid w:val="00612C23"/>
    <w:rsid w:val="0061427F"/>
    <w:rsid w:val="00615256"/>
    <w:rsid w:val="00615B12"/>
    <w:rsid w:val="00615F4E"/>
    <w:rsid w:val="006165BB"/>
    <w:rsid w:val="00620AE8"/>
    <w:rsid w:val="00623774"/>
    <w:rsid w:val="00626079"/>
    <w:rsid w:val="00626C13"/>
    <w:rsid w:val="00626FD0"/>
    <w:rsid w:val="00630EAF"/>
    <w:rsid w:val="00631469"/>
    <w:rsid w:val="006337A4"/>
    <w:rsid w:val="0063443B"/>
    <w:rsid w:val="006347B0"/>
    <w:rsid w:val="00635202"/>
    <w:rsid w:val="00641B91"/>
    <w:rsid w:val="00643CFA"/>
    <w:rsid w:val="00643D12"/>
    <w:rsid w:val="00646FAF"/>
    <w:rsid w:val="0065025A"/>
    <w:rsid w:val="00651EF1"/>
    <w:rsid w:val="00653CE6"/>
    <w:rsid w:val="00654A99"/>
    <w:rsid w:val="0065565F"/>
    <w:rsid w:val="00655C14"/>
    <w:rsid w:val="00657EB4"/>
    <w:rsid w:val="0066007F"/>
    <w:rsid w:val="00661152"/>
    <w:rsid w:val="006628F5"/>
    <w:rsid w:val="00663BC5"/>
    <w:rsid w:val="00666FFA"/>
    <w:rsid w:val="006702A7"/>
    <w:rsid w:val="00671A3D"/>
    <w:rsid w:val="00675726"/>
    <w:rsid w:val="00675E61"/>
    <w:rsid w:val="0068036D"/>
    <w:rsid w:val="006815FE"/>
    <w:rsid w:val="00683C09"/>
    <w:rsid w:val="006841FE"/>
    <w:rsid w:val="00686CCE"/>
    <w:rsid w:val="00686FA9"/>
    <w:rsid w:val="0068769B"/>
    <w:rsid w:val="006904B7"/>
    <w:rsid w:val="006911E3"/>
    <w:rsid w:val="006915D1"/>
    <w:rsid w:val="00693FE3"/>
    <w:rsid w:val="0069514F"/>
    <w:rsid w:val="00695F78"/>
    <w:rsid w:val="0069719E"/>
    <w:rsid w:val="00697BE2"/>
    <w:rsid w:val="006A1276"/>
    <w:rsid w:val="006A4EE2"/>
    <w:rsid w:val="006A5687"/>
    <w:rsid w:val="006A6293"/>
    <w:rsid w:val="006A6A84"/>
    <w:rsid w:val="006B122A"/>
    <w:rsid w:val="006B62B0"/>
    <w:rsid w:val="006B6E75"/>
    <w:rsid w:val="006C4940"/>
    <w:rsid w:val="006C668B"/>
    <w:rsid w:val="006C6E02"/>
    <w:rsid w:val="006D43F8"/>
    <w:rsid w:val="006D6035"/>
    <w:rsid w:val="006E18E9"/>
    <w:rsid w:val="006E431F"/>
    <w:rsid w:val="006E5098"/>
    <w:rsid w:val="006E5E60"/>
    <w:rsid w:val="006E60E9"/>
    <w:rsid w:val="006E649A"/>
    <w:rsid w:val="006E7644"/>
    <w:rsid w:val="006F3980"/>
    <w:rsid w:val="006F4699"/>
    <w:rsid w:val="006F5BC6"/>
    <w:rsid w:val="006F64C4"/>
    <w:rsid w:val="006F68A6"/>
    <w:rsid w:val="006F6ED3"/>
    <w:rsid w:val="006F7954"/>
    <w:rsid w:val="00700D83"/>
    <w:rsid w:val="0070299B"/>
    <w:rsid w:val="00710C65"/>
    <w:rsid w:val="00711A80"/>
    <w:rsid w:val="007160E5"/>
    <w:rsid w:val="0071790E"/>
    <w:rsid w:val="00717AAC"/>
    <w:rsid w:val="00721180"/>
    <w:rsid w:val="00723C88"/>
    <w:rsid w:val="00723D81"/>
    <w:rsid w:val="0072491F"/>
    <w:rsid w:val="00725646"/>
    <w:rsid w:val="00726884"/>
    <w:rsid w:val="00727653"/>
    <w:rsid w:val="007308F3"/>
    <w:rsid w:val="00731FCC"/>
    <w:rsid w:val="007328BB"/>
    <w:rsid w:val="00734BF7"/>
    <w:rsid w:val="007351A7"/>
    <w:rsid w:val="007364B3"/>
    <w:rsid w:val="00736C51"/>
    <w:rsid w:val="00737324"/>
    <w:rsid w:val="00740878"/>
    <w:rsid w:val="00741934"/>
    <w:rsid w:val="007419E1"/>
    <w:rsid w:val="00743873"/>
    <w:rsid w:val="007467FE"/>
    <w:rsid w:val="00746816"/>
    <w:rsid w:val="00746928"/>
    <w:rsid w:val="00746F84"/>
    <w:rsid w:val="00747A60"/>
    <w:rsid w:val="00747E85"/>
    <w:rsid w:val="007504E9"/>
    <w:rsid w:val="00751483"/>
    <w:rsid w:val="00753152"/>
    <w:rsid w:val="007550E1"/>
    <w:rsid w:val="00755645"/>
    <w:rsid w:val="00757CD0"/>
    <w:rsid w:val="0076083B"/>
    <w:rsid w:val="007704EB"/>
    <w:rsid w:val="00770C33"/>
    <w:rsid w:val="00771EA0"/>
    <w:rsid w:val="007727B2"/>
    <w:rsid w:val="00773527"/>
    <w:rsid w:val="007738E2"/>
    <w:rsid w:val="00773CF3"/>
    <w:rsid w:val="00775059"/>
    <w:rsid w:val="0077556D"/>
    <w:rsid w:val="007758D3"/>
    <w:rsid w:val="00781BD0"/>
    <w:rsid w:val="007832C9"/>
    <w:rsid w:val="0078470F"/>
    <w:rsid w:val="00785B0F"/>
    <w:rsid w:val="00786849"/>
    <w:rsid w:val="007879C2"/>
    <w:rsid w:val="00791BAB"/>
    <w:rsid w:val="0079358D"/>
    <w:rsid w:val="0079398A"/>
    <w:rsid w:val="00794DB7"/>
    <w:rsid w:val="007956ED"/>
    <w:rsid w:val="00796037"/>
    <w:rsid w:val="007963F1"/>
    <w:rsid w:val="007A264E"/>
    <w:rsid w:val="007A2D5F"/>
    <w:rsid w:val="007A50C3"/>
    <w:rsid w:val="007A5DD1"/>
    <w:rsid w:val="007A5E3C"/>
    <w:rsid w:val="007A6267"/>
    <w:rsid w:val="007A71D3"/>
    <w:rsid w:val="007A7C3C"/>
    <w:rsid w:val="007B13C2"/>
    <w:rsid w:val="007B27A6"/>
    <w:rsid w:val="007B34E3"/>
    <w:rsid w:val="007B3963"/>
    <w:rsid w:val="007B3AF4"/>
    <w:rsid w:val="007B4718"/>
    <w:rsid w:val="007B48FE"/>
    <w:rsid w:val="007B50E6"/>
    <w:rsid w:val="007B7140"/>
    <w:rsid w:val="007C4350"/>
    <w:rsid w:val="007C60AD"/>
    <w:rsid w:val="007D1597"/>
    <w:rsid w:val="007D25C0"/>
    <w:rsid w:val="007D7D72"/>
    <w:rsid w:val="007E17E2"/>
    <w:rsid w:val="007E1B06"/>
    <w:rsid w:val="007E512D"/>
    <w:rsid w:val="007E54BC"/>
    <w:rsid w:val="007E652E"/>
    <w:rsid w:val="007E68DC"/>
    <w:rsid w:val="007F0F6E"/>
    <w:rsid w:val="007F1D00"/>
    <w:rsid w:val="007F3F6C"/>
    <w:rsid w:val="007F4669"/>
    <w:rsid w:val="007F4BA7"/>
    <w:rsid w:val="007F7C79"/>
    <w:rsid w:val="008003BB"/>
    <w:rsid w:val="0080109F"/>
    <w:rsid w:val="0080620B"/>
    <w:rsid w:val="008102B9"/>
    <w:rsid w:val="00810A17"/>
    <w:rsid w:val="0081162B"/>
    <w:rsid w:val="00814877"/>
    <w:rsid w:val="00821088"/>
    <w:rsid w:val="0082141B"/>
    <w:rsid w:val="008323D4"/>
    <w:rsid w:val="008328DB"/>
    <w:rsid w:val="00832967"/>
    <w:rsid w:val="00833AAC"/>
    <w:rsid w:val="00840860"/>
    <w:rsid w:val="00841764"/>
    <w:rsid w:val="0084189B"/>
    <w:rsid w:val="00842CE7"/>
    <w:rsid w:val="00843082"/>
    <w:rsid w:val="00844626"/>
    <w:rsid w:val="00847BB7"/>
    <w:rsid w:val="0085087A"/>
    <w:rsid w:val="00850D16"/>
    <w:rsid w:val="00851905"/>
    <w:rsid w:val="008525ED"/>
    <w:rsid w:val="00857996"/>
    <w:rsid w:val="0086192B"/>
    <w:rsid w:val="00862314"/>
    <w:rsid w:val="0086256F"/>
    <w:rsid w:val="00863EF3"/>
    <w:rsid w:val="00864B42"/>
    <w:rsid w:val="00865812"/>
    <w:rsid w:val="0087038B"/>
    <w:rsid w:val="00873B62"/>
    <w:rsid w:val="008742B1"/>
    <w:rsid w:val="00874511"/>
    <w:rsid w:val="008777A6"/>
    <w:rsid w:val="00880604"/>
    <w:rsid w:val="00880C9B"/>
    <w:rsid w:val="008813DF"/>
    <w:rsid w:val="008824DC"/>
    <w:rsid w:val="008846F4"/>
    <w:rsid w:val="00884990"/>
    <w:rsid w:val="00885DC3"/>
    <w:rsid w:val="008873D4"/>
    <w:rsid w:val="00892D81"/>
    <w:rsid w:val="00893185"/>
    <w:rsid w:val="0089399D"/>
    <w:rsid w:val="00893C7D"/>
    <w:rsid w:val="008966E1"/>
    <w:rsid w:val="008A0841"/>
    <w:rsid w:val="008A16C2"/>
    <w:rsid w:val="008A5BD5"/>
    <w:rsid w:val="008A6015"/>
    <w:rsid w:val="008A6245"/>
    <w:rsid w:val="008B6B32"/>
    <w:rsid w:val="008C089B"/>
    <w:rsid w:val="008C5021"/>
    <w:rsid w:val="008D26DB"/>
    <w:rsid w:val="008D3D4C"/>
    <w:rsid w:val="008D3F76"/>
    <w:rsid w:val="008D444D"/>
    <w:rsid w:val="008D4F85"/>
    <w:rsid w:val="008D5C15"/>
    <w:rsid w:val="008D6267"/>
    <w:rsid w:val="008E00EA"/>
    <w:rsid w:val="008E2094"/>
    <w:rsid w:val="008E29FA"/>
    <w:rsid w:val="008E36CB"/>
    <w:rsid w:val="008E643D"/>
    <w:rsid w:val="008F0A80"/>
    <w:rsid w:val="008F3ABD"/>
    <w:rsid w:val="008F58C8"/>
    <w:rsid w:val="00900E4D"/>
    <w:rsid w:val="0090214D"/>
    <w:rsid w:val="009026AF"/>
    <w:rsid w:val="00903D23"/>
    <w:rsid w:val="009100DA"/>
    <w:rsid w:val="009110E8"/>
    <w:rsid w:val="0091230A"/>
    <w:rsid w:val="009124BF"/>
    <w:rsid w:val="00912B5B"/>
    <w:rsid w:val="0091310A"/>
    <w:rsid w:val="00915C8E"/>
    <w:rsid w:val="0092189B"/>
    <w:rsid w:val="00923914"/>
    <w:rsid w:val="00924755"/>
    <w:rsid w:val="00924932"/>
    <w:rsid w:val="00926AF0"/>
    <w:rsid w:val="009270BD"/>
    <w:rsid w:val="009350EA"/>
    <w:rsid w:val="00935274"/>
    <w:rsid w:val="00941671"/>
    <w:rsid w:val="00943DBD"/>
    <w:rsid w:val="00944511"/>
    <w:rsid w:val="00945C2D"/>
    <w:rsid w:val="00946352"/>
    <w:rsid w:val="0094751A"/>
    <w:rsid w:val="0095078C"/>
    <w:rsid w:val="00951D05"/>
    <w:rsid w:val="00955A13"/>
    <w:rsid w:val="0095742A"/>
    <w:rsid w:val="009601B4"/>
    <w:rsid w:val="00962768"/>
    <w:rsid w:val="009627A2"/>
    <w:rsid w:val="00962E30"/>
    <w:rsid w:val="00962E60"/>
    <w:rsid w:val="009646C8"/>
    <w:rsid w:val="00970C44"/>
    <w:rsid w:val="00971D67"/>
    <w:rsid w:val="00972FA1"/>
    <w:rsid w:val="009756F9"/>
    <w:rsid w:val="009757BD"/>
    <w:rsid w:val="009765C7"/>
    <w:rsid w:val="00977223"/>
    <w:rsid w:val="00977B31"/>
    <w:rsid w:val="00977F29"/>
    <w:rsid w:val="00980133"/>
    <w:rsid w:val="00985E03"/>
    <w:rsid w:val="0098791A"/>
    <w:rsid w:val="00997A3D"/>
    <w:rsid w:val="009A2209"/>
    <w:rsid w:val="009A37B1"/>
    <w:rsid w:val="009A4538"/>
    <w:rsid w:val="009A6B02"/>
    <w:rsid w:val="009A703E"/>
    <w:rsid w:val="009A7E10"/>
    <w:rsid w:val="009B1267"/>
    <w:rsid w:val="009B184B"/>
    <w:rsid w:val="009B5C53"/>
    <w:rsid w:val="009B5C7F"/>
    <w:rsid w:val="009B616A"/>
    <w:rsid w:val="009B7F71"/>
    <w:rsid w:val="009C1345"/>
    <w:rsid w:val="009C374D"/>
    <w:rsid w:val="009C4215"/>
    <w:rsid w:val="009C760A"/>
    <w:rsid w:val="009D01EC"/>
    <w:rsid w:val="009D1144"/>
    <w:rsid w:val="009D18AE"/>
    <w:rsid w:val="009D1999"/>
    <w:rsid w:val="009D20C3"/>
    <w:rsid w:val="009D34AF"/>
    <w:rsid w:val="009D479D"/>
    <w:rsid w:val="009D4A98"/>
    <w:rsid w:val="009D5FE0"/>
    <w:rsid w:val="009D66E2"/>
    <w:rsid w:val="009E0CA4"/>
    <w:rsid w:val="009E1B1A"/>
    <w:rsid w:val="009E1EAB"/>
    <w:rsid w:val="009E1FD3"/>
    <w:rsid w:val="009E3892"/>
    <w:rsid w:val="009E51A1"/>
    <w:rsid w:val="009E5EE8"/>
    <w:rsid w:val="009F0AC0"/>
    <w:rsid w:val="009F0C54"/>
    <w:rsid w:val="009F1FEE"/>
    <w:rsid w:val="009F2E97"/>
    <w:rsid w:val="009F3057"/>
    <w:rsid w:val="009F408C"/>
    <w:rsid w:val="009F4511"/>
    <w:rsid w:val="009F45CB"/>
    <w:rsid w:val="009F5104"/>
    <w:rsid w:val="009F554C"/>
    <w:rsid w:val="009F762A"/>
    <w:rsid w:val="00A03008"/>
    <w:rsid w:val="00A0376D"/>
    <w:rsid w:val="00A03CE9"/>
    <w:rsid w:val="00A05FE1"/>
    <w:rsid w:val="00A06578"/>
    <w:rsid w:val="00A07433"/>
    <w:rsid w:val="00A102DF"/>
    <w:rsid w:val="00A1439B"/>
    <w:rsid w:val="00A16F14"/>
    <w:rsid w:val="00A20487"/>
    <w:rsid w:val="00A205A2"/>
    <w:rsid w:val="00A21888"/>
    <w:rsid w:val="00A22754"/>
    <w:rsid w:val="00A22E96"/>
    <w:rsid w:val="00A23AE8"/>
    <w:rsid w:val="00A24460"/>
    <w:rsid w:val="00A24ADB"/>
    <w:rsid w:val="00A26B91"/>
    <w:rsid w:val="00A2716C"/>
    <w:rsid w:val="00A30241"/>
    <w:rsid w:val="00A30F9E"/>
    <w:rsid w:val="00A31040"/>
    <w:rsid w:val="00A31053"/>
    <w:rsid w:val="00A32580"/>
    <w:rsid w:val="00A33BBE"/>
    <w:rsid w:val="00A37935"/>
    <w:rsid w:val="00A401F7"/>
    <w:rsid w:val="00A402B5"/>
    <w:rsid w:val="00A43604"/>
    <w:rsid w:val="00A5293E"/>
    <w:rsid w:val="00A5420E"/>
    <w:rsid w:val="00A552A5"/>
    <w:rsid w:val="00A55FD7"/>
    <w:rsid w:val="00A562A4"/>
    <w:rsid w:val="00A61FD6"/>
    <w:rsid w:val="00A66748"/>
    <w:rsid w:val="00A66CB3"/>
    <w:rsid w:val="00A672DB"/>
    <w:rsid w:val="00A7218E"/>
    <w:rsid w:val="00A726A0"/>
    <w:rsid w:val="00A73F91"/>
    <w:rsid w:val="00A7449C"/>
    <w:rsid w:val="00A74E7F"/>
    <w:rsid w:val="00A75FB5"/>
    <w:rsid w:val="00A7662F"/>
    <w:rsid w:val="00A81669"/>
    <w:rsid w:val="00A8297E"/>
    <w:rsid w:val="00A829E1"/>
    <w:rsid w:val="00A83B2A"/>
    <w:rsid w:val="00A900A0"/>
    <w:rsid w:val="00A90774"/>
    <w:rsid w:val="00A90F15"/>
    <w:rsid w:val="00A92CE1"/>
    <w:rsid w:val="00A94974"/>
    <w:rsid w:val="00A95372"/>
    <w:rsid w:val="00A96581"/>
    <w:rsid w:val="00A9670E"/>
    <w:rsid w:val="00AA01AB"/>
    <w:rsid w:val="00AA0F28"/>
    <w:rsid w:val="00AA1E31"/>
    <w:rsid w:val="00AA28C8"/>
    <w:rsid w:val="00AA31C4"/>
    <w:rsid w:val="00AA4B6B"/>
    <w:rsid w:val="00AA612E"/>
    <w:rsid w:val="00AA63C1"/>
    <w:rsid w:val="00AA65F0"/>
    <w:rsid w:val="00AA6F3C"/>
    <w:rsid w:val="00AA79D9"/>
    <w:rsid w:val="00AA79F4"/>
    <w:rsid w:val="00AB007E"/>
    <w:rsid w:val="00AB04AD"/>
    <w:rsid w:val="00AB17D1"/>
    <w:rsid w:val="00AB1F7E"/>
    <w:rsid w:val="00AB4558"/>
    <w:rsid w:val="00AB7FB6"/>
    <w:rsid w:val="00AC0CEC"/>
    <w:rsid w:val="00AC4E4B"/>
    <w:rsid w:val="00AC62A4"/>
    <w:rsid w:val="00AC66C7"/>
    <w:rsid w:val="00AC6CCA"/>
    <w:rsid w:val="00AC6F04"/>
    <w:rsid w:val="00AC72FA"/>
    <w:rsid w:val="00AE0D4D"/>
    <w:rsid w:val="00AE2627"/>
    <w:rsid w:val="00AE3D5E"/>
    <w:rsid w:val="00AE4A0A"/>
    <w:rsid w:val="00AE5887"/>
    <w:rsid w:val="00AE6DB7"/>
    <w:rsid w:val="00AE6F3B"/>
    <w:rsid w:val="00AE7E63"/>
    <w:rsid w:val="00AF1613"/>
    <w:rsid w:val="00AF1B50"/>
    <w:rsid w:val="00AF3FF4"/>
    <w:rsid w:val="00AF68C9"/>
    <w:rsid w:val="00AF795E"/>
    <w:rsid w:val="00B04668"/>
    <w:rsid w:val="00B04F28"/>
    <w:rsid w:val="00B11655"/>
    <w:rsid w:val="00B11F02"/>
    <w:rsid w:val="00B13842"/>
    <w:rsid w:val="00B14945"/>
    <w:rsid w:val="00B14FC5"/>
    <w:rsid w:val="00B1555F"/>
    <w:rsid w:val="00B16A77"/>
    <w:rsid w:val="00B171DB"/>
    <w:rsid w:val="00B17C76"/>
    <w:rsid w:val="00B24341"/>
    <w:rsid w:val="00B248A2"/>
    <w:rsid w:val="00B260C9"/>
    <w:rsid w:val="00B27007"/>
    <w:rsid w:val="00B27AFE"/>
    <w:rsid w:val="00B30B92"/>
    <w:rsid w:val="00B31CE2"/>
    <w:rsid w:val="00B41980"/>
    <w:rsid w:val="00B42AA9"/>
    <w:rsid w:val="00B450E8"/>
    <w:rsid w:val="00B45E1D"/>
    <w:rsid w:val="00B47165"/>
    <w:rsid w:val="00B47FE4"/>
    <w:rsid w:val="00B521CA"/>
    <w:rsid w:val="00B55A01"/>
    <w:rsid w:val="00B56DAA"/>
    <w:rsid w:val="00B61980"/>
    <w:rsid w:val="00B64ACA"/>
    <w:rsid w:val="00B66005"/>
    <w:rsid w:val="00B7081B"/>
    <w:rsid w:val="00B72198"/>
    <w:rsid w:val="00B7556E"/>
    <w:rsid w:val="00B75F1B"/>
    <w:rsid w:val="00B7733B"/>
    <w:rsid w:val="00B77961"/>
    <w:rsid w:val="00B80C70"/>
    <w:rsid w:val="00B825D9"/>
    <w:rsid w:val="00B857A6"/>
    <w:rsid w:val="00B8753E"/>
    <w:rsid w:val="00B909E5"/>
    <w:rsid w:val="00B90D23"/>
    <w:rsid w:val="00B9277A"/>
    <w:rsid w:val="00B93904"/>
    <w:rsid w:val="00B979A8"/>
    <w:rsid w:val="00BA0C82"/>
    <w:rsid w:val="00BA16EC"/>
    <w:rsid w:val="00BA46F6"/>
    <w:rsid w:val="00BA4791"/>
    <w:rsid w:val="00BA4D70"/>
    <w:rsid w:val="00BB021F"/>
    <w:rsid w:val="00BB2776"/>
    <w:rsid w:val="00BB7B38"/>
    <w:rsid w:val="00BC0C3D"/>
    <w:rsid w:val="00BC3A13"/>
    <w:rsid w:val="00BC5FE6"/>
    <w:rsid w:val="00BC61ED"/>
    <w:rsid w:val="00BD0A15"/>
    <w:rsid w:val="00BD1557"/>
    <w:rsid w:val="00BD3214"/>
    <w:rsid w:val="00BD33C1"/>
    <w:rsid w:val="00BD37B5"/>
    <w:rsid w:val="00BD7EBE"/>
    <w:rsid w:val="00BE07C9"/>
    <w:rsid w:val="00BE1261"/>
    <w:rsid w:val="00BE4A53"/>
    <w:rsid w:val="00BE55C4"/>
    <w:rsid w:val="00BE5DE6"/>
    <w:rsid w:val="00BE5E02"/>
    <w:rsid w:val="00BE6E23"/>
    <w:rsid w:val="00BE7593"/>
    <w:rsid w:val="00BE7C2B"/>
    <w:rsid w:val="00BF0B41"/>
    <w:rsid w:val="00BF1FEF"/>
    <w:rsid w:val="00BF225D"/>
    <w:rsid w:val="00BF295A"/>
    <w:rsid w:val="00BF2D0D"/>
    <w:rsid w:val="00BF3CE6"/>
    <w:rsid w:val="00BF49E3"/>
    <w:rsid w:val="00BF4FF6"/>
    <w:rsid w:val="00BF52BB"/>
    <w:rsid w:val="00BF5BD4"/>
    <w:rsid w:val="00C04B95"/>
    <w:rsid w:val="00C04CF9"/>
    <w:rsid w:val="00C05F06"/>
    <w:rsid w:val="00C07A16"/>
    <w:rsid w:val="00C116ED"/>
    <w:rsid w:val="00C14611"/>
    <w:rsid w:val="00C154A7"/>
    <w:rsid w:val="00C158DD"/>
    <w:rsid w:val="00C159F1"/>
    <w:rsid w:val="00C161B6"/>
    <w:rsid w:val="00C16D67"/>
    <w:rsid w:val="00C2379F"/>
    <w:rsid w:val="00C245D1"/>
    <w:rsid w:val="00C257B6"/>
    <w:rsid w:val="00C27AAE"/>
    <w:rsid w:val="00C31398"/>
    <w:rsid w:val="00C31ED0"/>
    <w:rsid w:val="00C34373"/>
    <w:rsid w:val="00C35137"/>
    <w:rsid w:val="00C35977"/>
    <w:rsid w:val="00C36391"/>
    <w:rsid w:val="00C370E7"/>
    <w:rsid w:val="00C376B2"/>
    <w:rsid w:val="00C40F8F"/>
    <w:rsid w:val="00C432B4"/>
    <w:rsid w:val="00C45820"/>
    <w:rsid w:val="00C50167"/>
    <w:rsid w:val="00C5121B"/>
    <w:rsid w:val="00C521B7"/>
    <w:rsid w:val="00C52BE2"/>
    <w:rsid w:val="00C540E8"/>
    <w:rsid w:val="00C550C3"/>
    <w:rsid w:val="00C55DAC"/>
    <w:rsid w:val="00C56663"/>
    <w:rsid w:val="00C56706"/>
    <w:rsid w:val="00C57F0F"/>
    <w:rsid w:val="00C62189"/>
    <w:rsid w:val="00C630CB"/>
    <w:rsid w:val="00C63C52"/>
    <w:rsid w:val="00C71139"/>
    <w:rsid w:val="00C746DF"/>
    <w:rsid w:val="00C74FDF"/>
    <w:rsid w:val="00C76D21"/>
    <w:rsid w:val="00C8031D"/>
    <w:rsid w:val="00C80AA5"/>
    <w:rsid w:val="00C83CEE"/>
    <w:rsid w:val="00C8432D"/>
    <w:rsid w:val="00C85F75"/>
    <w:rsid w:val="00C8602B"/>
    <w:rsid w:val="00C92527"/>
    <w:rsid w:val="00C92603"/>
    <w:rsid w:val="00C934C2"/>
    <w:rsid w:val="00C9428F"/>
    <w:rsid w:val="00C94321"/>
    <w:rsid w:val="00C95A01"/>
    <w:rsid w:val="00C95CA7"/>
    <w:rsid w:val="00C9771F"/>
    <w:rsid w:val="00CA0AA7"/>
    <w:rsid w:val="00CA37B4"/>
    <w:rsid w:val="00CA3E60"/>
    <w:rsid w:val="00CA4C51"/>
    <w:rsid w:val="00CA4F9C"/>
    <w:rsid w:val="00CA5189"/>
    <w:rsid w:val="00CA5E41"/>
    <w:rsid w:val="00CA6D5D"/>
    <w:rsid w:val="00CA7A56"/>
    <w:rsid w:val="00CB0040"/>
    <w:rsid w:val="00CB0ABA"/>
    <w:rsid w:val="00CB31FD"/>
    <w:rsid w:val="00CB347A"/>
    <w:rsid w:val="00CB607F"/>
    <w:rsid w:val="00CC0928"/>
    <w:rsid w:val="00CC3CCF"/>
    <w:rsid w:val="00CC5D6D"/>
    <w:rsid w:val="00CD25AE"/>
    <w:rsid w:val="00CD68EF"/>
    <w:rsid w:val="00CE0996"/>
    <w:rsid w:val="00CE350B"/>
    <w:rsid w:val="00CE47C8"/>
    <w:rsid w:val="00CE5D9A"/>
    <w:rsid w:val="00CE71A0"/>
    <w:rsid w:val="00CE742C"/>
    <w:rsid w:val="00CF1DD7"/>
    <w:rsid w:val="00CF3120"/>
    <w:rsid w:val="00CF57CD"/>
    <w:rsid w:val="00D00361"/>
    <w:rsid w:val="00D02292"/>
    <w:rsid w:val="00D03D14"/>
    <w:rsid w:val="00D04994"/>
    <w:rsid w:val="00D0564F"/>
    <w:rsid w:val="00D1142D"/>
    <w:rsid w:val="00D12427"/>
    <w:rsid w:val="00D12E79"/>
    <w:rsid w:val="00D132A5"/>
    <w:rsid w:val="00D13580"/>
    <w:rsid w:val="00D14547"/>
    <w:rsid w:val="00D14855"/>
    <w:rsid w:val="00D1699C"/>
    <w:rsid w:val="00D20A2D"/>
    <w:rsid w:val="00D2170E"/>
    <w:rsid w:val="00D250C7"/>
    <w:rsid w:val="00D26DDC"/>
    <w:rsid w:val="00D27485"/>
    <w:rsid w:val="00D30A13"/>
    <w:rsid w:val="00D325C2"/>
    <w:rsid w:val="00D32A42"/>
    <w:rsid w:val="00D36C13"/>
    <w:rsid w:val="00D420FC"/>
    <w:rsid w:val="00D44587"/>
    <w:rsid w:val="00D4690C"/>
    <w:rsid w:val="00D5150E"/>
    <w:rsid w:val="00D51871"/>
    <w:rsid w:val="00D53FEC"/>
    <w:rsid w:val="00D54FCA"/>
    <w:rsid w:val="00D55C41"/>
    <w:rsid w:val="00D562A8"/>
    <w:rsid w:val="00D564FE"/>
    <w:rsid w:val="00D57A20"/>
    <w:rsid w:val="00D617E4"/>
    <w:rsid w:val="00D6223A"/>
    <w:rsid w:val="00D624CB"/>
    <w:rsid w:val="00D626CE"/>
    <w:rsid w:val="00D63B7C"/>
    <w:rsid w:val="00D64925"/>
    <w:rsid w:val="00D714F7"/>
    <w:rsid w:val="00D76179"/>
    <w:rsid w:val="00D77655"/>
    <w:rsid w:val="00D77CB0"/>
    <w:rsid w:val="00D77EFA"/>
    <w:rsid w:val="00D826A9"/>
    <w:rsid w:val="00D84499"/>
    <w:rsid w:val="00D85360"/>
    <w:rsid w:val="00D903FD"/>
    <w:rsid w:val="00D909BE"/>
    <w:rsid w:val="00D92804"/>
    <w:rsid w:val="00DA08F5"/>
    <w:rsid w:val="00DA0EF8"/>
    <w:rsid w:val="00DA382F"/>
    <w:rsid w:val="00DA3F2C"/>
    <w:rsid w:val="00DA4518"/>
    <w:rsid w:val="00DA5C89"/>
    <w:rsid w:val="00DA65F8"/>
    <w:rsid w:val="00DA65FE"/>
    <w:rsid w:val="00DA6770"/>
    <w:rsid w:val="00DA79A4"/>
    <w:rsid w:val="00DB01DD"/>
    <w:rsid w:val="00DB2073"/>
    <w:rsid w:val="00DB271F"/>
    <w:rsid w:val="00DB3CCB"/>
    <w:rsid w:val="00DB3D06"/>
    <w:rsid w:val="00DB5799"/>
    <w:rsid w:val="00DB657D"/>
    <w:rsid w:val="00DB70D1"/>
    <w:rsid w:val="00DB7704"/>
    <w:rsid w:val="00DC00ED"/>
    <w:rsid w:val="00DC0478"/>
    <w:rsid w:val="00DC1099"/>
    <w:rsid w:val="00DC1A89"/>
    <w:rsid w:val="00DC6492"/>
    <w:rsid w:val="00DC675A"/>
    <w:rsid w:val="00DC6B9C"/>
    <w:rsid w:val="00DC6BBB"/>
    <w:rsid w:val="00DD5EF4"/>
    <w:rsid w:val="00DE3417"/>
    <w:rsid w:val="00DE5305"/>
    <w:rsid w:val="00DE5455"/>
    <w:rsid w:val="00DE6566"/>
    <w:rsid w:val="00DE6F79"/>
    <w:rsid w:val="00DE79C8"/>
    <w:rsid w:val="00DF21FB"/>
    <w:rsid w:val="00DF386E"/>
    <w:rsid w:val="00DF5819"/>
    <w:rsid w:val="00DF78C3"/>
    <w:rsid w:val="00E03011"/>
    <w:rsid w:val="00E06136"/>
    <w:rsid w:val="00E06CE8"/>
    <w:rsid w:val="00E10941"/>
    <w:rsid w:val="00E12E37"/>
    <w:rsid w:val="00E1480F"/>
    <w:rsid w:val="00E15ABA"/>
    <w:rsid w:val="00E1656E"/>
    <w:rsid w:val="00E16DF5"/>
    <w:rsid w:val="00E170D8"/>
    <w:rsid w:val="00E22450"/>
    <w:rsid w:val="00E25EAC"/>
    <w:rsid w:val="00E2643D"/>
    <w:rsid w:val="00E26E54"/>
    <w:rsid w:val="00E27751"/>
    <w:rsid w:val="00E30C8F"/>
    <w:rsid w:val="00E32FD9"/>
    <w:rsid w:val="00E41C0B"/>
    <w:rsid w:val="00E4259F"/>
    <w:rsid w:val="00E43219"/>
    <w:rsid w:val="00E45135"/>
    <w:rsid w:val="00E47BA7"/>
    <w:rsid w:val="00E50FB0"/>
    <w:rsid w:val="00E524E1"/>
    <w:rsid w:val="00E52923"/>
    <w:rsid w:val="00E53640"/>
    <w:rsid w:val="00E53F3E"/>
    <w:rsid w:val="00E543BD"/>
    <w:rsid w:val="00E547B4"/>
    <w:rsid w:val="00E565C3"/>
    <w:rsid w:val="00E57426"/>
    <w:rsid w:val="00E576F6"/>
    <w:rsid w:val="00E60293"/>
    <w:rsid w:val="00E61CC1"/>
    <w:rsid w:val="00E61DAD"/>
    <w:rsid w:val="00E62C7C"/>
    <w:rsid w:val="00E63731"/>
    <w:rsid w:val="00E64E6D"/>
    <w:rsid w:val="00E70784"/>
    <w:rsid w:val="00E70A3E"/>
    <w:rsid w:val="00E718EE"/>
    <w:rsid w:val="00E72CD3"/>
    <w:rsid w:val="00E742D4"/>
    <w:rsid w:val="00E76826"/>
    <w:rsid w:val="00E81150"/>
    <w:rsid w:val="00E812D4"/>
    <w:rsid w:val="00E816E3"/>
    <w:rsid w:val="00E828E4"/>
    <w:rsid w:val="00E8464B"/>
    <w:rsid w:val="00E85540"/>
    <w:rsid w:val="00E8743F"/>
    <w:rsid w:val="00E94D09"/>
    <w:rsid w:val="00E968CA"/>
    <w:rsid w:val="00EA23E0"/>
    <w:rsid w:val="00EA33F3"/>
    <w:rsid w:val="00EA517C"/>
    <w:rsid w:val="00EA5C58"/>
    <w:rsid w:val="00EA5F3A"/>
    <w:rsid w:val="00EA6018"/>
    <w:rsid w:val="00EA79D1"/>
    <w:rsid w:val="00EB0381"/>
    <w:rsid w:val="00EB25A0"/>
    <w:rsid w:val="00EB25C7"/>
    <w:rsid w:val="00EB30E1"/>
    <w:rsid w:val="00EB41CD"/>
    <w:rsid w:val="00EB5A63"/>
    <w:rsid w:val="00EB7346"/>
    <w:rsid w:val="00EB74E8"/>
    <w:rsid w:val="00EC5CFB"/>
    <w:rsid w:val="00EC5E6A"/>
    <w:rsid w:val="00EC65E0"/>
    <w:rsid w:val="00EC6CAA"/>
    <w:rsid w:val="00EC7CB5"/>
    <w:rsid w:val="00ED1EA1"/>
    <w:rsid w:val="00ED6CE5"/>
    <w:rsid w:val="00EE1649"/>
    <w:rsid w:val="00EE19AC"/>
    <w:rsid w:val="00EE268C"/>
    <w:rsid w:val="00EE3D02"/>
    <w:rsid w:val="00EE443B"/>
    <w:rsid w:val="00EF006A"/>
    <w:rsid w:val="00EF1984"/>
    <w:rsid w:val="00EF3601"/>
    <w:rsid w:val="00EF4E01"/>
    <w:rsid w:val="00EF6E25"/>
    <w:rsid w:val="00F0660C"/>
    <w:rsid w:val="00F07A7C"/>
    <w:rsid w:val="00F12BA6"/>
    <w:rsid w:val="00F14D10"/>
    <w:rsid w:val="00F15766"/>
    <w:rsid w:val="00F15A16"/>
    <w:rsid w:val="00F163EA"/>
    <w:rsid w:val="00F16A5E"/>
    <w:rsid w:val="00F17119"/>
    <w:rsid w:val="00F17596"/>
    <w:rsid w:val="00F17FEE"/>
    <w:rsid w:val="00F21590"/>
    <w:rsid w:val="00F22A14"/>
    <w:rsid w:val="00F27C47"/>
    <w:rsid w:val="00F27F78"/>
    <w:rsid w:val="00F305B4"/>
    <w:rsid w:val="00F32115"/>
    <w:rsid w:val="00F3468C"/>
    <w:rsid w:val="00F40AF4"/>
    <w:rsid w:val="00F41669"/>
    <w:rsid w:val="00F421FB"/>
    <w:rsid w:val="00F42C33"/>
    <w:rsid w:val="00F42E3E"/>
    <w:rsid w:val="00F43B8A"/>
    <w:rsid w:val="00F43E0E"/>
    <w:rsid w:val="00F45018"/>
    <w:rsid w:val="00F4638D"/>
    <w:rsid w:val="00F468BB"/>
    <w:rsid w:val="00F46D7D"/>
    <w:rsid w:val="00F51456"/>
    <w:rsid w:val="00F52DFE"/>
    <w:rsid w:val="00F5512A"/>
    <w:rsid w:val="00F55EAC"/>
    <w:rsid w:val="00F62D2B"/>
    <w:rsid w:val="00F62F13"/>
    <w:rsid w:val="00F6319A"/>
    <w:rsid w:val="00F63230"/>
    <w:rsid w:val="00F63262"/>
    <w:rsid w:val="00F6395B"/>
    <w:rsid w:val="00F64CC0"/>
    <w:rsid w:val="00F67676"/>
    <w:rsid w:val="00F70246"/>
    <w:rsid w:val="00F70410"/>
    <w:rsid w:val="00F70418"/>
    <w:rsid w:val="00F70653"/>
    <w:rsid w:val="00F70E0F"/>
    <w:rsid w:val="00F734C2"/>
    <w:rsid w:val="00F75C6E"/>
    <w:rsid w:val="00F775FA"/>
    <w:rsid w:val="00F8167A"/>
    <w:rsid w:val="00F8210B"/>
    <w:rsid w:val="00F82CAE"/>
    <w:rsid w:val="00F83D7B"/>
    <w:rsid w:val="00F85693"/>
    <w:rsid w:val="00F85833"/>
    <w:rsid w:val="00F9021E"/>
    <w:rsid w:val="00F912B0"/>
    <w:rsid w:val="00F91918"/>
    <w:rsid w:val="00F91956"/>
    <w:rsid w:val="00F91AFA"/>
    <w:rsid w:val="00F91DFD"/>
    <w:rsid w:val="00F94BDA"/>
    <w:rsid w:val="00F96ED3"/>
    <w:rsid w:val="00F96F86"/>
    <w:rsid w:val="00F971AD"/>
    <w:rsid w:val="00F972BD"/>
    <w:rsid w:val="00F97439"/>
    <w:rsid w:val="00FA05A5"/>
    <w:rsid w:val="00FA1DB9"/>
    <w:rsid w:val="00FA3C04"/>
    <w:rsid w:val="00FA6A93"/>
    <w:rsid w:val="00FA75AF"/>
    <w:rsid w:val="00FB06B0"/>
    <w:rsid w:val="00FB1B0C"/>
    <w:rsid w:val="00FB5EA6"/>
    <w:rsid w:val="00FB6922"/>
    <w:rsid w:val="00FB7FCA"/>
    <w:rsid w:val="00FC244B"/>
    <w:rsid w:val="00FC2D21"/>
    <w:rsid w:val="00FC353A"/>
    <w:rsid w:val="00FD3228"/>
    <w:rsid w:val="00FD3F0E"/>
    <w:rsid w:val="00FD3F6A"/>
    <w:rsid w:val="00FD508E"/>
    <w:rsid w:val="00FD51E7"/>
    <w:rsid w:val="00FE3606"/>
    <w:rsid w:val="00FE3C8E"/>
    <w:rsid w:val="00FE4E65"/>
    <w:rsid w:val="00FE6562"/>
    <w:rsid w:val="00FE6883"/>
    <w:rsid w:val="00FF01F0"/>
    <w:rsid w:val="00FF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6EE56"/>
  <w15:chartTrackingRefBased/>
  <w15:docId w15:val="{BF90ED17-8D78-4CBC-849D-C2DDC9C9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1176C"/>
    <w:pPr>
      <w:widowControl w:val="0"/>
      <w:jc w:val="both"/>
    </w:pPr>
    <w:rPr>
      <w:rFonts w:ascii="Times New Roman" w:eastAsia="宋体" w:hAnsi="Times New Roman" w:cs="Times New Roman"/>
      <w:szCs w:val="24"/>
    </w:rPr>
  </w:style>
  <w:style w:type="paragraph" w:styleId="1">
    <w:name w:val="heading 1"/>
    <w:basedOn w:val="a0"/>
    <w:next w:val="a0"/>
    <w:link w:val="10"/>
    <w:qFormat/>
    <w:rsid w:val="0001176C"/>
    <w:pPr>
      <w:keepNext/>
      <w:spacing w:beforeLines="46" w:before="156" w:after="120" w:line="500" w:lineRule="atLeast"/>
      <w:jc w:val="left"/>
      <w:outlineLvl w:val="0"/>
    </w:pPr>
    <w:rPr>
      <w:rFonts w:eastAsia="Times New Roman"/>
      <w:b/>
      <w:bCs/>
      <w:sz w:val="28"/>
      <w:lang w:val="x-none" w:eastAsia="x-none"/>
    </w:rPr>
  </w:style>
  <w:style w:type="paragraph" w:styleId="2">
    <w:name w:val="heading 2"/>
    <w:basedOn w:val="a0"/>
    <w:next w:val="a0"/>
    <w:link w:val="20"/>
    <w:unhideWhenUsed/>
    <w:qFormat/>
    <w:rsid w:val="0001176C"/>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0"/>
    <w:next w:val="a0"/>
    <w:link w:val="30"/>
    <w:uiPriority w:val="9"/>
    <w:unhideWhenUsed/>
    <w:qFormat/>
    <w:rsid w:val="0001176C"/>
    <w:pPr>
      <w:keepNext/>
      <w:keepLines/>
      <w:spacing w:before="260" w:after="260" w:line="416" w:lineRule="auto"/>
      <w:outlineLvl w:val="2"/>
    </w:pPr>
    <w:rPr>
      <w:b/>
      <w:bCs/>
      <w:sz w:val="32"/>
      <w:szCs w:val="32"/>
    </w:rPr>
  </w:style>
  <w:style w:type="paragraph" w:styleId="4">
    <w:name w:val="heading 4"/>
    <w:basedOn w:val="a0"/>
    <w:next w:val="a0"/>
    <w:link w:val="40"/>
    <w:uiPriority w:val="9"/>
    <w:semiHidden/>
    <w:unhideWhenUsed/>
    <w:qFormat/>
    <w:rsid w:val="0001176C"/>
    <w:pPr>
      <w:keepNext/>
      <w:keepLines/>
      <w:spacing w:before="280" w:after="290" w:line="376" w:lineRule="auto"/>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01176C"/>
    <w:rPr>
      <w:rFonts w:ascii="Times New Roman" w:eastAsia="Times New Roman" w:hAnsi="Times New Roman" w:cs="Times New Roman"/>
      <w:b/>
      <w:bCs/>
      <w:sz w:val="28"/>
      <w:szCs w:val="24"/>
      <w:lang w:val="x-none" w:eastAsia="x-none"/>
    </w:rPr>
  </w:style>
  <w:style w:type="character" w:customStyle="1" w:styleId="20">
    <w:name w:val="标题 2 字符"/>
    <w:link w:val="2"/>
    <w:rsid w:val="0001176C"/>
    <w:rPr>
      <w:rFonts w:ascii="等线 Light" w:eastAsia="等线 Light" w:hAnsi="等线 Light" w:cs="Times New Roman"/>
      <w:b/>
      <w:bCs/>
      <w:sz w:val="32"/>
      <w:szCs w:val="32"/>
    </w:rPr>
  </w:style>
  <w:style w:type="character" w:customStyle="1" w:styleId="30">
    <w:name w:val="标题 3 字符"/>
    <w:link w:val="3"/>
    <w:uiPriority w:val="9"/>
    <w:rsid w:val="0001176C"/>
    <w:rPr>
      <w:rFonts w:ascii="Times New Roman" w:eastAsia="宋体" w:hAnsi="Times New Roman" w:cs="Times New Roman"/>
      <w:b/>
      <w:bCs/>
      <w:sz w:val="32"/>
      <w:szCs w:val="32"/>
    </w:rPr>
  </w:style>
  <w:style w:type="character" w:customStyle="1" w:styleId="40">
    <w:name w:val="标题 4 字符"/>
    <w:link w:val="4"/>
    <w:uiPriority w:val="9"/>
    <w:semiHidden/>
    <w:rsid w:val="0001176C"/>
    <w:rPr>
      <w:rFonts w:ascii="等线 Light" w:eastAsia="等线 Light" w:hAnsi="等线 Light" w:cs="Times New Roman"/>
      <w:b/>
      <w:bCs/>
      <w:sz w:val="28"/>
      <w:szCs w:val="28"/>
    </w:rPr>
  </w:style>
  <w:style w:type="paragraph" w:styleId="a4">
    <w:name w:val="header"/>
    <w:basedOn w:val="a0"/>
    <w:link w:val="a5"/>
    <w:uiPriority w:val="99"/>
    <w:unhideWhenUsed/>
    <w:rsid w:val="0001176C"/>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01176C"/>
    <w:rPr>
      <w:rFonts w:ascii="Times New Roman" w:eastAsia="宋体" w:hAnsi="Times New Roman" w:cs="Times New Roman"/>
      <w:sz w:val="18"/>
      <w:szCs w:val="18"/>
    </w:rPr>
  </w:style>
  <w:style w:type="paragraph" w:styleId="a6">
    <w:name w:val="footer"/>
    <w:basedOn w:val="a0"/>
    <w:link w:val="a7"/>
    <w:uiPriority w:val="99"/>
    <w:unhideWhenUsed/>
    <w:rsid w:val="0001176C"/>
    <w:pPr>
      <w:tabs>
        <w:tab w:val="center" w:pos="4153"/>
        <w:tab w:val="right" w:pos="8306"/>
      </w:tabs>
      <w:snapToGrid w:val="0"/>
      <w:jc w:val="left"/>
    </w:pPr>
    <w:rPr>
      <w:sz w:val="18"/>
      <w:szCs w:val="18"/>
    </w:rPr>
  </w:style>
  <w:style w:type="character" w:customStyle="1" w:styleId="a7">
    <w:name w:val="页脚 字符"/>
    <w:link w:val="a6"/>
    <w:uiPriority w:val="99"/>
    <w:rsid w:val="0001176C"/>
    <w:rPr>
      <w:rFonts w:ascii="Times New Roman" w:eastAsia="宋体" w:hAnsi="Times New Roman" w:cs="Times New Roman"/>
      <w:sz w:val="18"/>
      <w:szCs w:val="18"/>
    </w:rPr>
  </w:style>
  <w:style w:type="paragraph" w:customStyle="1" w:styleId="A8">
    <w:name w:val="正文 A"/>
    <w:qFormat/>
    <w:rsid w:val="0001176C"/>
    <w:pPr>
      <w:widowControl w:val="0"/>
      <w:jc w:val="both"/>
    </w:pPr>
    <w:rPr>
      <w:rFonts w:ascii="Calibri" w:eastAsia="宋体" w:hAnsi="Calibri" w:cs="Calibri"/>
      <w:color w:val="000000"/>
      <w:szCs w:val="21"/>
      <w:u w:color="000000"/>
    </w:rPr>
  </w:style>
  <w:style w:type="table" w:styleId="a9">
    <w:name w:val="Table Grid"/>
    <w:basedOn w:val="a2"/>
    <w:uiPriority w:val="39"/>
    <w:qFormat/>
    <w:rsid w:val="0001176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0"/>
    <w:link w:val="ParagraphChar"/>
    <w:qFormat/>
    <w:rsid w:val="0001176C"/>
    <w:pPr>
      <w:widowControl/>
      <w:spacing w:after="250" w:line="300" w:lineRule="atLeast"/>
      <w:jc w:val="left"/>
    </w:pPr>
    <w:rPr>
      <w:rFonts w:ascii="Arial" w:hAnsi="Arial"/>
      <w:kern w:val="0"/>
      <w:sz w:val="22"/>
    </w:rPr>
  </w:style>
  <w:style w:type="character" w:customStyle="1" w:styleId="ParagraphChar">
    <w:name w:val="Paragraph Char"/>
    <w:link w:val="Paragraph"/>
    <w:rsid w:val="0001176C"/>
    <w:rPr>
      <w:rFonts w:ascii="Arial" w:eastAsia="宋体" w:hAnsi="Arial" w:cs="Times New Roman"/>
      <w:kern w:val="0"/>
      <w:sz w:val="22"/>
      <w:szCs w:val="24"/>
    </w:rPr>
  </w:style>
  <w:style w:type="paragraph" w:styleId="aa">
    <w:name w:val="List Paragraph"/>
    <w:basedOn w:val="a0"/>
    <w:link w:val="ab"/>
    <w:uiPriority w:val="99"/>
    <w:qFormat/>
    <w:rsid w:val="0001176C"/>
    <w:pPr>
      <w:ind w:firstLineChars="200" w:firstLine="420"/>
    </w:pPr>
    <w:rPr>
      <w:rFonts w:ascii="Calibri" w:hAnsi="Calibri"/>
      <w:szCs w:val="22"/>
    </w:rPr>
  </w:style>
  <w:style w:type="character" w:customStyle="1" w:styleId="ab">
    <w:name w:val="列表段落 字符"/>
    <w:link w:val="aa"/>
    <w:uiPriority w:val="99"/>
    <w:rsid w:val="0001176C"/>
    <w:rPr>
      <w:rFonts w:ascii="Calibri" w:eastAsia="宋体" w:hAnsi="Calibri" w:cs="Times New Roman"/>
    </w:rPr>
  </w:style>
  <w:style w:type="paragraph" w:customStyle="1" w:styleId="SynopsisText">
    <w:name w:val="Synopsis Text"/>
    <w:basedOn w:val="a0"/>
    <w:link w:val="SynopsisTextChar"/>
    <w:rsid w:val="0001176C"/>
    <w:pPr>
      <w:widowControl/>
      <w:spacing w:after="60" w:line="220" w:lineRule="exact"/>
      <w:ind w:left="72" w:right="72"/>
      <w:jc w:val="left"/>
    </w:pPr>
    <w:rPr>
      <w:rFonts w:ascii="Arial" w:hAnsi="Arial"/>
      <w:kern w:val="0"/>
      <w:sz w:val="20"/>
    </w:rPr>
  </w:style>
  <w:style w:type="character" w:customStyle="1" w:styleId="SynopsisTextChar">
    <w:name w:val="Synopsis Text Char"/>
    <w:link w:val="SynopsisText"/>
    <w:rsid w:val="0001176C"/>
    <w:rPr>
      <w:rFonts w:ascii="Arial" w:eastAsia="宋体" w:hAnsi="Arial" w:cs="Times New Roman"/>
      <w:kern w:val="0"/>
      <w:sz w:val="20"/>
      <w:szCs w:val="24"/>
    </w:rPr>
  </w:style>
  <w:style w:type="paragraph" w:styleId="a">
    <w:name w:val="List Bullet"/>
    <w:basedOn w:val="a0"/>
    <w:link w:val="ac"/>
    <w:rsid w:val="0001176C"/>
    <w:pPr>
      <w:widowControl/>
      <w:numPr>
        <w:numId w:val="4"/>
      </w:numPr>
      <w:spacing w:after="100" w:line="280" w:lineRule="atLeast"/>
      <w:jc w:val="left"/>
    </w:pPr>
    <w:rPr>
      <w:rFonts w:ascii="Arial" w:hAnsi="Arial"/>
      <w:kern w:val="0"/>
      <w:sz w:val="22"/>
    </w:rPr>
  </w:style>
  <w:style w:type="character" w:customStyle="1" w:styleId="ac">
    <w:name w:val="列表项目符号 字符"/>
    <w:link w:val="a"/>
    <w:rsid w:val="0001176C"/>
    <w:rPr>
      <w:rFonts w:ascii="Arial" w:eastAsia="宋体" w:hAnsi="Arial" w:cs="Times New Roman"/>
      <w:kern w:val="0"/>
      <w:sz w:val="22"/>
      <w:szCs w:val="24"/>
    </w:rPr>
  </w:style>
  <w:style w:type="paragraph" w:customStyle="1" w:styleId="SynopsisBullet">
    <w:name w:val="Synopsis Bullet"/>
    <w:basedOn w:val="a"/>
    <w:rsid w:val="0001176C"/>
    <w:pPr>
      <w:keepLines/>
      <w:numPr>
        <w:numId w:val="3"/>
      </w:numPr>
      <w:spacing w:after="80" w:line="220" w:lineRule="exact"/>
      <w:ind w:right="72"/>
    </w:pPr>
    <w:rPr>
      <w:sz w:val="20"/>
    </w:rPr>
  </w:style>
  <w:style w:type="paragraph" w:customStyle="1" w:styleId="SynopsisHead2">
    <w:name w:val="Synopsis Head 2"/>
    <w:basedOn w:val="a0"/>
    <w:next w:val="SynopsisText"/>
    <w:rsid w:val="0001176C"/>
    <w:pPr>
      <w:keepNext/>
      <w:keepLines/>
      <w:widowControl/>
      <w:spacing w:before="80" w:after="40" w:line="220" w:lineRule="exact"/>
      <w:ind w:left="72" w:right="72"/>
      <w:jc w:val="left"/>
    </w:pPr>
    <w:rPr>
      <w:rFonts w:ascii="Arial" w:hAnsi="Arial"/>
      <w:b/>
      <w:kern w:val="0"/>
      <w:sz w:val="20"/>
    </w:rPr>
  </w:style>
  <w:style w:type="paragraph" w:customStyle="1" w:styleId="31">
    <w:name w:val="列出段落3"/>
    <w:basedOn w:val="a0"/>
    <w:uiPriority w:val="34"/>
    <w:qFormat/>
    <w:rsid w:val="0001176C"/>
    <w:pPr>
      <w:ind w:firstLineChars="200" w:firstLine="420"/>
    </w:pPr>
    <w:rPr>
      <w:rFonts w:ascii="Calibri" w:hAnsi="Calibri"/>
      <w:sz w:val="24"/>
      <w:szCs w:val="22"/>
    </w:rPr>
  </w:style>
  <w:style w:type="paragraph" w:customStyle="1" w:styleId="ad">
    <w:name w:val="本报告正文"/>
    <w:basedOn w:val="a0"/>
    <w:link w:val="Char"/>
    <w:qFormat/>
    <w:rsid w:val="0001176C"/>
    <w:pPr>
      <w:spacing w:line="360" w:lineRule="auto"/>
      <w:ind w:firstLine="420"/>
    </w:pPr>
    <w:rPr>
      <w:sz w:val="24"/>
      <w:szCs w:val="22"/>
      <w:lang w:val="x-none" w:eastAsia="x-none"/>
    </w:rPr>
  </w:style>
  <w:style w:type="character" w:customStyle="1" w:styleId="Char">
    <w:name w:val="本报告正文 Char"/>
    <w:link w:val="ad"/>
    <w:rsid w:val="0001176C"/>
    <w:rPr>
      <w:rFonts w:ascii="Times New Roman" w:eastAsia="宋体" w:hAnsi="Times New Roman" w:cs="Times New Roman"/>
      <w:sz w:val="24"/>
      <w:lang w:val="x-none" w:eastAsia="x-none"/>
    </w:rPr>
  </w:style>
  <w:style w:type="table" w:customStyle="1" w:styleId="310">
    <w:name w:val="普通表格 31"/>
    <w:basedOn w:val="a2"/>
    <w:uiPriority w:val="43"/>
    <w:rsid w:val="0001176C"/>
    <w:rPr>
      <w:rFonts w:ascii="等线" w:eastAsia="等线" w:hAnsi="等线"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21">
    <w:name w:val="列出段落2"/>
    <w:basedOn w:val="a0"/>
    <w:link w:val="Char0"/>
    <w:uiPriority w:val="99"/>
    <w:qFormat/>
    <w:rsid w:val="0001176C"/>
    <w:pPr>
      <w:ind w:firstLineChars="200" w:firstLine="420"/>
    </w:pPr>
    <w:rPr>
      <w:rFonts w:ascii="Calibri" w:hAnsi="Calibri"/>
      <w:kern w:val="0"/>
      <w:sz w:val="20"/>
      <w:szCs w:val="20"/>
    </w:rPr>
  </w:style>
  <w:style w:type="character" w:customStyle="1" w:styleId="Char0">
    <w:name w:val="列出段落 Char"/>
    <w:link w:val="21"/>
    <w:uiPriority w:val="99"/>
    <w:qFormat/>
    <w:locked/>
    <w:rsid w:val="0001176C"/>
    <w:rPr>
      <w:rFonts w:ascii="Calibri" w:eastAsia="宋体" w:hAnsi="Calibri" w:cs="Times New Roman"/>
      <w:kern w:val="0"/>
      <w:sz w:val="20"/>
      <w:szCs w:val="20"/>
    </w:rPr>
  </w:style>
  <w:style w:type="paragraph" w:customStyle="1" w:styleId="TableCellLeft">
    <w:name w:val="Table Cell Left"/>
    <w:basedOn w:val="a0"/>
    <w:link w:val="TableCellLeftChar"/>
    <w:rsid w:val="0001176C"/>
    <w:pPr>
      <w:keepNext/>
      <w:keepLines/>
      <w:widowControl/>
      <w:spacing w:before="50" w:after="50" w:line="240" w:lineRule="exact"/>
      <w:jc w:val="left"/>
    </w:pPr>
    <w:rPr>
      <w:rFonts w:ascii="Arial" w:eastAsia="Times New Roman" w:hAnsi="Arial"/>
      <w:kern w:val="0"/>
      <w:sz w:val="20"/>
      <w:szCs w:val="20"/>
      <w:lang w:eastAsia="en-US"/>
    </w:rPr>
  </w:style>
  <w:style w:type="character" w:customStyle="1" w:styleId="TableCellLeftChar">
    <w:name w:val="Table Cell Left Char"/>
    <w:link w:val="TableCellLeft"/>
    <w:rsid w:val="0001176C"/>
    <w:rPr>
      <w:rFonts w:ascii="Arial" w:eastAsia="Times New Roman" w:hAnsi="Arial" w:cs="Times New Roman"/>
      <w:kern w:val="0"/>
      <w:sz w:val="20"/>
      <w:szCs w:val="20"/>
      <w:lang w:eastAsia="en-US"/>
    </w:rPr>
  </w:style>
  <w:style w:type="paragraph" w:customStyle="1" w:styleId="TableCellCenter">
    <w:name w:val="Table Cell Center"/>
    <w:basedOn w:val="a0"/>
    <w:link w:val="TableCellCenterChar"/>
    <w:rsid w:val="0001176C"/>
    <w:pPr>
      <w:keepNext/>
      <w:keepLines/>
      <w:widowControl/>
      <w:spacing w:before="50" w:after="50" w:line="240" w:lineRule="exact"/>
      <w:jc w:val="center"/>
    </w:pPr>
    <w:rPr>
      <w:rFonts w:ascii="Arial" w:eastAsia="Times New Roman" w:hAnsi="Arial"/>
      <w:kern w:val="0"/>
      <w:sz w:val="20"/>
      <w:szCs w:val="20"/>
      <w:lang w:eastAsia="en-US"/>
    </w:rPr>
  </w:style>
  <w:style w:type="character" w:customStyle="1" w:styleId="TableCellCenterChar">
    <w:name w:val="Table Cell Center Char"/>
    <w:link w:val="TableCellCenter"/>
    <w:rsid w:val="0001176C"/>
    <w:rPr>
      <w:rFonts w:ascii="Arial" w:eastAsia="Times New Roman" w:hAnsi="Arial" w:cs="Times New Roman"/>
      <w:kern w:val="0"/>
      <w:sz w:val="20"/>
      <w:szCs w:val="20"/>
      <w:lang w:eastAsia="en-US"/>
    </w:rPr>
  </w:style>
  <w:style w:type="paragraph" w:customStyle="1" w:styleId="A10">
    <w:name w:val="A1标准段落"/>
    <w:basedOn w:val="a0"/>
    <w:rsid w:val="0001176C"/>
    <w:pPr>
      <w:widowControl/>
      <w:autoSpaceDE w:val="0"/>
      <w:autoSpaceDN w:val="0"/>
      <w:adjustRightInd w:val="0"/>
      <w:spacing w:beforeLines="50" w:line="400" w:lineRule="exact"/>
      <w:ind w:firstLineChars="200" w:firstLine="200"/>
    </w:pPr>
    <w:rPr>
      <w:kern w:val="0"/>
      <w:sz w:val="24"/>
      <w:szCs w:val="21"/>
    </w:rPr>
  </w:style>
  <w:style w:type="paragraph" w:customStyle="1" w:styleId="A30">
    <w:name w:val="A3标准图表注"/>
    <w:basedOn w:val="a0"/>
    <w:rsid w:val="0001176C"/>
    <w:pPr>
      <w:widowControl/>
      <w:autoSpaceDE w:val="0"/>
      <w:autoSpaceDN w:val="0"/>
      <w:adjustRightInd w:val="0"/>
      <w:jc w:val="left"/>
    </w:pPr>
    <w:rPr>
      <w:kern w:val="0"/>
      <w:sz w:val="24"/>
      <w:szCs w:val="21"/>
    </w:rPr>
  </w:style>
  <w:style w:type="paragraph" w:customStyle="1" w:styleId="A20">
    <w:name w:val="A2标准表文"/>
    <w:basedOn w:val="a0"/>
    <w:rsid w:val="0001176C"/>
    <w:pPr>
      <w:widowControl/>
      <w:autoSpaceDE w:val="0"/>
      <w:autoSpaceDN w:val="0"/>
      <w:adjustRightInd w:val="0"/>
      <w:jc w:val="center"/>
    </w:pPr>
    <w:rPr>
      <w:kern w:val="0"/>
      <w:sz w:val="24"/>
      <w:szCs w:val="21"/>
    </w:rPr>
  </w:style>
  <w:style w:type="paragraph" w:styleId="TOC">
    <w:name w:val="TOC Heading"/>
    <w:basedOn w:val="1"/>
    <w:next w:val="a0"/>
    <w:uiPriority w:val="39"/>
    <w:unhideWhenUsed/>
    <w:qFormat/>
    <w:rsid w:val="0001176C"/>
    <w:pPr>
      <w:keepLines/>
      <w:widowControl/>
      <w:spacing w:beforeLines="0" w:before="240" w:after="0" w:line="259" w:lineRule="auto"/>
      <w:outlineLvl w:val="9"/>
    </w:pPr>
    <w:rPr>
      <w:rFonts w:ascii="等线 Light" w:eastAsia="等线 Light" w:hAnsi="等线 Light"/>
      <w:b w:val="0"/>
      <w:bCs w:val="0"/>
      <w:color w:val="2F5496"/>
      <w:kern w:val="0"/>
      <w:sz w:val="32"/>
      <w:szCs w:val="32"/>
      <w:lang w:val="en-US" w:eastAsia="zh-CN"/>
    </w:rPr>
  </w:style>
  <w:style w:type="paragraph" w:styleId="TOC1">
    <w:name w:val="toc 1"/>
    <w:basedOn w:val="a0"/>
    <w:next w:val="a0"/>
    <w:autoRedefine/>
    <w:uiPriority w:val="39"/>
    <w:unhideWhenUsed/>
    <w:qFormat/>
    <w:rsid w:val="00AE7E63"/>
    <w:pPr>
      <w:spacing w:beforeLines="50" w:before="50"/>
    </w:pPr>
    <w:rPr>
      <w:b/>
      <w:sz w:val="20"/>
    </w:rPr>
  </w:style>
  <w:style w:type="paragraph" w:styleId="TOC2">
    <w:name w:val="toc 2"/>
    <w:basedOn w:val="a0"/>
    <w:next w:val="a0"/>
    <w:autoRedefine/>
    <w:uiPriority w:val="39"/>
    <w:unhideWhenUsed/>
    <w:qFormat/>
    <w:rsid w:val="00227FC4"/>
    <w:pPr>
      <w:ind w:leftChars="200" w:left="420"/>
    </w:pPr>
    <w:rPr>
      <w:sz w:val="20"/>
    </w:rPr>
  </w:style>
  <w:style w:type="paragraph" w:styleId="TOC3">
    <w:name w:val="toc 3"/>
    <w:basedOn w:val="a0"/>
    <w:next w:val="a0"/>
    <w:autoRedefine/>
    <w:uiPriority w:val="39"/>
    <w:unhideWhenUsed/>
    <w:qFormat/>
    <w:rsid w:val="00AE7E63"/>
    <w:pPr>
      <w:ind w:leftChars="400" w:left="400"/>
    </w:pPr>
    <w:rPr>
      <w:sz w:val="20"/>
    </w:rPr>
  </w:style>
  <w:style w:type="paragraph" w:styleId="TOC4">
    <w:name w:val="toc 4"/>
    <w:basedOn w:val="a0"/>
    <w:next w:val="a0"/>
    <w:autoRedefine/>
    <w:uiPriority w:val="39"/>
    <w:unhideWhenUsed/>
    <w:rsid w:val="0001176C"/>
    <w:pPr>
      <w:ind w:leftChars="600" w:left="1260"/>
    </w:pPr>
    <w:rPr>
      <w:rFonts w:ascii="等线" w:eastAsia="等线" w:hAnsi="等线"/>
      <w:szCs w:val="22"/>
    </w:rPr>
  </w:style>
  <w:style w:type="paragraph" w:styleId="TOC5">
    <w:name w:val="toc 5"/>
    <w:basedOn w:val="a0"/>
    <w:next w:val="a0"/>
    <w:autoRedefine/>
    <w:uiPriority w:val="39"/>
    <w:unhideWhenUsed/>
    <w:rsid w:val="0001176C"/>
    <w:pPr>
      <w:ind w:leftChars="800" w:left="1680"/>
    </w:pPr>
    <w:rPr>
      <w:rFonts w:ascii="等线" w:eastAsia="等线" w:hAnsi="等线"/>
      <w:szCs w:val="22"/>
    </w:rPr>
  </w:style>
  <w:style w:type="paragraph" w:styleId="TOC6">
    <w:name w:val="toc 6"/>
    <w:basedOn w:val="a0"/>
    <w:next w:val="a0"/>
    <w:autoRedefine/>
    <w:uiPriority w:val="39"/>
    <w:unhideWhenUsed/>
    <w:rsid w:val="0001176C"/>
    <w:pPr>
      <w:ind w:leftChars="1000" w:left="2100"/>
    </w:pPr>
    <w:rPr>
      <w:rFonts w:ascii="等线" w:eastAsia="等线" w:hAnsi="等线"/>
      <w:szCs w:val="22"/>
    </w:rPr>
  </w:style>
  <w:style w:type="paragraph" w:styleId="TOC7">
    <w:name w:val="toc 7"/>
    <w:basedOn w:val="a0"/>
    <w:next w:val="a0"/>
    <w:autoRedefine/>
    <w:uiPriority w:val="39"/>
    <w:unhideWhenUsed/>
    <w:rsid w:val="0001176C"/>
    <w:pPr>
      <w:ind w:leftChars="1200" w:left="2520"/>
    </w:pPr>
    <w:rPr>
      <w:rFonts w:ascii="等线" w:eastAsia="等线" w:hAnsi="等线"/>
      <w:szCs w:val="22"/>
    </w:rPr>
  </w:style>
  <w:style w:type="paragraph" w:styleId="TOC8">
    <w:name w:val="toc 8"/>
    <w:basedOn w:val="a0"/>
    <w:next w:val="a0"/>
    <w:autoRedefine/>
    <w:uiPriority w:val="39"/>
    <w:unhideWhenUsed/>
    <w:rsid w:val="0001176C"/>
    <w:pPr>
      <w:ind w:leftChars="1400" w:left="2940"/>
    </w:pPr>
    <w:rPr>
      <w:rFonts w:ascii="等线" w:eastAsia="等线" w:hAnsi="等线"/>
      <w:szCs w:val="22"/>
    </w:rPr>
  </w:style>
  <w:style w:type="paragraph" w:styleId="TOC9">
    <w:name w:val="toc 9"/>
    <w:basedOn w:val="a0"/>
    <w:next w:val="a0"/>
    <w:autoRedefine/>
    <w:uiPriority w:val="39"/>
    <w:unhideWhenUsed/>
    <w:rsid w:val="0001176C"/>
    <w:pPr>
      <w:ind w:leftChars="1600" w:left="3360"/>
    </w:pPr>
    <w:rPr>
      <w:rFonts w:ascii="等线" w:eastAsia="等线" w:hAnsi="等线"/>
      <w:szCs w:val="22"/>
    </w:rPr>
  </w:style>
  <w:style w:type="character" w:styleId="ae">
    <w:name w:val="Hyperlink"/>
    <w:uiPriority w:val="99"/>
    <w:unhideWhenUsed/>
    <w:qFormat/>
    <w:rsid w:val="004F7984"/>
    <w:rPr>
      <w:color w:val="0230C4"/>
      <w:u w:val="single"/>
    </w:rPr>
  </w:style>
  <w:style w:type="character" w:styleId="af">
    <w:name w:val="Unresolved Mention"/>
    <w:uiPriority w:val="99"/>
    <w:semiHidden/>
    <w:unhideWhenUsed/>
    <w:rsid w:val="0001176C"/>
    <w:rPr>
      <w:color w:val="605E5C"/>
      <w:shd w:val="clear" w:color="auto" w:fill="E1DFDD"/>
    </w:rPr>
  </w:style>
  <w:style w:type="character" w:styleId="af0">
    <w:name w:val="Strong"/>
    <w:qFormat/>
    <w:rsid w:val="0001176C"/>
    <w:rPr>
      <w:b/>
      <w:bCs/>
    </w:rPr>
  </w:style>
  <w:style w:type="paragraph" w:styleId="af1">
    <w:name w:val="Balloon Text"/>
    <w:basedOn w:val="a0"/>
    <w:link w:val="af2"/>
    <w:uiPriority w:val="99"/>
    <w:semiHidden/>
    <w:unhideWhenUsed/>
    <w:rsid w:val="0001176C"/>
    <w:rPr>
      <w:sz w:val="18"/>
      <w:szCs w:val="18"/>
    </w:rPr>
  </w:style>
  <w:style w:type="character" w:customStyle="1" w:styleId="af2">
    <w:name w:val="批注框文本 字符"/>
    <w:link w:val="af1"/>
    <w:uiPriority w:val="99"/>
    <w:semiHidden/>
    <w:rsid w:val="0001176C"/>
    <w:rPr>
      <w:rFonts w:ascii="Times New Roman" w:eastAsia="宋体" w:hAnsi="Times New Roman" w:cs="Times New Roman"/>
      <w:sz w:val="18"/>
      <w:szCs w:val="18"/>
    </w:rPr>
  </w:style>
  <w:style w:type="paragraph" w:styleId="af3">
    <w:name w:val="Revision"/>
    <w:hidden/>
    <w:uiPriority w:val="99"/>
    <w:semiHidden/>
    <w:rsid w:val="0001176C"/>
    <w:rPr>
      <w:rFonts w:ascii="Times New Roman" w:eastAsia="宋体" w:hAnsi="Times New Roman" w:cs="Times New Roman"/>
      <w:szCs w:val="24"/>
    </w:rPr>
  </w:style>
  <w:style w:type="paragraph" w:styleId="af4">
    <w:name w:val="Date"/>
    <w:basedOn w:val="a0"/>
    <w:next w:val="a0"/>
    <w:link w:val="af5"/>
    <w:uiPriority w:val="99"/>
    <w:semiHidden/>
    <w:unhideWhenUsed/>
    <w:rsid w:val="0001176C"/>
    <w:pPr>
      <w:ind w:leftChars="2500" w:left="100"/>
    </w:pPr>
  </w:style>
  <w:style w:type="character" w:customStyle="1" w:styleId="af5">
    <w:name w:val="日期 字符"/>
    <w:link w:val="af4"/>
    <w:uiPriority w:val="99"/>
    <w:semiHidden/>
    <w:rsid w:val="0001176C"/>
    <w:rPr>
      <w:rFonts w:ascii="Times New Roman" w:eastAsia="宋体" w:hAnsi="Times New Roman" w:cs="Times New Roman"/>
      <w:szCs w:val="24"/>
    </w:rPr>
  </w:style>
  <w:style w:type="character" w:customStyle="1" w:styleId="st">
    <w:name w:val="st"/>
    <w:rsid w:val="0001176C"/>
  </w:style>
  <w:style w:type="paragraph" w:customStyle="1" w:styleId="TableCell">
    <w:name w:val="Table_Cell"/>
    <w:basedOn w:val="a0"/>
    <w:rsid w:val="0001176C"/>
    <w:pPr>
      <w:keepNext/>
      <w:keepLines/>
      <w:widowControl/>
      <w:ind w:firstLine="340"/>
      <w:jc w:val="left"/>
    </w:pPr>
    <w:rPr>
      <w:rFonts w:cs="Arial"/>
      <w:kern w:val="0"/>
      <w:sz w:val="24"/>
      <w:szCs w:val="20"/>
    </w:rPr>
  </w:style>
  <w:style w:type="paragraph" w:customStyle="1" w:styleId="EndNoteBibliographyTitle">
    <w:name w:val="EndNote Bibliography Title"/>
    <w:basedOn w:val="a0"/>
    <w:link w:val="EndNoteBibliographyTitle0"/>
    <w:rsid w:val="0001176C"/>
    <w:pPr>
      <w:jc w:val="center"/>
    </w:pPr>
    <w:rPr>
      <w:noProof/>
      <w:sz w:val="20"/>
    </w:rPr>
  </w:style>
  <w:style w:type="character" w:customStyle="1" w:styleId="EndNoteBibliographyTitle0">
    <w:name w:val="EndNote Bibliography Title 字符"/>
    <w:link w:val="EndNoteBibliographyTitle"/>
    <w:rsid w:val="0001176C"/>
    <w:rPr>
      <w:rFonts w:ascii="Times New Roman" w:eastAsia="宋体" w:hAnsi="Times New Roman" w:cs="Times New Roman"/>
      <w:noProof/>
      <w:sz w:val="20"/>
      <w:szCs w:val="24"/>
    </w:rPr>
  </w:style>
  <w:style w:type="paragraph" w:customStyle="1" w:styleId="EndNoteBibliography">
    <w:name w:val="EndNote Bibliography"/>
    <w:basedOn w:val="a0"/>
    <w:link w:val="EndNoteBibliography0"/>
    <w:rsid w:val="0001176C"/>
    <w:pPr>
      <w:jc w:val="left"/>
    </w:pPr>
    <w:rPr>
      <w:noProof/>
      <w:sz w:val="20"/>
    </w:rPr>
  </w:style>
  <w:style w:type="character" w:customStyle="1" w:styleId="EndNoteBibliography0">
    <w:name w:val="EndNote Bibliography 字符"/>
    <w:link w:val="EndNoteBibliography"/>
    <w:rsid w:val="0001176C"/>
    <w:rPr>
      <w:rFonts w:ascii="Times New Roman" w:eastAsia="宋体" w:hAnsi="Times New Roman" w:cs="Times New Roman"/>
      <w:noProof/>
      <w:sz w:val="20"/>
      <w:szCs w:val="24"/>
    </w:rPr>
  </w:style>
  <w:style w:type="character" w:styleId="af6">
    <w:name w:val="FollowedHyperlink"/>
    <w:basedOn w:val="a1"/>
    <w:uiPriority w:val="99"/>
    <w:semiHidden/>
    <w:unhideWhenUsed/>
    <w:rsid w:val="004F7984"/>
    <w:rPr>
      <w:color w:val="0230C4" w:themeColor="followedHyperlink"/>
      <w:u w:val="single"/>
    </w:rPr>
  </w:style>
  <w:style w:type="character" w:styleId="af7">
    <w:name w:val="annotation reference"/>
    <w:basedOn w:val="a1"/>
    <w:uiPriority w:val="99"/>
    <w:semiHidden/>
    <w:unhideWhenUsed/>
    <w:rsid w:val="00450EC5"/>
    <w:rPr>
      <w:sz w:val="21"/>
      <w:szCs w:val="21"/>
    </w:rPr>
  </w:style>
  <w:style w:type="paragraph" w:styleId="af8">
    <w:name w:val="annotation text"/>
    <w:basedOn w:val="a0"/>
    <w:link w:val="af9"/>
    <w:uiPriority w:val="99"/>
    <w:unhideWhenUsed/>
    <w:rsid w:val="00450EC5"/>
    <w:pPr>
      <w:jc w:val="left"/>
    </w:pPr>
  </w:style>
  <w:style w:type="character" w:customStyle="1" w:styleId="af9">
    <w:name w:val="批注文字 字符"/>
    <w:basedOn w:val="a1"/>
    <w:link w:val="af8"/>
    <w:uiPriority w:val="99"/>
    <w:rsid w:val="00450EC5"/>
    <w:rPr>
      <w:rFonts w:ascii="Times New Roman" w:eastAsia="宋体" w:hAnsi="Times New Roman" w:cs="Times New Roman"/>
      <w:szCs w:val="24"/>
    </w:rPr>
  </w:style>
  <w:style w:type="paragraph" w:styleId="afa">
    <w:name w:val="annotation subject"/>
    <w:basedOn w:val="af8"/>
    <w:next w:val="af8"/>
    <w:link w:val="afb"/>
    <w:uiPriority w:val="99"/>
    <w:semiHidden/>
    <w:unhideWhenUsed/>
    <w:rsid w:val="00450EC5"/>
    <w:rPr>
      <w:b/>
      <w:bCs/>
    </w:rPr>
  </w:style>
  <w:style w:type="character" w:customStyle="1" w:styleId="afb">
    <w:name w:val="批注主题 字符"/>
    <w:basedOn w:val="af9"/>
    <w:link w:val="afa"/>
    <w:uiPriority w:val="99"/>
    <w:semiHidden/>
    <w:rsid w:val="00450EC5"/>
    <w:rPr>
      <w:rFonts w:ascii="Times New Roman" w:eastAsia="宋体" w:hAnsi="Times New Roman" w:cs="Times New Roman"/>
      <w:b/>
      <w:bCs/>
      <w:szCs w:val="24"/>
    </w:rPr>
  </w:style>
  <w:style w:type="character" w:customStyle="1" w:styleId="fontstyle21">
    <w:name w:val="fontstyle21"/>
    <w:rsid w:val="00500E24"/>
    <w:rPr>
      <w:rFonts w:ascii="AdvP7B6C" w:hAnsi="AdvP7B6C" w:hint="default"/>
      <w:b w:val="0"/>
      <w:bCs w:val="0"/>
      <w:i w:val="0"/>
      <w:iCs w:val="0"/>
      <w:color w:val="000000"/>
      <w:sz w:val="20"/>
      <w:szCs w:val="20"/>
    </w:rPr>
  </w:style>
  <w:style w:type="character" w:customStyle="1" w:styleId="fontstyle01">
    <w:name w:val="fontstyle01"/>
    <w:basedOn w:val="a1"/>
    <w:rsid w:val="00B61980"/>
    <w:rPr>
      <w:rFonts w:ascii="Times-Roman" w:hAnsi="Times-Roman" w:hint="default"/>
      <w:b w:val="0"/>
      <w:bCs w:val="0"/>
      <w:i w:val="0"/>
      <w:iCs w:val="0"/>
      <w:color w:val="000000"/>
      <w:sz w:val="18"/>
      <w:szCs w:val="18"/>
    </w:rPr>
  </w:style>
  <w:style w:type="paragraph" w:customStyle="1" w:styleId="TableColumnHead">
    <w:name w:val="Table Column Head"/>
    <w:basedOn w:val="a0"/>
    <w:next w:val="a0"/>
    <w:rsid w:val="009C1345"/>
    <w:pPr>
      <w:keepNext/>
      <w:keepLines/>
      <w:spacing w:before="40" w:after="20"/>
      <w:jc w:val="center"/>
    </w:pPr>
    <w:rPr>
      <w:rFonts w:eastAsiaTheme="minorEastAsia"/>
      <w:b/>
      <w:kern w:val="0"/>
      <w:sz w:val="20"/>
      <w:szCs w:val="20"/>
    </w:rPr>
  </w:style>
  <w:style w:type="paragraph" w:customStyle="1" w:styleId="TableTextLeft">
    <w:name w:val="Table Text Left"/>
    <w:basedOn w:val="a0"/>
    <w:rsid w:val="009C1345"/>
    <w:pPr>
      <w:keepNext/>
      <w:widowControl/>
      <w:spacing w:before="50" w:after="50"/>
      <w:jc w:val="left"/>
    </w:pPr>
    <w:rPr>
      <w:rFonts w:eastAsiaTheme="minorEastAsia"/>
      <w:kern w:val="0"/>
      <w:sz w:val="20"/>
    </w:rPr>
  </w:style>
  <w:style w:type="paragraph" w:customStyle="1" w:styleId="C-BodyText">
    <w:name w:val="C-Body Text"/>
    <w:link w:val="C-BodyTextChar"/>
    <w:rsid w:val="000A6A6F"/>
    <w:pPr>
      <w:spacing w:before="120" w:after="120" w:line="280" w:lineRule="atLeast"/>
    </w:pPr>
    <w:rPr>
      <w:rFonts w:ascii="Times New Roman" w:eastAsia="Times New Roman" w:hAnsi="Times New Roman" w:cs="Times New Roman"/>
      <w:kern w:val="0"/>
      <w:sz w:val="24"/>
      <w:szCs w:val="20"/>
      <w:lang w:eastAsia="en-US"/>
    </w:rPr>
  </w:style>
  <w:style w:type="character" w:customStyle="1" w:styleId="C-BodyTextChar">
    <w:name w:val="C-Body Text Char"/>
    <w:link w:val="C-BodyText"/>
    <w:rsid w:val="000A6A6F"/>
    <w:rPr>
      <w:rFonts w:ascii="Times New Roman" w:eastAsia="Times New Roman" w:hAnsi="Times New Roman" w:cs="Times New Roman"/>
      <w:kern w:val="0"/>
      <w:sz w:val="24"/>
      <w:szCs w:val="20"/>
      <w:lang w:eastAsia="en-US"/>
    </w:rPr>
  </w:style>
  <w:style w:type="paragraph" w:customStyle="1" w:styleId="tgt">
    <w:name w:val="_tgt"/>
    <w:basedOn w:val="a0"/>
    <w:rsid w:val="0080109F"/>
    <w:pPr>
      <w:widowControl/>
      <w:spacing w:before="100" w:beforeAutospacing="1" w:after="100" w:afterAutospacing="1"/>
      <w:jc w:val="left"/>
    </w:pPr>
    <w:rPr>
      <w:rFonts w:ascii="宋体" w:hAnsi="宋体" w:cs="宋体"/>
      <w:kern w:val="0"/>
      <w:sz w:val="24"/>
    </w:rPr>
  </w:style>
  <w:style w:type="character" w:customStyle="1" w:styleId="transsent">
    <w:name w:val="transsent"/>
    <w:basedOn w:val="a1"/>
    <w:rsid w:val="0080109F"/>
  </w:style>
  <w:style w:type="paragraph" w:styleId="afc">
    <w:name w:val="Plain Text"/>
    <w:basedOn w:val="a0"/>
    <w:link w:val="afd"/>
    <w:rsid w:val="00AF68C9"/>
    <w:pPr>
      <w:widowControl/>
      <w:jc w:val="left"/>
    </w:pPr>
    <w:rPr>
      <w:rFonts w:ascii="Courier" w:hAnsi="Courier"/>
      <w:kern w:val="0"/>
      <w:sz w:val="24"/>
      <w:szCs w:val="20"/>
      <w:lang w:val="en-GB"/>
    </w:rPr>
  </w:style>
  <w:style w:type="character" w:customStyle="1" w:styleId="afd">
    <w:name w:val="纯文本 字符"/>
    <w:basedOn w:val="a1"/>
    <w:link w:val="afc"/>
    <w:rsid w:val="00AF68C9"/>
    <w:rPr>
      <w:rFonts w:ascii="Courier" w:eastAsia="宋体" w:hAnsi="Courier" w:cs="Times New Roman"/>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341212">
      <w:bodyDiv w:val="1"/>
      <w:marLeft w:val="0"/>
      <w:marRight w:val="0"/>
      <w:marTop w:val="0"/>
      <w:marBottom w:val="0"/>
      <w:divBdr>
        <w:top w:val="none" w:sz="0" w:space="0" w:color="auto"/>
        <w:left w:val="none" w:sz="0" w:space="0" w:color="auto"/>
        <w:bottom w:val="none" w:sz="0" w:space="0" w:color="auto"/>
        <w:right w:val="none" w:sz="0" w:space="0" w:color="auto"/>
      </w:divBdr>
      <w:divsChild>
        <w:div w:id="192500718">
          <w:marLeft w:val="1440"/>
          <w:marRight w:val="0"/>
          <w:marTop w:val="0"/>
          <w:marBottom w:val="0"/>
          <w:divBdr>
            <w:top w:val="none" w:sz="0" w:space="0" w:color="auto"/>
            <w:left w:val="none" w:sz="0" w:space="0" w:color="auto"/>
            <w:bottom w:val="none" w:sz="0" w:space="0" w:color="auto"/>
            <w:right w:val="none" w:sz="0" w:space="0" w:color="auto"/>
          </w:divBdr>
        </w:div>
        <w:div w:id="1047871711">
          <w:marLeft w:val="1440"/>
          <w:marRight w:val="0"/>
          <w:marTop w:val="0"/>
          <w:marBottom w:val="0"/>
          <w:divBdr>
            <w:top w:val="none" w:sz="0" w:space="0" w:color="auto"/>
            <w:left w:val="none" w:sz="0" w:space="0" w:color="auto"/>
            <w:bottom w:val="none" w:sz="0" w:space="0" w:color="auto"/>
            <w:right w:val="none" w:sz="0" w:space="0" w:color="auto"/>
          </w:divBdr>
        </w:div>
        <w:div w:id="1105610867">
          <w:marLeft w:val="1440"/>
          <w:marRight w:val="0"/>
          <w:marTop w:val="0"/>
          <w:marBottom w:val="0"/>
          <w:divBdr>
            <w:top w:val="none" w:sz="0" w:space="0" w:color="auto"/>
            <w:left w:val="none" w:sz="0" w:space="0" w:color="auto"/>
            <w:bottom w:val="none" w:sz="0" w:space="0" w:color="auto"/>
            <w:right w:val="none" w:sz="0" w:space="0" w:color="auto"/>
          </w:divBdr>
        </w:div>
        <w:div w:id="1539392867">
          <w:marLeft w:val="1440"/>
          <w:marRight w:val="0"/>
          <w:marTop w:val="0"/>
          <w:marBottom w:val="0"/>
          <w:divBdr>
            <w:top w:val="none" w:sz="0" w:space="0" w:color="auto"/>
            <w:left w:val="none" w:sz="0" w:space="0" w:color="auto"/>
            <w:bottom w:val="none" w:sz="0" w:space="0" w:color="auto"/>
            <w:right w:val="none" w:sz="0" w:space="0" w:color="auto"/>
          </w:divBdr>
        </w:div>
      </w:divsChild>
    </w:div>
    <w:div w:id="1360623673">
      <w:bodyDiv w:val="1"/>
      <w:marLeft w:val="0"/>
      <w:marRight w:val="0"/>
      <w:marTop w:val="0"/>
      <w:marBottom w:val="0"/>
      <w:divBdr>
        <w:top w:val="none" w:sz="0" w:space="0" w:color="auto"/>
        <w:left w:val="none" w:sz="0" w:space="0" w:color="auto"/>
        <w:bottom w:val="none" w:sz="0" w:space="0" w:color="auto"/>
        <w:right w:val="none" w:sz="0" w:space="0" w:color="auto"/>
      </w:divBdr>
      <w:divsChild>
        <w:div w:id="621233687">
          <w:marLeft w:val="1166"/>
          <w:marRight w:val="72"/>
          <w:marTop w:val="0"/>
          <w:marBottom w:val="0"/>
          <w:divBdr>
            <w:top w:val="none" w:sz="0" w:space="0" w:color="auto"/>
            <w:left w:val="none" w:sz="0" w:space="0" w:color="auto"/>
            <w:bottom w:val="none" w:sz="0" w:space="0" w:color="auto"/>
            <w:right w:val="none" w:sz="0" w:space="0" w:color="auto"/>
          </w:divBdr>
        </w:div>
        <w:div w:id="730083319">
          <w:marLeft w:val="1166"/>
          <w:marRight w:val="72"/>
          <w:marTop w:val="0"/>
          <w:marBottom w:val="0"/>
          <w:divBdr>
            <w:top w:val="none" w:sz="0" w:space="0" w:color="auto"/>
            <w:left w:val="none" w:sz="0" w:space="0" w:color="auto"/>
            <w:bottom w:val="none" w:sz="0" w:space="0" w:color="auto"/>
            <w:right w:val="none" w:sz="0" w:space="0" w:color="auto"/>
          </w:divBdr>
        </w:div>
        <w:div w:id="845096004">
          <w:marLeft w:val="1166"/>
          <w:marRight w:val="72"/>
          <w:marTop w:val="0"/>
          <w:marBottom w:val="0"/>
          <w:divBdr>
            <w:top w:val="none" w:sz="0" w:space="0" w:color="auto"/>
            <w:left w:val="none" w:sz="0" w:space="0" w:color="auto"/>
            <w:bottom w:val="none" w:sz="0" w:space="0" w:color="auto"/>
            <w:right w:val="none" w:sz="0" w:space="0" w:color="auto"/>
          </w:divBdr>
        </w:div>
        <w:div w:id="1576403943">
          <w:marLeft w:val="1166"/>
          <w:marRight w:val="72"/>
          <w:marTop w:val="0"/>
          <w:marBottom w:val="0"/>
          <w:divBdr>
            <w:top w:val="none" w:sz="0" w:space="0" w:color="auto"/>
            <w:left w:val="none" w:sz="0" w:space="0" w:color="auto"/>
            <w:bottom w:val="none" w:sz="0" w:space="0" w:color="auto"/>
            <w:right w:val="none" w:sz="0" w:space="0" w:color="auto"/>
          </w:divBdr>
        </w:div>
      </w:divsChild>
    </w:div>
    <w:div w:id="15521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accessdata.fda.gov/drugsatfda_docs/nda/2014/205552Orig2s000Pharm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cessdata.fda.gov/drugsatfda_docs/nda/2014/205552Orig2s000PharmR.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自定义 4">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230C4"/>
      </a:hlink>
      <a:folHlink>
        <a:srgbClr val="0230C4"/>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8A6C7610268E4F85A70EA96C7332D4" ma:contentTypeVersion="4" ma:contentTypeDescription="Create a new document." ma:contentTypeScope="" ma:versionID="153adc802fe8d6de7bc784aa1ed119ca">
  <xsd:schema xmlns:xsd="http://www.w3.org/2001/XMLSchema" xmlns:xs="http://www.w3.org/2001/XMLSchema" xmlns:p="http://schemas.microsoft.com/office/2006/metadata/properties" xmlns:ns2="9f5a3a86-2785-4e48-961c-4e88948e2580" xmlns:ns3="da3639af-b6dd-4bd6-a862-ac073331bb00" targetNamespace="http://schemas.microsoft.com/office/2006/metadata/properties" ma:root="true" ma:fieldsID="5d9cc25e00e056b64c0bbbc3d5e83f41" ns2:_="" ns3:_="">
    <xsd:import namespace="9f5a3a86-2785-4e48-961c-4e88948e2580"/>
    <xsd:import namespace="da3639af-b6dd-4bd6-a862-ac073331bb00"/>
    <xsd:element name="properties">
      <xsd:complexType>
        <xsd:sequence>
          <xsd:element name="documentManagement">
            <xsd:complexType>
              <xsd:all>
                <xsd:element ref="ns2:SharedWithUsers" minOccurs="0"/>
                <xsd:element ref="ns2:SharedWithDetail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a3a86-2785-4e48-961c-4e88948e2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639af-b6dd-4bd6-a862-ac073331bb00" elementFormDefault="qualified">
    <xsd:import namespace="http://schemas.microsoft.com/office/2006/documentManagement/types"/>
    <xsd:import namespace="http://schemas.microsoft.com/office/infopath/2007/PartnerControls"/>
    <xsd:element name="Comment" ma:index="10"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da3639af-b6dd-4bd6-a862-ac073331bb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5371F-EFE6-461C-B152-782FDDA313AC}">
  <ds:schemaRefs>
    <ds:schemaRef ds:uri="http://schemas.openxmlformats.org/officeDocument/2006/bibliography"/>
  </ds:schemaRefs>
</ds:datastoreItem>
</file>

<file path=customXml/itemProps2.xml><?xml version="1.0" encoding="utf-8"?>
<ds:datastoreItem xmlns:ds="http://schemas.openxmlformats.org/officeDocument/2006/customXml" ds:itemID="{AFFEAF4F-CB12-4FC5-A61C-397AE9FBE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a3a86-2785-4e48-961c-4e88948e2580"/>
    <ds:schemaRef ds:uri="da3639af-b6dd-4bd6-a862-ac073331b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CCC4A-F72A-49E9-BB10-5C676E8DE00B}">
  <ds:schemaRefs>
    <ds:schemaRef ds:uri="http://schemas.microsoft.com/office/2006/metadata/properties"/>
    <ds:schemaRef ds:uri="http://schemas.microsoft.com/office/infopath/2007/PartnerControls"/>
    <ds:schemaRef ds:uri="da3639af-b6dd-4bd6-a862-ac073331bb00"/>
  </ds:schemaRefs>
</ds:datastoreItem>
</file>

<file path=customXml/itemProps4.xml><?xml version="1.0" encoding="utf-8"?>
<ds:datastoreItem xmlns:ds="http://schemas.openxmlformats.org/officeDocument/2006/customXml" ds:itemID="{B994A6BC-2212-429D-9486-C44299B141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22958</Words>
  <Characters>130867</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Yuanyuan Zhou</dc:creator>
  <cp:keywords/>
  <dc:description/>
  <cp:lastModifiedBy>394561891@qq.com</cp:lastModifiedBy>
  <cp:revision>6</cp:revision>
  <cp:lastPrinted>2020-12-31T05:08:00Z</cp:lastPrinted>
  <dcterms:created xsi:type="dcterms:W3CDTF">2024-11-14T17:51:00Z</dcterms:created>
  <dcterms:modified xsi:type="dcterms:W3CDTF">2025-03-01T08:02:00Z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0x010100278A6C7610268E4F85A70EA96C7332D4</vt:lpwstr>
  </property>
</Properties>
</file>