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6E1" w:rsidRPr="006F0C06" w:rsidRDefault="00D3094D" w:rsidP="002C4EFD">
      <w:pPr>
        <w:rPr>
          <w:rFonts w:asciiTheme="majorBidi" w:hAnsiTheme="majorBidi" w:cstheme="majorBidi"/>
          <w:sz w:val="24"/>
          <w:szCs w:val="24"/>
          <w:lang w:bidi="fa-IR"/>
        </w:rPr>
      </w:pPr>
      <w:r w:rsidRPr="002C4EFD">
        <w:rPr>
          <w:rFonts w:asciiTheme="majorBidi" w:hAnsiTheme="majorBidi" w:cstheme="majorBidi"/>
          <w:b/>
          <w:bCs/>
          <w:sz w:val="24"/>
          <w:szCs w:val="24"/>
          <w:lang w:bidi="fa-IR"/>
        </w:rPr>
        <w:t xml:space="preserve">Supplementary </w:t>
      </w:r>
      <w:r w:rsidR="00A30B21" w:rsidRPr="002C4EFD">
        <w:rPr>
          <w:rFonts w:asciiTheme="majorBidi" w:hAnsiTheme="majorBidi" w:cstheme="majorBidi"/>
          <w:b/>
          <w:bCs/>
          <w:sz w:val="24"/>
          <w:szCs w:val="24"/>
          <w:lang w:bidi="fa-IR"/>
        </w:rPr>
        <w:t>files</w:t>
      </w:r>
      <w:r w:rsidR="00A456E1" w:rsidRPr="006F0C06">
        <w:rPr>
          <w:rFonts w:asciiTheme="majorBidi" w:hAnsiTheme="majorBidi" w:cstheme="majorBidi"/>
          <w:sz w:val="24"/>
          <w:szCs w:val="24"/>
          <w:lang w:bidi="fa-IR"/>
        </w:rPr>
        <w:br/>
      </w:r>
      <w:r w:rsidR="00A456E1" w:rsidRPr="006F0C06">
        <w:rPr>
          <w:rFonts w:asciiTheme="majorBidi" w:hAnsiTheme="majorBidi" w:cstheme="majorBidi"/>
          <w:sz w:val="24"/>
          <w:szCs w:val="24"/>
          <w:lang w:bidi="fa-IR"/>
        </w:rPr>
        <w:br/>
      </w:r>
      <w:r w:rsidR="00A456E1" w:rsidRPr="006F0C06">
        <w:rPr>
          <w:rFonts w:asciiTheme="majorBidi" w:hAnsiTheme="majorBidi" w:cstheme="majorBidi"/>
          <w:b/>
          <w:bCs/>
          <w:sz w:val="24"/>
          <w:szCs w:val="24"/>
          <w:lang w:bidi="fa-IR"/>
        </w:rPr>
        <w:t xml:space="preserve">Overview of the </w:t>
      </w:r>
      <w:proofErr w:type="spellStart"/>
      <w:r w:rsidR="00A456E1" w:rsidRPr="006F0C06">
        <w:rPr>
          <w:rFonts w:asciiTheme="majorBidi" w:hAnsiTheme="majorBidi" w:cstheme="majorBidi"/>
          <w:b/>
          <w:bCs/>
          <w:sz w:val="24"/>
          <w:szCs w:val="24"/>
          <w:lang w:bidi="fa-IR"/>
        </w:rPr>
        <w:t>Microstrip</w:t>
      </w:r>
      <w:proofErr w:type="spellEnd"/>
      <w:r w:rsidR="00A456E1" w:rsidRPr="006F0C06">
        <w:rPr>
          <w:rFonts w:asciiTheme="majorBidi" w:hAnsiTheme="majorBidi" w:cstheme="majorBidi"/>
          <w:b/>
          <w:bCs/>
          <w:sz w:val="24"/>
          <w:szCs w:val="24"/>
          <w:lang w:bidi="fa-IR"/>
        </w:rPr>
        <w:t xml:space="preserve"> Structure and Printing Setup</w:t>
      </w:r>
    </w:p>
    <w:p w:rsidR="005B3137" w:rsidRPr="006F0C06" w:rsidRDefault="00A456E1" w:rsidP="002C4EFD">
      <w:pPr>
        <w:spacing w:line="480" w:lineRule="auto"/>
        <w:jc w:val="both"/>
        <w:rPr>
          <w:rFonts w:asciiTheme="majorBidi" w:hAnsiTheme="majorBidi" w:cstheme="majorBidi"/>
          <w:sz w:val="24"/>
          <w:szCs w:val="24"/>
          <w:lang w:bidi="fa-IR"/>
        </w:rPr>
      </w:pPr>
      <w:r w:rsidRPr="006F0C06">
        <w:rPr>
          <w:rFonts w:asciiTheme="majorBidi" w:hAnsiTheme="majorBidi" w:cstheme="majorBidi"/>
          <w:sz w:val="24"/>
          <w:szCs w:val="24"/>
          <w:lang w:bidi="fa-IR"/>
        </w:rPr>
        <w:t xml:space="preserve">A standard </w:t>
      </w:r>
      <w:proofErr w:type="spellStart"/>
      <w:r w:rsidRPr="006F0C06">
        <w:rPr>
          <w:rFonts w:asciiTheme="majorBidi" w:hAnsiTheme="majorBidi" w:cstheme="majorBidi"/>
          <w:sz w:val="24"/>
          <w:szCs w:val="24"/>
          <w:lang w:bidi="fa-IR"/>
        </w:rPr>
        <w:t>microstrip</w:t>
      </w:r>
      <w:proofErr w:type="spellEnd"/>
      <w:r w:rsidRPr="006F0C06">
        <w:rPr>
          <w:rFonts w:asciiTheme="majorBidi" w:hAnsiTheme="majorBidi" w:cstheme="majorBidi"/>
          <w:sz w:val="24"/>
          <w:szCs w:val="24"/>
          <w:lang w:bidi="fa-IR"/>
        </w:rPr>
        <w:t xml:space="preserve"> structure consists of three main layers: a conductive ground plane at the bottom, a dielectric substrate in the middle, and a signal-carrying conduc</w:t>
      </w:r>
      <w:r w:rsidR="002C4EFD">
        <w:rPr>
          <w:rFonts w:asciiTheme="majorBidi" w:hAnsiTheme="majorBidi" w:cstheme="majorBidi"/>
          <w:sz w:val="24"/>
          <w:szCs w:val="24"/>
          <w:lang w:bidi="fa-IR"/>
        </w:rPr>
        <w:t>tive strip (layout) on the top</w:t>
      </w:r>
      <w:r w:rsidR="003971BD" w:rsidRPr="002C4EFD">
        <w:rPr>
          <w:rFonts w:asciiTheme="majorBidi" w:hAnsiTheme="majorBidi" w:cstheme="majorBidi"/>
          <w:sz w:val="24"/>
          <w:szCs w:val="24"/>
          <w:vertAlign w:val="superscript"/>
          <w:lang w:bidi="fa-IR"/>
        </w:rPr>
        <w:t>S</w:t>
      </w:r>
      <w:r w:rsidRPr="002C4EFD">
        <w:rPr>
          <w:rFonts w:asciiTheme="majorBidi" w:hAnsiTheme="majorBidi" w:cstheme="majorBidi"/>
          <w:sz w:val="24"/>
          <w:szCs w:val="24"/>
          <w:vertAlign w:val="superscript"/>
          <w:lang w:bidi="fa-IR"/>
        </w:rPr>
        <w:t>1</w:t>
      </w:r>
      <w:r w:rsidRPr="006F0C06">
        <w:rPr>
          <w:rFonts w:asciiTheme="majorBidi" w:hAnsiTheme="majorBidi" w:cstheme="majorBidi"/>
          <w:sz w:val="24"/>
          <w:szCs w:val="24"/>
          <w:lang w:bidi="fa-IR"/>
        </w:rPr>
        <w:t xml:space="preserve">. </w:t>
      </w:r>
      <w:r w:rsidR="005B3137" w:rsidRPr="006F0C06">
        <w:rPr>
          <w:rFonts w:asciiTheme="majorBidi" w:hAnsiTheme="majorBidi" w:cstheme="majorBidi"/>
          <w:sz w:val="24"/>
          <w:szCs w:val="24"/>
          <w:lang w:bidi="fa-IR"/>
        </w:rPr>
        <w:br/>
      </w:r>
      <w:r w:rsidR="005B3137" w:rsidRPr="006F0C06">
        <w:rPr>
          <w:rFonts w:asciiTheme="majorBidi" w:hAnsiTheme="majorBidi" w:cstheme="majorBidi"/>
          <w:b/>
          <w:bCs/>
          <w:sz w:val="24"/>
          <w:szCs w:val="24"/>
          <w:lang w:bidi="fa-IR"/>
        </w:rPr>
        <w:t>I.</w:t>
      </w:r>
      <w:r w:rsidR="005B3137" w:rsidRPr="006F0C06">
        <w:rPr>
          <w:rFonts w:asciiTheme="majorBidi" w:hAnsiTheme="majorBidi" w:cstheme="majorBidi"/>
          <w:b/>
          <w:bCs/>
          <w:sz w:val="24"/>
          <w:szCs w:val="24"/>
          <w:lang w:bidi="fa-IR"/>
        </w:rPr>
        <w:tab/>
        <w:t>Dispenser Printing (Direct Write)</w:t>
      </w:r>
    </w:p>
    <w:p w:rsidR="006D371B" w:rsidRPr="006F0C06" w:rsidRDefault="006D371B" w:rsidP="004509ED">
      <w:pPr>
        <w:spacing w:line="480" w:lineRule="auto"/>
        <w:jc w:val="both"/>
        <w:rPr>
          <w:rFonts w:asciiTheme="majorBidi" w:hAnsiTheme="majorBidi" w:cstheme="majorBidi"/>
          <w:sz w:val="24"/>
          <w:szCs w:val="24"/>
          <w:lang w:bidi="fa-IR"/>
        </w:rPr>
      </w:pPr>
      <w:r w:rsidRPr="006F0C06">
        <w:rPr>
          <w:rFonts w:asciiTheme="majorBidi" w:hAnsiTheme="majorBidi" w:cstheme="majorBidi"/>
          <w:sz w:val="24"/>
          <w:szCs w:val="24"/>
          <w:lang w:bidi="fa-IR"/>
        </w:rPr>
        <w:t xml:space="preserve">The Direct-Write (DW) printing process utilizes a </w:t>
      </w:r>
      <w:proofErr w:type="spellStart"/>
      <w:r w:rsidRPr="006F0C06">
        <w:rPr>
          <w:rFonts w:asciiTheme="majorBidi" w:hAnsiTheme="majorBidi" w:cstheme="majorBidi"/>
          <w:sz w:val="24"/>
          <w:szCs w:val="24"/>
          <w:lang w:bidi="fa-IR"/>
        </w:rPr>
        <w:t>Nordson</w:t>
      </w:r>
      <w:proofErr w:type="spellEnd"/>
      <w:r w:rsidRPr="006F0C06">
        <w:rPr>
          <w:rFonts w:asciiTheme="majorBidi" w:hAnsiTheme="majorBidi" w:cstheme="majorBidi"/>
          <w:sz w:val="24"/>
          <w:szCs w:val="24"/>
          <w:lang w:bidi="fa-IR"/>
        </w:rPr>
        <w:t xml:space="preserve"> EFD </w:t>
      </w:r>
      <w:proofErr w:type="spellStart"/>
      <w:r w:rsidRPr="006F0C06">
        <w:rPr>
          <w:rFonts w:asciiTheme="majorBidi" w:hAnsiTheme="majorBidi" w:cstheme="majorBidi"/>
          <w:sz w:val="24"/>
          <w:szCs w:val="24"/>
          <w:lang w:bidi="fa-IR"/>
        </w:rPr>
        <w:t>ProPlus</w:t>
      </w:r>
      <w:proofErr w:type="spellEnd"/>
      <w:r w:rsidRPr="006F0C06">
        <w:rPr>
          <w:rFonts w:asciiTheme="majorBidi" w:hAnsiTheme="majorBidi" w:cstheme="majorBidi"/>
          <w:sz w:val="24"/>
          <w:szCs w:val="24"/>
          <w:lang w:bidi="fa-IR"/>
        </w:rPr>
        <w:t xml:space="preserve"> 4L/A pneumatic robotic 3-axis system, which provides precise control throughout the printing procedure. A flexible and stretchable paste based on silver micro-particles, DuPont PE 874, is the conductor. The process is systematically divided into several stages to ensure consistency and accuracy in every printed layer. It begins with the deposition of the ground (GND) layer, which serves as the base for the </w:t>
      </w:r>
      <w:proofErr w:type="spellStart"/>
      <w:r w:rsidRPr="006F0C06">
        <w:rPr>
          <w:rFonts w:asciiTheme="majorBidi" w:hAnsiTheme="majorBidi" w:cstheme="majorBidi"/>
          <w:sz w:val="24"/>
          <w:szCs w:val="24"/>
          <w:lang w:bidi="fa-IR"/>
        </w:rPr>
        <w:t>microstrip</w:t>
      </w:r>
      <w:proofErr w:type="spellEnd"/>
      <w:r w:rsidRPr="006F0C06">
        <w:rPr>
          <w:rFonts w:asciiTheme="majorBidi" w:hAnsiTheme="majorBidi" w:cstheme="majorBidi"/>
          <w:sz w:val="24"/>
          <w:szCs w:val="24"/>
          <w:lang w:bidi="fa-IR"/>
        </w:rPr>
        <w:t xml:space="preserve"> structure. For this step, a printing pressure of 2.6 bar, a speed of 20 mm/s, and a 200 µm dispense tip are employed. The use of a 200 µm dispense tip accelerates the process and ensures a uniform conductive surface, regardless of the substrate type. Following the GND layer, the next stage involves printing the strip layer, which includes both the contour and interior of the resonator. The process starts with defining the resonator's contour. It is a critical step for achieving the desired dimensions. During this phase, the optimal combination of a 0.22 bar printing pressure, 20 mm/s printing speed, and a 150 µm dispenser tip is used to ensure precise line formation. Once the contour is completed, the interior filling phase begins. In this step, the printing pressure is slightly increased to guarantee uniform and complete filling, while maintaining the same printing speed and dispense tip size. This adjustment helps prevent over-deposition and ensures dimensional accuracy. The resolution of printing with the described setup is 300 µm of line width. </w:t>
      </w:r>
      <w:r w:rsidRPr="006F0C06">
        <w:rPr>
          <w:rFonts w:asciiTheme="majorBidi" w:hAnsiTheme="majorBidi" w:cstheme="majorBidi"/>
          <w:sz w:val="24"/>
          <w:szCs w:val="24"/>
          <w:lang w:bidi="fa-IR"/>
        </w:rPr>
        <w:lastRenderedPageBreak/>
        <w:t>The success of the DW process relies heavily on careful optimization of parameters such as speed, pressure, and nozzle size across each stage of printing.</w:t>
      </w:r>
    </w:p>
    <w:p w:rsidR="005B3137" w:rsidRPr="006F0C06" w:rsidRDefault="005B3137" w:rsidP="005B3137">
      <w:pPr>
        <w:spacing w:line="480" w:lineRule="auto"/>
        <w:jc w:val="both"/>
        <w:rPr>
          <w:rFonts w:asciiTheme="majorBidi" w:hAnsiTheme="majorBidi" w:cstheme="majorBidi"/>
          <w:b/>
          <w:bCs/>
          <w:sz w:val="24"/>
          <w:szCs w:val="24"/>
          <w:lang w:bidi="fa-IR"/>
        </w:rPr>
      </w:pPr>
      <w:r w:rsidRPr="006F0C06">
        <w:rPr>
          <w:rFonts w:asciiTheme="majorBidi" w:hAnsiTheme="majorBidi" w:cstheme="majorBidi"/>
          <w:b/>
          <w:bCs/>
          <w:sz w:val="24"/>
          <w:szCs w:val="24"/>
          <w:lang w:bidi="fa-IR"/>
        </w:rPr>
        <w:t>II.</w:t>
      </w:r>
      <w:r w:rsidRPr="006F0C06">
        <w:rPr>
          <w:rFonts w:asciiTheme="majorBidi" w:hAnsiTheme="majorBidi" w:cstheme="majorBidi"/>
          <w:b/>
          <w:bCs/>
          <w:sz w:val="24"/>
          <w:szCs w:val="24"/>
          <w:lang w:bidi="fa-IR"/>
        </w:rPr>
        <w:tab/>
        <w:t>Screen Printing (SP)</w:t>
      </w:r>
    </w:p>
    <w:p w:rsidR="005B3137" w:rsidRPr="006F0C06" w:rsidRDefault="005B3137" w:rsidP="004509ED">
      <w:pPr>
        <w:spacing w:line="480" w:lineRule="auto"/>
        <w:jc w:val="both"/>
        <w:rPr>
          <w:rFonts w:asciiTheme="majorBidi" w:hAnsiTheme="majorBidi" w:cstheme="majorBidi"/>
          <w:sz w:val="24"/>
          <w:szCs w:val="24"/>
          <w:lang w:bidi="fa-IR"/>
        </w:rPr>
      </w:pPr>
      <w:r w:rsidRPr="006F0C06">
        <w:rPr>
          <w:rFonts w:asciiTheme="majorBidi" w:hAnsiTheme="majorBidi" w:cstheme="majorBidi"/>
          <w:sz w:val="24"/>
          <w:szCs w:val="24"/>
          <w:lang w:bidi="fa-IR"/>
        </w:rPr>
        <w:t xml:space="preserve">The </w:t>
      </w:r>
      <w:proofErr w:type="spellStart"/>
      <w:r w:rsidRPr="006F0C06">
        <w:rPr>
          <w:rFonts w:asciiTheme="majorBidi" w:hAnsiTheme="majorBidi" w:cstheme="majorBidi"/>
          <w:sz w:val="24"/>
          <w:szCs w:val="24"/>
          <w:lang w:bidi="fa-IR"/>
        </w:rPr>
        <w:t>Ekra</w:t>
      </w:r>
      <w:proofErr w:type="spellEnd"/>
      <w:r w:rsidRPr="006F0C06">
        <w:rPr>
          <w:rFonts w:asciiTheme="majorBidi" w:hAnsiTheme="majorBidi" w:cstheme="majorBidi"/>
          <w:sz w:val="24"/>
          <w:szCs w:val="24"/>
          <w:lang w:bidi="fa-IR"/>
        </w:rPr>
        <w:t xml:space="preserve"> E2 semi-automatic screen printer is employed for fabricating the</w:t>
      </w:r>
      <w:r w:rsidR="004509ED">
        <w:rPr>
          <w:rFonts w:asciiTheme="majorBidi" w:hAnsiTheme="majorBidi" w:cstheme="majorBidi"/>
          <w:sz w:val="24"/>
          <w:szCs w:val="24"/>
          <w:lang w:bidi="fa-IR"/>
        </w:rPr>
        <w:t xml:space="preserve"> </w:t>
      </w:r>
      <w:proofErr w:type="spellStart"/>
      <w:r w:rsidR="004509ED">
        <w:rPr>
          <w:rFonts w:asciiTheme="majorBidi" w:hAnsiTheme="majorBidi" w:cstheme="majorBidi"/>
          <w:sz w:val="24"/>
          <w:szCs w:val="24"/>
          <w:lang w:bidi="fa-IR"/>
        </w:rPr>
        <w:t>microstrip</w:t>
      </w:r>
      <w:proofErr w:type="spellEnd"/>
      <w:r w:rsidR="004509ED">
        <w:rPr>
          <w:rFonts w:asciiTheme="majorBidi" w:hAnsiTheme="majorBidi" w:cstheme="majorBidi"/>
          <w:sz w:val="24"/>
          <w:szCs w:val="24"/>
          <w:lang w:bidi="fa-IR"/>
        </w:rPr>
        <w:t xml:space="preserve"> circuit structures. </w:t>
      </w:r>
      <w:r w:rsidRPr="006F0C06">
        <w:rPr>
          <w:rFonts w:asciiTheme="majorBidi" w:hAnsiTheme="majorBidi" w:cstheme="majorBidi"/>
          <w:sz w:val="24"/>
          <w:szCs w:val="24"/>
          <w:lang w:bidi="fa-IR"/>
        </w:rPr>
        <w:t>This printing method is well-suited for producing planar RF components due to its cost-effectiveness, scalability, and compatibility with a wide range of conductive inks and substrates. Two screen meshes were used based on the requirements of different circuit elements. A 200-mesh screen was applied for printing the ground (GND) layer, where its larger apertures allow for the deposition of thicker conductive layers. After printing, the ground layer is cured at 130 °C for 30 minutes in a preheated laboratory oven to ensure adhesion and conductivity.</w:t>
      </w:r>
    </w:p>
    <w:p w:rsidR="005B3137" w:rsidRPr="006F0C06" w:rsidRDefault="005B3137" w:rsidP="005B3137">
      <w:pPr>
        <w:spacing w:line="480" w:lineRule="auto"/>
        <w:jc w:val="both"/>
        <w:rPr>
          <w:rFonts w:asciiTheme="majorBidi" w:hAnsiTheme="majorBidi" w:cstheme="majorBidi"/>
          <w:sz w:val="24"/>
          <w:szCs w:val="24"/>
          <w:lang w:bidi="fa-IR"/>
        </w:rPr>
      </w:pPr>
      <w:r w:rsidRPr="006F0C06">
        <w:rPr>
          <w:rFonts w:asciiTheme="majorBidi" w:hAnsiTheme="majorBidi" w:cstheme="majorBidi"/>
          <w:sz w:val="24"/>
          <w:szCs w:val="24"/>
          <w:lang w:bidi="fa-IR"/>
        </w:rPr>
        <w:t xml:space="preserve">For the </w:t>
      </w:r>
      <w:proofErr w:type="spellStart"/>
      <w:r w:rsidRPr="006F0C06">
        <w:rPr>
          <w:rFonts w:asciiTheme="majorBidi" w:hAnsiTheme="majorBidi" w:cstheme="majorBidi"/>
          <w:sz w:val="24"/>
          <w:szCs w:val="24"/>
          <w:lang w:bidi="fa-IR"/>
        </w:rPr>
        <w:t>microstrip</w:t>
      </w:r>
      <w:proofErr w:type="spellEnd"/>
      <w:r w:rsidRPr="006F0C06">
        <w:rPr>
          <w:rFonts w:asciiTheme="majorBidi" w:hAnsiTheme="majorBidi" w:cstheme="majorBidi"/>
          <w:sz w:val="24"/>
          <w:szCs w:val="24"/>
          <w:lang w:bidi="fa-IR"/>
        </w:rPr>
        <w:t xml:space="preserve"> patterns, a 400-mesh screen was selected to enable higher-resolution printing and better feature definition. Once printed, the resonator layer undergoes the same curing process (130 °C for 30 minutes) to secure structural integrity and optimal electrical performance. Several process parameters are optimized to ensure high print fidelity. A squeegee with a hardness of 85 Shore A is used to maintain sharp pattern edges and uniform ink transfer. The squeegee angle was set at 45°, striking a balance between efficient ink deposition and precise pattern control. The printing speed is fixed at 170 mm/s, a value determined to provide consistent coverage while minimizing defects such as smearing or incomplete transfer. A squeegee force of 25 N is applied to ensure even pressure distribution across the substrate. Additionally, a snap-off distance of 1.5 mm is maintained between the screen and substrate, allowing the screen to lift cleanly after each pass, which helps preserve the integrity of the printed features. </w:t>
      </w:r>
    </w:p>
    <w:p w:rsidR="005B3137" w:rsidRPr="006F0C06" w:rsidRDefault="005B3137" w:rsidP="005B3137">
      <w:pPr>
        <w:spacing w:line="480" w:lineRule="auto"/>
        <w:rPr>
          <w:rFonts w:asciiTheme="majorBidi" w:hAnsiTheme="majorBidi" w:cstheme="majorBidi"/>
          <w:b/>
          <w:bCs/>
          <w:sz w:val="24"/>
          <w:szCs w:val="24"/>
          <w:lang w:bidi="fa-IR"/>
        </w:rPr>
      </w:pPr>
      <w:r w:rsidRPr="006F0C06">
        <w:rPr>
          <w:rFonts w:asciiTheme="majorBidi" w:hAnsiTheme="majorBidi" w:cstheme="majorBidi"/>
          <w:b/>
          <w:bCs/>
          <w:sz w:val="24"/>
          <w:szCs w:val="24"/>
          <w:lang w:bidi="fa-IR"/>
        </w:rPr>
        <w:t>III.</w:t>
      </w:r>
      <w:r w:rsidRPr="006F0C06">
        <w:rPr>
          <w:rFonts w:asciiTheme="majorBidi" w:hAnsiTheme="majorBidi" w:cstheme="majorBidi"/>
          <w:b/>
          <w:bCs/>
          <w:sz w:val="24"/>
          <w:szCs w:val="24"/>
          <w:lang w:bidi="fa-IR"/>
        </w:rPr>
        <w:tab/>
        <w:t>Aerosol Jet Printing (AJP)</w:t>
      </w:r>
    </w:p>
    <w:p w:rsidR="005B3137" w:rsidRPr="006F0C06" w:rsidRDefault="005B3137" w:rsidP="004509ED">
      <w:pPr>
        <w:spacing w:line="480" w:lineRule="auto"/>
        <w:jc w:val="both"/>
        <w:rPr>
          <w:rFonts w:asciiTheme="majorBidi" w:hAnsiTheme="majorBidi" w:cstheme="majorBidi"/>
          <w:sz w:val="24"/>
          <w:szCs w:val="24"/>
          <w:lang w:bidi="fa-IR"/>
        </w:rPr>
      </w:pPr>
      <w:r w:rsidRPr="006F0C06">
        <w:rPr>
          <w:rFonts w:asciiTheme="majorBidi" w:hAnsiTheme="majorBidi" w:cstheme="majorBidi"/>
          <w:sz w:val="24"/>
          <w:szCs w:val="24"/>
          <w:lang w:bidi="fa-IR"/>
        </w:rPr>
        <w:lastRenderedPageBreak/>
        <w:t>The Aerosol Jet Printing (AJP) process is performed</w:t>
      </w:r>
      <w:r w:rsidR="004509ED">
        <w:rPr>
          <w:rFonts w:asciiTheme="majorBidi" w:hAnsiTheme="majorBidi" w:cstheme="majorBidi"/>
          <w:sz w:val="24"/>
          <w:szCs w:val="24"/>
          <w:lang w:bidi="fa-IR"/>
        </w:rPr>
        <w:t xml:space="preserve"> using the </w:t>
      </w:r>
      <w:proofErr w:type="spellStart"/>
      <w:r w:rsidR="004509ED">
        <w:rPr>
          <w:rFonts w:asciiTheme="majorBidi" w:hAnsiTheme="majorBidi" w:cstheme="majorBidi"/>
          <w:sz w:val="24"/>
          <w:szCs w:val="24"/>
          <w:lang w:bidi="fa-IR"/>
        </w:rPr>
        <w:t>Optomec</w:t>
      </w:r>
      <w:proofErr w:type="spellEnd"/>
      <w:r w:rsidR="004509ED">
        <w:rPr>
          <w:rFonts w:asciiTheme="majorBidi" w:hAnsiTheme="majorBidi" w:cstheme="majorBidi"/>
          <w:sz w:val="24"/>
          <w:szCs w:val="24"/>
          <w:lang w:bidi="fa-IR"/>
        </w:rPr>
        <w:t xml:space="preserve"> AJ300 system. </w:t>
      </w:r>
      <w:r w:rsidRPr="006F0C06">
        <w:rPr>
          <w:rFonts w:asciiTheme="majorBidi" w:hAnsiTheme="majorBidi" w:cstheme="majorBidi"/>
          <w:sz w:val="24"/>
          <w:szCs w:val="24"/>
          <w:lang w:bidi="fa-IR"/>
        </w:rPr>
        <w:t>This advanced technology enables printing fine patterns and microstructures with excellent precision, making it ideal for complex designs on various substrates. AJP is a high-precision, non-contact printing method that converts liquid ink into a fine aerosol mist, which is then directed onto the substrate. The process involves three main steps: atomization, where liquid ink is broken into tiny droplets forming a uniform aerosol mist; transport, where a carrier gas carries the aerosol to the print nozzle; and focusing and deposition, where a sheath gas concentrates the aerosol stream into a tight beam for precise printing.</w:t>
      </w:r>
      <w:r w:rsidRPr="006F0C06">
        <w:rPr>
          <w:rFonts w:asciiTheme="majorBidi" w:hAnsiTheme="majorBidi" w:cstheme="majorBidi"/>
          <w:sz w:val="24"/>
          <w:szCs w:val="24"/>
          <w:lang w:bidi="fa-IR"/>
        </w:rPr>
        <w:tab/>
      </w:r>
    </w:p>
    <w:p w:rsidR="006D371B" w:rsidRPr="006F0C06" w:rsidRDefault="005B3137" w:rsidP="006D371B">
      <w:pPr>
        <w:spacing w:line="480" w:lineRule="auto"/>
        <w:jc w:val="both"/>
        <w:rPr>
          <w:rFonts w:asciiTheme="majorBidi" w:hAnsiTheme="majorBidi" w:cstheme="majorBidi"/>
          <w:sz w:val="24"/>
          <w:szCs w:val="24"/>
          <w:lang w:bidi="fa-IR"/>
        </w:rPr>
        <w:sectPr w:rsidR="006D371B" w:rsidRPr="006F0C06">
          <w:pgSz w:w="12240" w:h="15840"/>
          <w:pgMar w:top="1440" w:right="1440" w:bottom="1440" w:left="1440" w:header="720" w:footer="720" w:gutter="0"/>
          <w:cols w:space="720"/>
          <w:docGrid w:linePitch="360"/>
        </w:sectPr>
      </w:pPr>
      <w:r w:rsidRPr="006F0C06">
        <w:rPr>
          <w:rFonts w:asciiTheme="majorBidi" w:hAnsiTheme="majorBidi" w:cstheme="majorBidi"/>
          <w:sz w:val="24"/>
          <w:szCs w:val="24"/>
          <w:lang w:bidi="fa-IR"/>
        </w:rPr>
        <w:t xml:space="preserve">The fabrication process follows similar steps to those used in screen printing and direct-write methods. It is important to note that the GND layer is printed using screen printing (SP) technology because SP is faster, more material-efficient, and time-saving for covering the large, simple area of the GND layer. Additionally, the method used to print the GND layer has no significant effect on the frequency responses. The GND layer printed by SP shares similar printing parameters and curing conditions with the direct-write (DW) process, including curing at 130 °C for 30 minutes. The </w:t>
      </w:r>
      <w:proofErr w:type="spellStart"/>
      <w:r w:rsidRPr="006F0C06">
        <w:rPr>
          <w:rFonts w:asciiTheme="majorBidi" w:hAnsiTheme="majorBidi" w:cstheme="majorBidi"/>
          <w:sz w:val="24"/>
          <w:szCs w:val="24"/>
          <w:lang w:bidi="fa-IR"/>
        </w:rPr>
        <w:t>microstrip</w:t>
      </w:r>
      <w:proofErr w:type="spellEnd"/>
      <w:r w:rsidRPr="006F0C06">
        <w:rPr>
          <w:rFonts w:asciiTheme="majorBidi" w:hAnsiTheme="majorBidi" w:cstheme="majorBidi"/>
          <w:sz w:val="24"/>
          <w:szCs w:val="24"/>
          <w:lang w:bidi="fa-IR"/>
        </w:rPr>
        <w:t xml:space="preserve"> layer is printed using Ag nanoparticle ink (</w:t>
      </w:r>
      <w:proofErr w:type="spellStart"/>
      <w:r w:rsidRPr="006F0C06">
        <w:rPr>
          <w:rFonts w:asciiTheme="majorBidi" w:hAnsiTheme="majorBidi" w:cstheme="majorBidi"/>
          <w:sz w:val="24"/>
          <w:szCs w:val="24"/>
          <w:lang w:bidi="fa-IR"/>
        </w:rPr>
        <w:t>Sicrys</w:t>
      </w:r>
      <w:proofErr w:type="spellEnd"/>
      <w:r w:rsidRPr="006F0C06">
        <w:rPr>
          <w:rFonts w:asciiTheme="majorBidi" w:hAnsiTheme="majorBidi" w:cstheme="majorBidi"/>
          <w:sz w:val="24"/>
          <w:szCs w:val="24"/>
          <w:lang w:bidi="fa-IR"/>
        </w:rPr>
        <w:t xml:space="preserve"> I160PM-116), chosen for its compatibility with AJP and ability to produce fine, detailed patterns essential for high-performance electronics. The process employs a pneumatic atomizer, a 400 µm nozzle diameter, and maintains a print head distance of 7.17 mm from the substrate. The printing plate temperature is set to 30 °C to ensure consistent ink flow and good adhesion. After printing, the ink is cured at 150 °C for 120 minutes to solidify the material and enhance electrical and mechanical properties.</w:t>
      </w:r>
      <w:r w:rsidR="006D371B" w:rsidRPr="006F0C06">
        <w:rPr>
          <w:rFonts w:asciiTheme="majorBidi" w:hAnsiTheme="majorBidi" w:cstheme="majorBidi"/>
          <w:sz w:val="24"/>
          <w:szCs w:val="24"/>
          <w:lang w:bidi="fa-IR"/>
        </w:rPr>
        <w:tab/>
      </w:r>
    </w:p>
    <w:p w:rsidR="006D371B" w:rsidRPr="006F0C06" w:rsidRDefault="006D371B" w:rsidP="004509ED">
      <w:pPr>
        <w:spacing w:line="480" w:lineRule="auto"/>
        <w:rPr>
          <w:rFonts w:asciiTheme="majorBidi" w:hAnsiTheme="majorBidi" w:cstheme="majorBidi"/>
          <w:sz w:val="24"/>
          <w:szCs w:val="24"/>
          <w:lang w:bidi="fa-IR"/>
        </w:rPr>
        <w:sectPr w:rsidR="006D371B" w:rsidRPr="006F0C06" w:rsidSect="006D371B">
          <w:type w:val="continuous"/>
          <w:pgSz w:w="12240" w:h="15840"/>
          <w:pgMar w:top="1440" w:right="1440" w:bottom="1440" w:left="1440" w:header="720" w:footer="720" w:gutter="0"/>
          <w:cols w:space="720"/>
          <w:docGrid w:linePitch="360"/>
        </w:sectPr>
      </w:pPr>
    </w:p>
    <w:p w:rsidR="00830AA5" w:rsidRDefault="00830AA5" w:rsidP="004509ED">
      <w:pPr>
        <w:pStyle w:val="NormalWeb"/>
        <w:spacing w:line="360" w:lineRule="auto"/>
        <w:rPr>
          <w:rFonts w:asciiTheme="majorBidi" w:hAnsiTheme="majorBidi" w:cstheme="majorBidi"/>
          <w:color w:val="FF0000"/>
          <w:lang w:eastAsia="cs-CZ"/>
        </w:rPr>
        <w:sectPr w:rsidR="00830AA5" w:rsidSect="006D371B">
          <w:type w:val="continuous"/>
          <w:pgSz w:w="12240" w:h="15840"/>
          <w:pgMar w:top="1440" w:right="1440" w:bottom="1440" w:left="1440" w:header="720" w:footer="720" w:gutter="0"/>
          <w:cols w:space="720"/>
          <w:docGrid w:linePitch="360"/>
        </w:sectPr>
      </w:pPr>
      <w:r>
        <w:rPr>
          <w:rFonts w:asciiTheme="majorBidi" w:hAnsiTheme="majorBidi" w:cstheme="majorBidi"/>
          <w:color w:val="FF0000"/>
          <w:lang w:eastAsia="cs-CZ"/>
        </w:rPr>
        <w:br/>
      </w:r>
    </w:p>
    <w:p w:rsidR="00830AA5" w:rsidRDefault="00830AA5" w:rsidP="004509ED">
      <w:pPr>
        <w:pStyle w:val="NormalWeb"/>
        <w:spacing w:line="480" w:lineRule="auto"/>
        <w:jc w:val="both"/>
        <w:rPr>
          <w:rFonts w:asciiTheme="majorBidi" w:hAnsiTheme="majorBidi" w:cstheme="majorBidi"/>
          <w:lang w:eastAsia="cs-CZ"/>
        </w:rPr>
        <w:sectPr w:rsidR="00830AA5" w:rsidSect="00E34535">
          <w:type w:val="continuous"/>
          <w:pgSz w:w="12240" w:h="15840"/>
          <w:pgMar w:top="1440" w:right="1440" w:bottom="1440" w:left="1440" w:header="720" w:footer="720" w:gutter="0"/>
          <w:cols w:space="720"/>
          <w:docGrid w:linePitch="360"/>
        </w:sectPr>
      </w:pPr>
      <w:r w:rsidRPr="00AE5B38">
        <w:rPr>
          <w:rFonts w:asciiTheme="majorBidi" w:hAnsiTheme="majorBidi" w:cstheme="majorBidi"/>
          <w:b/>
          <w:bCs/>
          <w:sz w:val="28"/>
          <w:szCs w:val="28"/>
        </w:rPr>
        <w:lastRenderedPageBreak/>
        <w:t>Port assembling</w:t>
      </w:r>
      <w:r w:rsidRPr="00AE5B38">
        <w:rPr>
          <w:rFonts w:asciiTheme="majorBidi" w:hAnsiTheme="majorBidi" w:cstheme="majorBidi"/>
          <w:b/>
          <w:bCs/>
          <w:sz w:val="28"/>
          <w:szCs w:val="28"/>
        </w:rPr>
        <w:tab/>
      </w:r>
      <w:r w:rsidRPr="00AE5B38">
        <w:rPr>
          <w:rFonts w:asciiTheme="majorBidi" w:hAnsiTheme="majorBidi" w:cstheme="majorBidi"/>
          <w:iCs/>
          <w:color w:val="000000"/>
          <w:sz w:val="20"/>
          <w:szCs w:val="20"/>
          <w:lang w:eastAsia="cs-CZ"/>
        </w:rPr>
        <w:br/>
      </w:r>
      <w:proofErr w:type="gramStart"/>
      <w:r w:rsidRPr="00AE5B38">
        <w:rPr>
          <w:rFonts w:asciiTheme="majorBidi" w:hAnsiTheme="majorBidi" w:cstheme="majorBidi"/>
          <w:lang w:eastAsia="cs-CZ"/>
        </w:rPr>
        <w:t>The</w:t>
      </w:r>
      <w:proofErr w:type="gramEnd"/>
      <w:r w:rsidRPr="00AE5B38">
        <w:rPr>
          <w:rFonts w:asciiTheme="majorBidi" w:hAnsiTheme="majorBidi" w:cstheme="majorBidi"/>
          <w:lang w:eastAsia="cs-CZ"/>
        </w:rPr>
        <w:t xml:space="preserve"> assembly of input and output SMA connectors onto the printed resonators is a crucial part of the fabrication process</w:t>
      </w:r>
      <w:r>
        <w:rPr>
          <w:rFonts w:asciiTheme="majorBidi" w:hAnsiTheme="majorBidi" w:cstheme="majorBidi"/>
          <w:lang w:eastAsia="cs-CZ"/>
        </w:rPr>
        <w:t xml:space="preserve">. </w:t>
      </w:r>
      <w:r w:rsidRPr="00AE5B38">
        <w:rPr>
          <w:rFonts w:asciiTheme="majorBidi" w:hAnsiTheme="majorBidi" w:cstheme="majorBidi"/>
          <w:lang w:eastAsia="cs-CZ"/>
        </w:rPr>
        <w:t>The chosen approach must accommodate the unique properties of the conductive pastes used and avoid potential damage from traditional soldering methods. The conductive pastes used in this study are based on a polymeric matrix combined with a conductive filler. Traditional soldering is unsuitable because the high temperatures involved can degrade the polymeric matrix, compromising the structural integrity and electrical performance of the printed resonators. Moreover, common soldering compounds can cause silver diffusion, which may alter the properties of the conductive paste and affect the overall performance. For substrates like PET foil, soldering can also damage the material due to its sensitivity to high temperatures.  To address these challenges, the SMA connectors were assembled using the same conductive paste, DuPont PE 874, which is also employed for direct write printing. This method, known as wet assembly, involves applying the conductive paste through a dispenser nozzle syringe to connect the SMA connectors to the printed structure</w:t>
      </w:r>
      <w:r>
        <w:rPr>
          <w:rFonts w:asciiTheme="majorBidi" w:hAnsiTheme="majorBidi" w:cstheme="majorBidi"/>
          <w:lang w:eastAsia="cs-CZ"/>
        </w:rPr>
        <w:t xml:space="preserve"> as seen in Fig. S</w:t>
      </w:r>
      <w:r w:rsidR="004509ED">
        <w:rPr>
          <w:rFonts w:asciiTheme="majorBidi" w:hAnsiTheme="majorBidi" w:cstheme="majorBidi"/>
          <w:lang w:eastAsia="cs-CZ"/>
        </w:rPr>
        <w:t>1</w:t>
      </w:r>
      <w:r w:rsidRPr="00AE5B38">
        <w:rPr>
          <w:rFonts w:asciiTheme="majorBidi" w:hAnsiTheme="majorBidi" w:cstheme="majorBidi"/>
          <w:lang w:eastAsia="cs-CZ"/>
        </w:rPr>
        <w:t>.</w:t>
      </w:r>
      <w:r>
        <w:rPr>
          <w:rFonts w:asciiTheme="majorBidi" w:hAnsiTheme="majorBidi" w:cstheme="majorBidi"/>
          <w:lang w:eastAsia="cs-CZ"/>
        </w:rPr>
        <w:tab/>
      </w:r>
    </w:p>
    <w:p w:rsidR="00830AA5" w:rsidRPr="00AE5B38" w:rsidRDefault="00830AA5" w:rsidP="004509ED">
      <w:pPr>
        <w:pStyle w:val="NormalWeb"/>
        <w:spacing w:line="360" w:lineRule="auto"/>
        <w:jc w:val="center"/>
        <w:rPr>
          <w:rFonts w:asciiTheme="majorBidi" w:hAnsiTheme="majorBidi" w:cstheme="majorBidi"/>
          <w:lang w:eastAsia="cs-CZ"/>
        </w:rPr>
        <w:sectPr w:rsidR="00830AA5" w:rsidRPr="00AE5B38" w:rsidSect="00E34535">
          <w:type w:val="continuous"/>
          <w:pgSz w:w="12240" w:h="15840"/>
          <w:pgMar w:top="1440" w:right="1440" w:bottom="1440" w:left="1440" w:header="720" w:footer="720" w:gutter="0"/>
          <w:cols w:space="720"/>
          <w:docGrid w:linePitch="360"/>
        </w:sectPr>
      </w:pPr>
      <w:r w:rsidRPr="006F0C06">
        <w:rPr>
          <w:rFonts w:asciiTheme="majorBidi" w:hAnsiTheme="majorBidi" w:cstheme="majorBidi"/>
          <w:color w:val="FF0000"/>
          <w:lang w:eastAsia="cs-CZ"/>
        </w:rPr>
        <w:t>[Figure S</w:t>
      </w:r>
      <w:r w:rsidR="004509ED">
        <w:rPr>
          <w:rFonts w:asciiTheme="majorBidi" w:hAnsiTheme="majorBidi" w:cstheme="majorBidi"/>
          <w:color w:val="FF0000"/>
          <w:lang w:eastAsia="cs-CZ"/>
        </w:rPr>
        <w:t>1</w:t>
      </w:r>
      <w:r w:rsidRPr="006F0C06">
        <w:rPr>
          <w:rFonts w:asciiTheme="majorBidi" w:hAnsiTheme="majorBidi" w:cstheme="majorBidi"/>
          <w:color w:val="FF0000"/>
          <w:lang w:eastAsia="cs-CZ"/>
        </w:rPr>
        <w:t xml:space="preserve"> here]</w:t>
      </w:r>
      <w:r>
        <w:rPr>
          <w:rFonts w:asciiTheme="majorBidi" w:hAnsiTheme="majorBidi" w:cstheme="majorBidi"/>
          <w:color w:val="FF0000"/>
          <w:lang w:eastAsia="cs-CZ"/>
        </w:rPr>
        <w:br/>
      </w:r>
    </w:p>
    <w:p w:rsidR="003971BD" w:rsidRDefault="00830AA5" w:rsidP="002C4EFD">
      <w:pPr>
        <w:pStyle w:val="NormalWeb"/>
        <w:spacing w:line="480" w:lineRule="auto"/>
        <w:jc w:val="both"/>
        <w:rPr>
          <w:rFonts w:asciiTheme="majorBidi" w:hAnsiTheme="majorBidi" w:cstheme="majorBidi"/>
          <w:lang w:bidi="fa-IR"/>
        </w:rPr>
        <w:sectPr w:rsidR="003971BD" w:rsidSect="006D371B">
          <w:type w:val="continuous"/>
          <w:pgSz w:w="12240" w:h="15840"/>
          <w:pgMar w:top="1440" w:right="1440" w:bottom="1440" w:left="1440" w:header="720" w:footer="720" w:gutter="0"/>
          <w:cols w:space="720"/>
          <w:docGrid w:linePitch="360"/>
        </w:sectPr>
      </w:pPr>
      <w:r w:rsidRPr="00AE5B38">
        <w:rPr>
          <w:rFonts w:asciiTheme="majorBidi" w:hAnsiTheme="majorBidi" w:cstheme="majorBidi"/>
          <w:lang w:eastAsia="cs-CZ"/>
        </w:rPr>
        <w:t>This approach acts as an electrically conductive adhesive, ensuring that the connectors are securely attached without subjecting the printed resonator to high temperatures</w:t>
      </w:r>
      <w:r w:rsidR="003971BD" w:rsidRPr="002C4EFD">
        <w:rPr>
          <w:rFonts w:asciiTheme="majorBidi" w:hAnsiTheme="majorBidi" w:cstheme="majorBidi"/>
          <w:vertAlign w:val="superscript"/>
          <w:lang w:eastAsia="cs-CZ"/>
        </w:rPr>
        <w:t>S2</w:t>
      </w:r>
      <w:r w:rsidRPr="00AE5B38">
        <w:rPr>
          <w:rFonts w:asciiTheme="majorBidi" w:hAnsiTheme="majorBidi" w:cstheme="majorBidi"/>
          <w:lang w:eastAsia="cs-CZ"/>
        </w:rPr>
        <w:t xml:space="preserve">. The process involves fixing the SMA connector to the edge of the substrate using a UV-curable dielectric adhesive. This adhesive is cured using a UVET NSC4 UV curing station with a wavelength of 365 nm for 30 seconds, with a UV intensity of 5.6 W/cm². Then they are electrically connected to both the ground layer and the resonator layer using the same ink paste used for </w:t>
      </w:r>
      <w:r>
        <w:rPr>
          <w:rFonts w:asciiTheme="majorBidi" w:hAnsiTheme="majorBidi" w:cstheme="majorBidi"/>
          <w:lang w:eastAsia="cs-CZ"/>
        </w:rPr>
        <w:t xml:space="preserve">DW </w:t>
      </w:r>
      <w:r w:rsidRPr="00AE5B38">
        <w:rPr>
          <w:rFonts w:asciiTheme="majorBidi" w:hAnsiTheme="majorBidi" w:cstheme="majorBidi"/>
          <w:lang w:eastAsia="cs-CZ"/>
        </w:rPr>
        <w:t xml:space="preserve">printing. The electrical connections are cured again by the raised temperature of 130 °C for 30 minutes to ensure robust </w:t>
      </w:r>
      <w:r w:rsidRPr="00AE5B38">
        <w:rPr>
          <w:rFonts w:asciiTheme="majorBidi" w:hAnsiTheme="majorBidi" w:cstheme="majorBidi"/>
          <w:lang w:eastAsia="cs-CZ"/>
        </w:rPr>
        <w:lastRenderedPageBreak/>
        <w:t xml:space="preserve">and reliable contact between the SMA ports and the printed layers. A similar wet assembly technique has been demonstrated in previous </w:t>
      </w:r>
      <w:r w:rsidR="002C4EFD">
        <w:rPr>
          <w:rFonts w:asciiTheme="majorBidi" w:hAnsiTheme="majorBidi" w:cstheme="majorBidi"/>
          <w:lang w:eastAsia="cs-CZ"/>
        </w:rPr>
        <w:t>studies</w:t>
      </w:r>
      <w:r w:rsidR="003971BD" w:rsidRPr="002C4EFD">
        <w:rPr>
          <w:rFonts w:asciiTheme="majorBidi" w:hAnsiTheme="majorBidi" w:cstheme="majorBidi"/>
          <w:vertAlign w:val="superscript"/>
          <w:lang w:eastAsia="cs-CZ"/>
        </w:rPr>
        <w:t>S3</w:t>
      </w:r>
      <w:r w:rsidRPr="00AE5B38">
        <w:rPr>
          <w:rFonts w:asciiTheme="majorBidi" w:hAnsiTheme="majorBidi" w:cstheme="majorBidi"/>
          <w:lang w:eastAsia="cs-CZ"/>
        </w:rPr>
        <w:t xml:space="preserve"> as a reliable method for producing low-loss connections, which supports its application in this work.</w:t>
      </w:r>
      <w:r w:rsidR="003971BD">
        <w:rPr>
          <w:rFonts w:asciiTheme="majorBidi" w:hAnsiTheme="majorBidi" w:cstheme="majorBidi"/>
          <w:lang w:eastAsia="cs-CZ"/>
        </w:rPr>
        <w:tab/>
      </w:r>
      <w:r w:rsidR="003971BD">
        <w:rPr>
          <w:rFonts w:asciiTheme="majorBidi" w:hAnsiTheme="majorBidi" w:cstheme="majorBidi"/>
          <w:lang w:eastAsia="cs-CZ"/>
        </w:rPr>
        <w:br/>
      </w:r>
      <w:r w:rsidR="003971BD">
        <w:rPr>
          <w:rFonts w:asciiTheme="majorBidi" w:hAnsiTheme="majorBidi" w:cstheme="majorBidi"/>
          <w:lang w:eastAsia="cs-CZ"/>
        </w:rPr>
        <w:tab/>
      </w:r>
      <w:r w:rsidR="003971BD">
        <w:rPr>
          <w:rFonts w:asciiTheme="majorBidi" w:hAnsiTheme="majorBidi" w:cstheme="majorBidi"/>
          <w:lang w:eastAsia="cs-CZ"/>
        </w:rPr>
        <w:br/>
      </w:r>
      <w:r w:rsidR="003971BD" w:rsidRPr="003971BD">
        <w:rPr>
          <w:rFonts w:asciiTheme="majorBidi" w:hAnsiTheme="majorBidi" w:cstheme="majorBidi"/>
          <w:b/>
          <w:bCs/>
          <w:lang w:eastAsia="cs-CZ"/>
        </w:rPr>
        <w:t>Performance Characteristics of Typical RF/Microwave Substrates</w:t>
      </w:r>
      <w:r w:rsidR="003971BD">
        <w:rPr>
          <w:rFonts w:asciiTheme="majorBidi" w:hAnsiTheme="majorBidi" w:cstheme="majorBidi"/>
          <w:b/>
          <w:bCs/>
          <w:lang w:eastAsia="cs-CZ"/>
        </w:rPr>
        <w:tab/>
      </w:r>
      <w:r w:rsidR="003971BD">
        <w:rPr>
          <w:rFonts w:asciiTheme="majorBidi" w:hAnsiTheme="majorBidi" w:cstheme="majorBidi"/>
          <w:b/>
          <w:bCs/>
          <w:lang w:eastAsia="cs-CZ"/>
        </w:rPr>
        <w:br/>
      </w:r>
      <w:r w:rsidR="003971BD" w:rsidRPr="006F0C06">
        <w:rPr>
          <w:rFonts w:asciiTheme="majorBidi" w:hAnsiTheme="majorBidi" w:cstheme="majorBidi"/>
          <w:lang w:bidi="fa-IR"/>
        </w:rPr>
        <w:t>Table S1, provides a comparative overview of several widely used rigid and flexible substrate materials with respect to their dielectric properties, including dielectric constant (</w:t>
      </w:r>
      <w:proofErr w:type="spellStart"/>
      <w:r w:rsidR="003971BD" w:rsidRPr="006F0C06">
        <w:rPr>
          <w:rFonts w:asciiTheme="majorBidi" w:hAnsiTheme="majorBidi" w:cstheme="majorBidi"/>
          <w:lang w:bidi="fa-IR"/>
        </w:rPr>
        <w:t>ε</w:t>
      </w:r>
      <w:r w:rsidR="003971BD" w:rsidRPr="006F4B04">
        <w:rPr>
          <w:rFonts w:asciiTheme="majorBidi" w:hAnsiTheme="majorBidi" w:cstheme="majorBidi"/>
          <w:vertAlign w:val="subscript"/>
          <w:lang w:bidi="fa-IR"/>
        </w:rPr>
        <w:t>r</w:t>
      </w:r>
      <w:proofErr w:type="spellEnd"/>
      <w:r w:rsidR="003971BD" w:rsidRPr="006F0C06">
        <w:rPr>
          <w:rFonts w:asciiTheme="majorBidi" w:hAnsiTheme="majorBidi" w:cstheme="majorBidi"/>
          <w:lang w:bidi="fa-IR"/>
        </w:rPr>
        <w:t>) and loss tangent (</w:t>
      </w:r>
      <w:proofErr w:type="spellStart"/>
      <w:r w:rsidR="003971BD" w:rsidRPr="006F0C06">
        <w:rPr>
          <w:rFonts w:asciiTheme="majorBidi" w:hAnsiTheme="majorBidi" w:cstheme="majorBidi"/>
          <w:lang w:bidi="fa-IR"/>
        </w:rPr>
        <w:t>tanδ</w:t>
      </w:r>
      <w:proofErr w:type="spellEnd"/>
      <w:r w:rsidR="003971BD" w:rsidRPr="006F0C06">
        <w:rPr>
          <w:rFonts w:asciiTheme="majorBidi" w:hAnsiTheme="majorBidi" w:cstheme="majorBidi"/>
          <w:lang w:bidi="fa-IR"/>
        </w:rPr>
        <w:t>), measured at both low and high microwave frequencies. The data were collected from manufacturers’ technical datasheets and relevant literature. The PET foil (Mylar A) used in this study is also included for reference. This comparison highlights the influence of substrate properties on circuit performance above 10 GHz and supports the discussion presented in the main text.</w:t>
      </w:r>
      <w:r w:rsidR="003971BD" w:rsidRPr="006F0C06">
        <w:rPr>
          <w:rFonts w:asciiTheme="majorBidi" w:hAnsiTheme="majorBidi" w:cstheme="majorBidi"/>
          <w:lang w:bidi="fa-IR"/>
        </w:rPr>
        <w:tab/>
      </w:r>
      <w:r w:rsidR="003971BD">
        <w:rPr>
          <w:rFonts w:asciiTheme="majorBidi" w:hAnsiTheme="majorBidi" w:cstheme="majorBidi"/>
          <w:lang w:bidi="fa-IR"/>
        </w:rPr>
        <w:tab/>
      </w:r>
    </w:p>
    <w:p w:rsidR="00D3094D" w:rsidRPr="006F0C06" w:rsidRDefault="00D3094D" w:rsidP="003971BD">
      <w:pPr>
        <w:pStyle w:val="NormalWeb"/>
        <w:jc w:val="center"/>
        <w:rPr>
          <w:rFonts w:asciiTheme="majorBidi" w:hAnsiTheme="majorBidi" w:cstheme="majorBidi"/>
          <w:sz w:val="22"/>
          <w:szCs w:val="22"/>
          <w:lang w:bidi="fa-IR"/>
        </w:rPr>
      </w:pPr>
      <w:r w:rsidRPr="006F0C06">
        <w:rPr>
          <w:rFonts w:asciiTheme="majorBidi" w:hAnsiTheme="majorBidi" w:cstheme="majorBidi"/>
          <w:sz w:val="22"/>
          <w:szCs w:val="22"/>
          <w:lang w:bidi="fa-IR"/>
        </w:rPr>
        <w:t>Table. S1: Comparison of commonly used substrate materials in RF and microwave applications.</w:t>
      </w:r>
    </w:p>
    <w:tbl>
      <w:tblPr>
        <w:tblStyle w:val="TableGrid"/>
        <w:tblW w:w="0" w:type="auto"/>
        <w:jc w:val="center"/>
        <w:tblInd w:w="0" w:type="dxa"/>
        <w:tblLayout w:type="fixed"/>
        <w:tblLook w:val="04A0" w:firstRow="1" w:lastRow="0" w:firstColumn="1" w:lastColumn="0" w:noHBand="0" w:noVBand="1"/>
      </w:tblPr>
      <w:tblGrid>
        <w:gridCol w:w="1511"/>
        <w:gridCol w:w="878"/>
        <w:gridCol w:w="1053"/>
        <w:gridCol w:w="1425"/>
        <w:gridCol w:w="1035"/>
        <w:gridCol w:w="1405"/>
        <w:gridCol w:w="1479"/>
      </w:tblGrid>
      <w:tr w:rsidR="00D3094D" w:rsidRPr="00D3094D" w:rsidTr="003971BD">
        <w:trPr>
          <w:trHeight w:val="665"/>
          <w:jc w:val="center"/>
        </w:trPr>
        <w:tc>
          <w:tcPr>
            <w:tcW w:w="1511" w:type="dxa"/>
            <w:vAlign w:val="center"/>
            <w:hideMark/>
          </w:tcPr>
          <w:p w:rsidR="00D3094D" w:rsidRPr="00D3094D" w:rsidRDefault="00D3094D" w:rsidP="003971BD">
            <w:pPr>
              <w:jc w:val="center"/>
              <w:rPr>
                <w:rFonts w:asciiTheme="majorBidi" w:hAnsiTheme="majorBidi" w:cstheme="majorBidi"/>
                <w:b/>
                <w:bCs/>
                <w:sz w:val="20"/>
                <w:szCs w:val="20"/>
              </w:rPr>
            </w:pPr>
            <w:r w:rsidRPr="00D3094D">
              <w:rPr>
                <w:rFonts w:asciiTheme="majorBidi" w:hAnsiTheme="majorBidi" w:cstheme="majorBidi"/>
                <w:b/>
                <w:bCs/>
                <w:sz w:val="20"/>
                <w:szCs w:val="20"/>
              </w:rPr>
              <w:t>Substrate</w:t>
            </w:r>
          </w:p>
        </w:tc>
        <w:tc>
          <w:tcPr>
            <w:tcW w:w="878" w:type="dxa"/>
            <w:vAlign w:val="center"/>
            <w:hideMark/>
          </w:tcPr>
          <w:p w:rsidR="00D3094D" w:rsidRPr="00D3094D" w:rsidRDefault="00D3094D" w:rsidP="003971BD">
            <w:pPr>
              <w:jc w:val="center"/>
              <w:rPr>
                <w:rFonts w:asciiTheme="majorBidi" w:hAnsiTheme="majorBidi" w:cstheme="majorBidi"/>
                <w:b/>
                <w:bCs/>
                <w:sz w:val="20"/>
                <w:szCs w:val="20"/>
              </w:rPr>
            </w:pPr>
            <w:r w:rsidRPr="00D3094D">
              <w:rPr>
                <w:rFonts w:asciiTheme="majorBidi" w:hAnsiTheme="majorBidi" w:cstheme="majorBidi"/>
                <w:b/>
                <w:bCs/>
                <w:sz w:val="20"/>
                <w:szCs w:val="20"/>
              </w:rPr>
              <w:t>Type</w:t>
            </w:r>
          </w:p>
        </w:tc>
        <w:tc>
          <w:tcPr>
            <w:tcW w:w="1053" w:type="dxa"/>
            <w:shd w:val="clear" w:color="auto" w:fill="EDEDED" w:themeFill="accent3" w:themeFillTint="33"/>
            <w:vAlign w:val="center"/>
            <w:hideMark/>
          </w:tcPr>
          <w:p w:rsidR="00D3094D" w:rsidRPr="00D3094D" w:rsidRDefault="00D3094D" w:rsidP="003971BD">
            <w:pPr>
              <w:jc w:val="center"/>
              <w:rPr>
                <w:rFonts w:asciiTheme="majorBidi" w:hAnsiTheme="majorBidi" w:cstheme="majorBidi"/>
                <w:b/>
                <w:bCs/>
                <w:sz w:val="20"/>
                <w:szCs w:val="20"/>
              </w:rPr>
            </w:pPr>
            <w:r w:rsidRPr="00D3094D">
              <w:rPr>
                <w:rFonts w:asciiTheme="majorBidi" w:hAnsiTheme="majorBidi" w:cstheme="majorBidi"/>
                <w:b/>
                <w:bCs/>
                <w:sz w:val="20"/>
                <w:szCs w:val="20"/>
              </w:rPr>
              <w:t>Dielectric Constant (</w:t>
            </w:r>
            <w:proofErr w:type="spellStart"/>
            <w:r w:rsidRPr="00D3094D">
              <w:rPr>
                <w:rFonts w:asciiTheme="majorBidi" w:hAnsiTheme="majorBidi" w:cstheme="majorBidi"/>
                <w:b/>
                <w:bCs/>
                <w:sz w:val="20"/>
                <w:szCs w:val="20"/>
              </w:rPr>
              <w:t>ε</w:t>
            </w:r>
            <w:r w:rsidRPr="00D3094D">
              <w:rPr>
                <w:rFonts w:asciiTheme="majorBidi" w:hAnsiTheme="majorBidi" w:cstheme="majorBidi"/>
                <w:b/>
                <w:bCs/>
                <w:sz w:val="20"/>
                <w:szCs w:val="20"/>
                <w:vertAlign w:val="subscript"/>
              </w:rPr>
              <w:t>r</w:t>
            </w:r>
            <w:proofErr w:type="spellEnd"/>
            <w:r w:rsidRPr="00D3094D">
              <w:rPr>
                <w:rFonts w:asciiTheme="majorBidi" w:hAnsiTheme="majorBidi" w:cstheme="majorBidi"/>
                <w:b/>
                <w:bCs/>
                <w:sz w:val="20"/>
                <w:szCs w:val="20"/>
              </w:rPr>
              <w:t>)</w:t>
            </w:r>
          </w:p>
        </w:tc>
        <w:tc>
          <w:tcPr>
            <w:tcW w:w="1425" w:type="dxa"/>
            <w:shd w:val="clear" w:color="auto" w:fill="EDEDED" w:themeFill="accent3" w:themeFillTint="33"/>
            <w:vAlign w:val="center"/>
            <w:hideMark/>
          </w:tcPr>
          <w:p w:rsidR="00D3094D" w:rsidRPr="00D3094D" w:rsidRDefault="00D3094D" w:rsidP="003971BD">
            <w:pPr>
              <w:jc w:val="center"/>
              <w:rPr>
                <w:rFonts w:asciiTheme="majorBidi" w:hAnsiTheme="majorBidi" w:cstheme="majorBidi"/>
                <w:b/>
                <w:bCs/>
                <w:sz w:val="20"/>
                <w:szCs w:val="20"/>
              </w:rPr>
            </w:pPr>
            <w:r w:rsidRPr="00D3094D">
              <w:rPr>
                <w:rFonts w:asciiTheme="majorBidi" w:hAnsiTheme="majorBidi" w:cstheme="majorBidi"/>
                <w:b/>
                <w:bCs/>
                <w:sz w:val="20"/>
                <w:szCs w:val="20"/>
              </w:rPr>
              <w:t>Frequency Dependency of (</w:t>
            </w:r>
            <w:proofErr w:type="spellStart"/>
            <w:r w:rsidRPr="00D3094D">
              <w:rPr>
                <w:rFonts w:asciiTheme="majorBidi" w:hAnsiTheme="majorBidi" w:cstheme="majorBidi"/>
                <w:b/>
                <w:bCs/>
                <w:sz w:val="20"/>
                <w:szCs w:val="20"/>
              </w:rPr>
              <w:t>ε</w:t>
            </w:r>
            <w:r w:rsidRPr="00D3094D">
              <w:rPr>
                <w:rFonts w:asciiTheme="majorBidi" w:hAnsiTheme="majorBidi" w:cstheme="majorBidi"/>
                <w:b/>
                <w:bCs/>
                <w:sz w:val="20"/>
                <w:szCs w:val="20"/>
                <w:vertAlign w:val="subscript"/>
              </w:rPr>
              <w:t>r</w:t>
            </w:r>
            <w:proofErr w:type="spellEnd"/>
            <w:r w:rsidRPr="00D3094D">
              <w:rPr>
                <w:rFonts w:asciiTheme="majorBidi" w:hAnsiTheme="majorBidi" w:cstheme="majorBidi"/>
                <w:b/>
                <w:bCs/>
                <w:sz w:val="20"/>
                <w:szCs w:val="20"/>
              </w:rPr>
              <w:t>)</w:t>
            </w:r>
          </w:p>
        </w:tc>
        <w:tc>
          <w:tcPr>
            <w:tcW w:w="1035" w:type="dxa"/>
            <w:shd w:val="clear" w:color="auto" w:fill="FFF2CC" w:themeFill="accent4" w:themeFillTint="33"/>
            <w:vAlign w:val="center"/>
            <w:hideMark/>
          </w:tcPr>
          <w:p w:rsidR="00D3094D" w:rsidRPr="00D3094D" w:rsidRDefault="00D3094D" w:rsidP="003971BD">
            <w:pPr>
              <w:jc w:val="center"/>
              <w:rPr>
                <w:rFonts w:asciiTheme="majorBidi" w:hAnsiTheme="majorBidi" w:cstheme="majorBidi"/>
                <w:b/>
                <w:bCs/>
                <w:sz w:val="20"/>
                <w:szCs w:val="20"/>
              </w:rPr>
            </w:pPr>
            <w:r w:rsidRPr="00D3094D">
              <w:rPr>
                <w:rFonts w:asciiTheme="majorBidi" w:hAnsiTheme="majorBidi" w:cstheme="majorBidi"/>
                <w:b/>
                <w:bCs/>
                <w:sz w:val="20"/>
                <w:szCs w:val="20"/>
              </w:rPr>
              <w:t>Loss Tangent (</w:t>
            </w:r>
            <w:proofErr w:type="spellStart"/>
            <w:r w:rsidRPr="00D3094D">
              <w:rPr>
                <w:rFonts w:asciiTheme="majorBidi" w:hAnsiTheme="majorBidi" w:cstheme="majorBidi"/>
                <w:b/>
                <w:bCs/>
                <w:sz w:val="20"/>
                <w:szCs w:val="20"/>
              </w:rPr>
              <w:t>tanδ</w:t>
            </w:r>
            <w:proofErr w:type="spellEnd"/>
            <w:r w:rsidRPr="00D3094D">
              <w:rPr>
                <w:rFonts w:asciiTheme="majorBidi" w:hAnsiTheme="majorBidi" w:cstheme="majorBidi"/>
                <w:b/>
                <w:bCs/>
                <w:sz w:val="20"/>
                <w:szCs w:val="20"/>
              </w:rPr>
              <w:t>)</w:t>
            </w:r>
          </w:p>
        </w:tc>
        <w:tc>
          <w:tcPr>
            <w:tcW w:w="1405" w:type="dxa"/>
            <w:shd w:val="clear" w:color="auto" w:fill="FFF2CC" w:themeFill="accent4" w:themeFillTint="33"/>
            <w:vAlign w:val="center"/>
            <w:hideMark/>
          </w:tcPr>
          <w:p w:rsidR="00D3094D" w:rsidRPr="00D3094D" w:rsidRDefault="00D3094D" w:rsidP="003971BD">
            <w:pPr>
              <w:jc w:val="center"/>
              <w:rPr>
                <w:rFonts w:asciiTheme="majorBidi" w:hAnsiTheme="majorBidi" w:cstheme="majorBidi"/>
                <w:b/>
                <w:bCs/>
                <w:sz w:val="20"/>
                <w:szCs w:val="20"/>
              </w:rPr>
            </w:pPr>
            <w:r w:rsidRPr="00D3094D">
              <w:rPr>
                <w:rFonts w:asciiTheme="majorBidi" w:hAnsiTheme="majorBidi" w:cstheme="majorBidi"/>
                <w:b/>
                <w:bCs/>
                <w:sz w:val="20"/>
                <w:szCs w:val="20"/>
              </w:rPr>
              <w:t xml:space="preserve"> Frequency Dependency of (</w:t>
            </w:r>
            <w:proofErr w:type="spellStart"/>
            <w:r w:rsidRPr="00D3094D">
              <w:rPr>
                <w:rFonts w:asciiTheme="majorBidi" w:hAnsiTheme="majorBidi" w:cstheme="majorBidi"/>
                <w:b/>
                <w:bCs/>
                <w:sz w:val="20"/>
                <w:szCs w:val="20"/>
              </w:rPr>
              <w:t>tanδ</w:t>
            </w:r>
            <w:proofErr w:type="spellEnd"/>
            <w:r w:rsidRPr="00D3094D">
              <w:rPr>
                <w:rFonts w:asciiTheme="majorBidi" w:hAnsiTheme="majorBidi" w:cstheme="majorBidi"/>
                <w:b/>
                <w:bCs/>
                <w:sz w:val="20"/>
                <w:szCs w:val="20"/>
              </w:rPr>
              <w:t>)</w:t>
            </w:r>
          </w:p>
        </w:tc>
        <w:tc>
          <w:tcPr>
            <w:tcW w:w="1479" w:type="dxa"/>
            <w:vAlign w:val="center"/>
            <w:hideMark/>
          </w:tcPr>
          <w:p w:rsidR="00D3094D" w:rsidRPr="00D3094D" w:rsidRDefault="00D3094D" w:rsidP="003971BD">
            <w:pPr>
              <w:jc w:val="center"/>
              <w:rPr>
                <w:rFonts w:asciiTheme="majorBidi" w:hAnsiTheme="majorBidi" w:cstheme="majorBidi"/>
                <w:b/>
                <w:bCs/>
                <w:sz w:val="20"/>
                <w:szCs w:val="20"/>
              </w:rPr>
            </w:pPr>
            <w:r w:rsidRPr="00D3094D">
              <w:rPr>
                <w:rFonts w:asciiTheme="majorBidi" w:hAnsiTheme="majorBidi" w:cstheme="majorBidi"/>
                <w:b/>
                <w:bCs/>
                <w:sz w:val="20"/>
                <w:szCs w:val="20"/>
              </w:rPr>
              <w:t>Suitable Frequency Range</w:t>
            </w:r>
          </w:p>
        </w:tc>
      </w:tr>
      <w:tr w:rsidR="00D3094D" w:rsidRPr="00D3094D" w:rsidTr="003971BD">
        <w:trPr>
          <w:trHeight w:val="902"/>
          <w:jc w:val="center"/>
        </w:trPr>
        <w:tc>
          <w:tcPr>
            <w:tcW w:w="1511" w:type="dxa"/>
            <w:vAlign w:val="center"/>
            <w:hideMark/>
          </w:tcPr>
          <w:p w:rsidR="00D3094D" w:rsidRPr="00D3094D" w:rsidRDefault="002C4EFD" w:rsidP="002C4EFD">
            <w:pPr>
              <w:jc w:val="center"/>
              <w:rPr>
                <w:rFonts w:asciiTheme="majorBidi" w:hAnsiTheme="majorBidi" w:cstheme="majorBidi"/>
                <w:b/>
                <w:bCs/>
                <w:sz w:val="20"/>
                <w:szCs w:val="20"/>
              </w:rPr>
            </w:pPr>
            <w:r>
              <w:rPr>
                <w:rFonts w:asciiTheme="majorBidi" w:hAnsiTheme="majorBidi" w:cstheme="majorBidi"/>
                <w:b/>
                <w:bCs/>
                <w:sz w:val="20"/>
                <w:szCs w:val="20"/>
              </w:rPr>
              <w:t>Rogers 4003C</w:t>
            </w:r>
            <w:r w:rsidR="003971BD" w:rsidRPr="002C4EFD">
              <w:rPr>
                <w:rFonts w:asciiTheme="majorBidi" w:hAnsiTheme="majorBidi" w:cstheme="majorBidi"/>
                <w:b/>
                <w:bCs/>
                <w:sz w:val="20"/>
                <w:szCs w:val="20"/>
                <w:vertAlign w:val="superscript"/>
              </w:rPr>
              <w:t>S4</w:t>
            </w:r>
          </w:p>
        </w:tc>
        <w:tc>
          <w:tcPr>
            <w:tcW w:w="878" w:type="dxa"/>
            <w:vAlign w:val="center"/>
            <w:hideMark/>
          </w:tcPr>
          <w:p w:rsidR="00D3094D" w:rsidRPr="00D3094D" w:rsidRDefault="00D3094D" w:rsidP="00D3094D">
            <w:pPr>
              <w:jc w:val="center"/>
              <w:rPr>
                <w:rFonts w:asciiTheme="majorBidi" w:hAnsiTheme="majorBidi" w:cstheme="majorBidi"/>
                <w:sz w:val="20"/>
                <w:szCs w:val="20"/>
              </w:rPr>
            </w:pPr>
            <w:r w:rsidRPr="00D3094D">
              <w:rPr>
                <w:rFonts w:asciiTheme="majorBidi" w:hAnsiTheme="majorBidi" w:cstheme="majorBidi"/>
                <w:sz w:val="20"/>
                <w:szCs w:val="20"/>
              </w:rPr>
              <w:t>Rigid</w:t>
            </w:r>
          </w:p>
        </w:tc>
        <w:tc>
          <w:tcPr>
            <w:tcW w:w="1053" w:type="dxa"/>
            <w:shd w:val="clear" w:color="auto" w:fill="EDEDED" w:themeFill="accent3" w:themeFillTint="33"/>
            <w:vAlign w:val="center"/>
            <w:hideMark/>
          </w:tcPr>
          <w:p w:rsidR="00D3094D" w:rsidRPr="00D3094D" w:rsidRDefault="00D3094D" w:rsidP="00D3094D">
            <w:pPr>
              <w:jc w:val="center"/>
              <w:rPr>
                <w:rFonts w:asciiTheme="majorBidi" w:hAnsiTheme="majorBidi" w:cstheme="majorBidi"/>
                <w:sz w:val="20"/>
                <w:szCs w:val="20"/>
              </w:rPr>
            </w:pPr>
            <w:r w:rsidRPr="00D3094D">
              <w:rPr>
                <w:rFonts w:asciiTheme="majorBidi" w:hAnsiTheme="majorBidi" w:cstheme="majorBidi"/>
                <w:sz w:val="20"/>
                <w:szCs w:val="20"/>
              </w:rPr>
              <w:t>~3.38</w:t>
            </w:r>
          </w:p>
        </w:tc>
        <w:tc>
          <w:tcPr>
            <w:tcW w:w="1425" w:type="dxa"/>
            <w:shd w:val="clear" w:color="auto" w:fill="EDEDED" w:themeFill="accent3" w:themeFillTint="33"/>
            <w:vAlign w:val="center"/>
            <w:hideMark/>
          </w:tcPr>
          <w:p w:rsidR="00D3094D" w:rsidRPr="00D3094D" w:rsidRDefault="00D3094D" w:rsidP="00D3094D">
            <w:pPr>
              <w:rPr>
                <w:rFonts w:asciiTheme="majorBidi" w:hAnsiTheme="majorBidi" w:cstheme="majorBidi"/>
                <w:sz w:val="20"/>
                <w:szCs w:val="20"/>
              </w:rPr>
            </w:pPr>
            <w:r w:rsidRPr="00D3094D">
              <w:rPr>
                <w:rFonts w:asciiTheme="majorBidi" w:hAnsiTheme="majorBidi" w:cstheme="majorBidi"/>
                <w:sz w:val="20"/>
                <w:szCs w:val="20"/>
              </w:rPr>
              <w:t>Slightly decreases as frequency increases</w:t>
            </w:r>
          </w:p>
        </w:tc>
        <w:tc>
          <w:tcPr>
            <w:tcW w:w="1035" w:type="dxa"/>
            <w:shd w:val="clear" w:color="auto" w:fill="FFF2CC" w:themeFill="accent4" w:themeFillTint="33"/>
            <w:vAlign w:val="center"/>
            <w:hideMark/>
          </w:tcPr>
          <w:p w:rsidR="00D3094D" w:rsidRPr="00D3094D" w:rsidRDefault="00D3094D" w:rsidP="00D3094D">
            <w:pPr>
              <w:jc w:val="center"/>
              <w:rPr>
                <w:rFonts w:asciiTheme="majorBidi" w:hAnsiTheme="majorBidi" w:cstheme="majorBidi"/>
                <w:sz w:val="20"/>
                <w:szCs w:val="20"/>
              </w:rPr>
            </w:pPr>
            <w:r w:rsidRPr="00D3094D">
              <w:rPr>
                <w:rFonts w:asciiTheme="majorBidi" w:hAnsiTheme="majorBidi" w:cstheme="majorBidi"/>
                <w:sz w:val="20"/>
                <w:szCs w:val="20"/>
              </w:rPr>
              <w:t>~0.0027</w:t>
            </w:r>
          </w:p>
        </w:tc>
        <w:tc>
          <w:tcPr>
            <w:tcW w:w="1405" w:type="dxa"/>
            <w:shd w:val="clear" w:color="auto" w:fill="FFF2CC" w:themeFill="accent4" w:themeFillTint="33"/>
            <w:vAlign w:val="center"/>
            <w:hideMark/>
          </w:tcPr>
          <w:p w:rsidR="00D3094D" w:rsidRPr="00D3094D" w:rsidRDefault="00D3094D" w:rsidP="00D3094D">
            <w:pPr>
              <w:rPr>
                <w:rFonts w:asciiTheme="majorBidi" w:hAnsiTheme="majorBidi" w:cstheme="majorBidi"/>
                <w:sz w:val="20"/>
                <w:szCs w:val="20"/>
              </w:rPr>
            </w:pPr>
            <w:r w:rsidRPr="00D3094D">
              <w:rPr>
                <w:rFonts w:asciiTheme="majorBidi" w:hAnsiTheme="majorBidi" w:cstheme="majorBidi"/>
                <w:sz w:val="20"/>
                <w:szCs w:val="20"/>
              </w:rPr>
              <w:t>Remains low and stable</w:t>
            </w:r>
          </w:p>
        </w:tc>
        <w:tc>
          <w:tcPr>
            <w:tcW w:w="1479" w:type="dxa"/>
            <w:vAlign w:val="center"/>
            <w:hideMark/>
          </w:tcPr>
          <w:p w:rsidR="00D3094D" w:rsidRPr="00D3094D" w:rsidRDefault="00D3094D" w:rsidP="00D3094D">
            <w:pPr>
              <w:rPr>
                <w:rFonts w:asciiTheme="majorBidi" w:hAnsiTheme="majorBidi" w:cstheme="majorBidi"/>
                <w:sz w:val="20"/>
                <w:szCs w:val="20"/>
              </w:rPr>
            </w:pPr>
            <w:r w:rsidRPr="00D3094D">
              <w:rPr>
                <w:rFonts w:asciiTheme="majorBidi" w:hAnsiTheme="majorBidi" w:cstheme="majorBidi"/>
                <w:sz w:val="20"/>
                <w:szCs w:val="20"/>
              </w:rPr>
              <w:t>Up to 10 GHz, ideal for RF/microwave</w:t>
            </w:r>
          </w:p>
        </w:tc>
      </w:tr>
      <w:tr w:rsidR="00D3094D" w:rsidRPr="00D3094D" w:rsidTr="003971BD">
        <w:trPr>
          <w:trHeight w:val="1136"/>
          <w:jc w:val="center"/>
        </w:trPr>
        <w:tc>
          <w:tcPr>
            <w:tcW w:w="1511" w:type="dxa"/>
            <w:vAlign w:val="center"/>
            <w:hideMark/>
          </w:tcPr>
          <w:p w:rsidR="00D3094D" w:rsidRPr="00D3094D" w:rsidRDefault="002C4EFD" w:rsidP="002C4EFD">
            <w:pPr>
              <w:jc w:val="center"/>
              <w:rPr>
                <w:rFonts w:asciiTheme="majorBidi" w:hAnsiTheme="majorBidi" w:cstheme="majorBidi"/>
                <w:b/>
                <w:bCs/>
                <w:sz w:val="20"/>
                <w:szCs w:val="20"/>
              </w:rPr>
            </w:pPr>
            <w:r>
              <w:rPr>
                <w:rFonts w:asciiTheme="majorBidi" w:hAnsiTheme="majorBidi" w:cstheme="majorBidi"/>
                <w:b/>
                <w:bCs/>
                <w:sz w:val="20"/>
                <w:szCs w:val="20"/>
              </w:rPr>
              <w:t>Rogers 3003</w:t>
            </w:r>
            <w:r w:rsidR="003971BD" w:rsidRPr="002C4EFD">
              <w:rPr>
                <w:rFonts w:asciiTheme="majorBidi" w:hAnsiTheme="majorBidi" w:cstheme="majorBidi"/>
                <w:b/>
                <w:bCs/>
                <w:sz w:val="20"/>
                <w:szCs w:val="20"/>
                <w:vertAlign w:val="superscript"/>
              </w:rPr>
              <w:t>S5</w:t>
            </w:r>
          </w:p>
        </w:tc>
        <w:tc>
          <w:tcPr>
            <w:tcW w:w="878" w:type="dxa"/>
            <w:vAlign w:val="center"/>
            <w:hideMark/>
          </w:tcPr>
          <w:p w:rsidR="00D3094D" w:rsidRPr="00D3094D" w:rsidRDefault="00D3094D" w:rsidP="00D3094D">
            <w:pPr>
              <w:jc w:val="center"/>
              <w:rPr>
                <w:rFonts w:asciiTheme="majorBidi" w:hAnsiTheme="majorBidi" w:cstheme="majorBidi"/>
                <w:sz w:val="20"/>
                <w:szCs w:val="20"/>
              </w:rPr>
            </w:pPr>
            <w:r w:rsidRPr="00D3094D">
              <w:rPr>
                <w:rFonts w:asciiTheme="majorBidi" w:hAnsiTheme="majorBidi" w:cstheme="majorBidi"/>
                <w:sz w:val="20"/>
                <w:szCs w:val="20"/>
              </w:rPr>
              <w:t>Rigid</w:t>
            </w:r>
          </w:p>
        </w:tc>
        <w:tc>
          <w:tcPr>
            <w:tcW w:w="1053" w:type="dxa"/>
            <w:shd w:val="clear" w:color="auto" w:fill="EDEDED" w:themeFill="accent3" w:themeFillTint="33"/>
            <w:vAlign w:val="center"/>
            <w:hideMark/>
          </w:tcPr>
          <w:p w:rsidR="00D3094D" w:rsidRPr="00D3094D" w:rsidRDefault="00D3094D" w:rsidP="00D3094D">
            <w:pPr>
              <w:jc w:val="center"/>
              <w:rPr>
                <w:rFonts w:asciiTheme="majorBidi" w:hAnsiTheme="majorBidi" w:cstheme="majorBidi"/>
                <w:sz w:val="20"/>
                <w:szCs w:val="20"/>
              </w:rPr>
            </w:pPr>
            <w:r w:rsidRPr="00D3094D">
              <w:rPr>
                <w:rFonts w:asciiTheme="majorBidi" w:hAnsiTheme="majorBidi" w:cstheme="majorBidi"/>
                <w:sz w:val="20"/>
                <w:szCs w:val="20"/>
              </w:rPr>
              <w:t>~3.0</w:t>
            </w:r>
          </w:p>
        </w:tc>
        <w:tc>
          <w:tcPr>
            <w:tcW w:w="1425" w:type="dxa"/>
            <w:shd w:val="clear" w:color="auto" w:fill="EDEDED" w:themeFill="accent3" w:themeFillTint="33"/>
            <w:vAlign w:val="center"/>
            <w:hideMark/>
          </w:tcPr>
          <w:p w:rsidR="00D3094D" w:rsidRPr="00D3094D" w:rsidRDefault="00D3094D" w:rsidP="00D3094D">
            <w:pPr>
              <w:rPr>
                <w:rFonts w:asciiTheme="majorBidi" w:hAnsiTheme="majorBidi" w:cstheme="majorBidi"/>
                <w:sz w:val="20"/>
                <w:szCs w:val="20"/>
              </w:rPr>
            </w:pPr>
            <w:r w:rsidRPr="00D3094D">
              <w:rPr>
                <w:rFonts w:asciiTheme="majorBidi" w:hAnsiTheme="majorBidi" w:cstheme="majorBidi"/>
                <w:sz w:val="20"/>
                <w:szCs w:val="20"/>
              </w:rPr>
              <w:t>Very stable across frequencies</w:t>
            </w:r>
          </w:p>
        </w:tc>
        <w:tc>
          <w:tcPr>
            <w:tcW w:w="1035" w:type="dxa"/>
            <w:shd w:val="clear" w:color="auto" w:fill="FFF2CC" w:themeFill="accent4" w:themeFillTint="33"/>
            <w:vAlign w:val="center"/>
            <w:hideMark/>
          </w:tcPr>
          <w:p w:rsidR="00D3094D" w:rsidRPr="00D3094D" w:rsidRDefault="00D3094D" w:rsidP="00D3094D">
            <w:pPr>
              <w:jc w:val="center"/>
              <w:rPr>
                <w:rFonts w:asciiTheme="majorBidi" w:hAnsiTheme="majorBidi" w:cstheme="majorBidi"/>
                <w:sz w:val="20"/>
                <w:szCs w:val="20"/>
              </w:rPr>
            </w:pPr>
            <w:r w:rsidRPr="00D3094D">
              <w:rPr>
                <w:rFonts w:asciiTheme="majorBidi" w:hAnsiTheme="majorBidi" w:cstheme="majorBidi"/>
                <w:sz w:val="20"/>
                <w:szCs w:val="20"/>
              </w:rPr>
              <w:t>~0.0013</w:t>
            </w:r>
          </w:p>
        </w:tc>
        <w:tc>
          <w:tcPr>
            <w:tcW w:w="1405" w:type="dxa"/>
            <w:shd w:val="clear" w:color="auto" w:fill="FFF2CC" w:themeFill="accent4" w:themeFillTint="33"/>
            <w:vAlign w:val="center"/>
            <w:hideMark/>
          </w:tcPr>
          <w:p w:rsidR="00D3094D" w:rsidRPr="00D3094D" w:rsidRDefault="00D3094D" w:rsidP="00D3094D">
            <w:pPr>
              <w:rPr>
                <w:rFonts w:asciiTheme="majorBidi" w:hAnsiTheme="majorBidi" w:cstheme="majorBidi"/>
                <w:sz w:val="20"/>
                <w:szCs w:val="20"/>
              </w:rPr>
            </w:pPr>
            <w:r w:rsidRPr="00D3094D">
              <w:rPr>
                <w:rFonts w:asciiTheme="majorBidi" w:hAnsiTheme="majorBidi" w:cstheme="majorBidi"/>
                <w:sz w:val="20"/>
                <w:szCs w:val="20"/>
              </w:rPr>
              <w:t>Very low loss, stable</w:t>
            </w:r>
          </w:p>
        </w:tc>
        <w:tc>
          <w:tcPr>
            <w:tcW w:w="1479" w:type="dxa"/>
            <w:vAlign w:val="center"/>
            <w:hideMark/>
          </w:tcPr>
          <w:p w:rsidR="00D3094D" w:rsidRPr="00D3094D" w:rsidRDefault="00D3094D" w:rsidP="00D3094D">
            <w:pPr>
              <w:rPr>
                <w:rFonts w:asciiTheme="majorBidi" w:hAnsiTheme="majorBidi" w:cstheme="majorBidi"/>
                <w:sz w:val="20"/>
                <w:szCs w:val="20"/>
              </w:rPr>
            </w:pPr>
            <w:r w:rsidRPr="00D3094D">
              <w:rPr>
                <w:rFonts w:asciiTheme="majorBidi" w:hAnsiTheme="majorBidi" w:cstheme="majorBidi"/>
                <w:sz w:val="20"/>
                <w:szCs w:val="20"/>
              </w:rPr>
              <w:t>Suitable for high-frequency microwave/</w:t>
            </w:r>
            <w:proofErr w:type="spellStart"/>
            <w:r w:rsidRPr="00D3094D">
              <w:rPr>
                <w:rFonts w:asciiTheme="majorBidi" w:hAnsiTheme="majorBidi" w:cstheme="majorBidi"/>
                <w:sz w:val="20"/>
                <w:szCs w:val="20"/>
              </w:rPr>
              <w:t>mmWave</w:t>
            </w:r>
            <w:proofErr w:type="spellEnd"/>
          </w:p>
        </w:tc>
      </w:tr>
      <w:tr w:rsidR="00D3094D" w:rsidRPr="00D3094D" w:rsidTr="003971BD">
        <w:trPr>
          <w:trHeight w:val="1331"/>
          <w:jc w:val="center"/>
        </w:trPr>
        <w:tc>
          <w:tcPr>
            <w:tcW w:w="1511" w:type="dxa"/>
            <w:vAlign w:val="center"/>
            <w:hideMark/>
          </w:tcPr>
          <w:p w:rsidR="00D3094D" w:rsidRPr="00D3094D" w:rsidRDefault="002C4EFD" w:rsidP="003971BD">
            <w:pPr>
              <w:jc w:val="center"/>
              <w:rPr>
                <w:rFonts w:asciiTheme="majorBidi" w:hAnsiTheme="majorBidi" w:cstheme="majorBidi"/>
                <w:b/>
                <w:bCs/>
                <w:sz w:val="20"/>
                <w:szCs w:val="20"/>
              </w:rPr>
            </w:pPr>
            <w:r>
              <w:rPr>
                <w:rFonts w:asciiTheme="majorBidi" w:hAnsiTheme="majorBidi" w:cstheme="majorBidi"/>
                <w:b/>
                <w:bCs/>
                <w:sz w:val="20"/>
                <w:szCs w:val="20"/>
              </w:rPr>
              <w:t>PET (Mylar A)</w:t>
            </w:r>
            <w:r w:rsidR="003971BD" w:rsidRPr="002C4EFD">
              <w:rPr>
                <w:rFonts w:asciiTheme="majorBidi" w:hAnsiTheme="majorBidi" w:cstheme="majorBidi"/>
                <w:b/>
                <w:bCs/>
                <w:sz w:val="20"/>
                <w:szCs w:val="20"/>
                <w:vertAlign w:val="superscript"/>
              </w:rPr>
              <w:t>S6</w:t>
            </w:r>
          </w:p>
        </w:tc>
        <w:tc>
          <w:tcPr>
            <w:tcW w:w="878" w:type="dxa"/>
            <w:vAlign w:val="center"/>
            <w:hideMark/>
          </w:tcPr>
          <w:p w:rsidR="00D3094D" w:rsidRPr="00D3094D" w:rsidRDefault="00D3094D" w:rsidP="00D3094D">
            <w:pPr>
              <w:jc w:val="center"/>
              <w:rPr>
                <w:rFonts w:asciiTheme="majorBidi" w:hAnsiTheme="majorBidi" w:cstheme="majorBidi"/>
                <w:sz w:val="20"/>
                <w:szCs w:val="20"/>
              </w:rPr>
            </w:pPr>
            <w:r w:rsidRPr="00D3094D">
              <w:rPr>
                <w:rFonts w:asciiTheme="majorBidi" w:hAnsiTheme="majorBidi" w:cstheme="majorBidi"/>
                <w:sz w:val="20"/>
                <w:szCs w:val="20"/>
              </w:rPr>
              <w:t>Flexible</w:t>
            </w:r>
          </w:p>
        </w:tc>
        <w:tc>
          <w:tcPr>
            <w:tcW w:w="1053" w:type="dxa"/>
            <w:shd w:val="clear" w:color="auto" w:fill="EDEDED" w:themeFill="accent3" w:themeFillTint="33"/>
            <w:vAlign w:val="center"/>
            <w:hideMark/>
          </w:tcPr>
          <w:p w:rsidR="00D3094D" w:rsidRPr="00D3094D" w:rsidRDefault="00052E8E" w:rsidP="00052E8E">
            <w:pPr>
              <w:jc w:val="center"/>
              <w:rPr>
                <w:rFonts w:asciiTheme="majorBidi" w:hAnsiTheme="majorBidi" w:cstheme="majorBidi"/>
                <w:sz w:val="20"/>
                <w:szCs w:val="20"/>
              </w:rPr>
            </w:pPr>
            <w:r w:rsidRPr="006F0C06">
              <w:rPr>
                <w:rFonts w:asciiTheme="majorBidi" w:hAnsiTheme="majorBidi" w:cstheme="majorBidi"/>
                <w:sz w:val="20"/>
                <w:szCs w:val="20"/>
              </w:rPr>
              <w:t>~2.8</w:t>
            </w:r>
          </w:p>
        </w:tc>
        <w:tc>
          <w:tcPr>
            <w:tcW w:w="1425" w:type="dxa"/>
            <w:shd w:val="clear" w:color="auto" w:fill="EDEDED" w:themeFill="accent3" w:themeFillTint="33"/>
            <w:vAlign w:val="center"/>
            <w:hideMark/>
          </w:tcPr>
          <w:p w:rsidR="00D3094D" w:rsidRPr="00D3094D" w:rsidRDefault="00D3094D" w:rsidP="00D3094D">
            <w:pPr>
              <w:rPr>
                <w:rFonts w:asciiTheme="majorBidi" w:hAnsiTheme="majorBidi" w:cstheme="majorBidi"/>
                <w:sz w:val="20"/>
                <w:szCs w:val="20"/>
              </w:rPr>
            </w:pPr>
            <w:r w:rsidRPr="00D3094D">
              <w:rPr>
                <w:rFonts w:asciiTheme="majorBidi" w:hAnsiTheme="majorBidi" w:cstheme="majorBidi"/>
                <w:sz w:val="20"/>
                <w:szCs w:val="20"/>
              </w:rPr>
              <w:t>Varies slightly but relatively stable</w:t>
            </w:r>
          </w:p>
        </w:tc>
        <w:tc>
          <w:tcPr>
            <w:tcW w:w="1035" w:type="dxa"/>
            <w:shd w:val="clear" w:color="auto" w:fill="FFF2CC" w:themeFill="accent4" w:themeFillTint="33"/>
            <w:vAlign w:val="center"/>
            <w:hideMark/>
          </w:tcPr>
          <w:p w:rsidR="00D3094D" w:rsidRPr="00D3094D" w:rsidRDefault="00D3094D" w:rsidP="00D3094D">
            <w:pPr>
              <w:jc w:val="center"/>
              <w:rPr>
                <w:rFonts w:asciiTheme="majorBidi" w:hAnsiTheme="majorBidi" w:cstheme="majorBidi"/>
                <w:sz w:val="20"/>
                <w:szCs w:val="20"/>
              </w:rPr>
            </w:pPr>
            <w:r w:rsidRPr="00D3094D">
              <w:rPr>
                <w:rFonts w:asciiTheme="majorBidi" w:hAnsiTheme="majorBidi" w:cstheme="majorBidi"/>
                <w:sz w:val="20"/>
                <w:szCs w:val="20"/>
              </w:rPr>
              <w:t>~0.005–0.01</w:t>
            </w:r>
          </w:p>
        </w:tc>
        <w:tc>
          <w:tcPr>
            <w:tcW w:w="1405" w:type="dxa"/>
            <w:shd w:val="clear" w:color="auto" w:fill="FFF2CC" w:themeFill="accent4" w:themeFillTint="33"/>
            <w:vAlign w:val="center"/>
            <w:hideMark/>
          </w:tcPr>
          <w:p w:rsidR="00D3094D" w:rsidRPr="00D3094D" w:rsidRDefault="00D3094D" w:rsidP="00D3094D">
            <w:pPr>
              <w:rPr>
                <w:rFonts w:asciiTheme="majorBidi" w:hAnsiTheme="majorBidi" w:cstheme="majorBidi"/>
                <w:sz w:val="20"/>
                <w:szCs w:val="20"/>
              </w:rPr>
            </w:pPr>
            <w:r w:rsidRPr="00D3094D">
              <w:rPr>
                <w:rFonts w:asciiTheme="majorBidi" w:hAnsiTheme="majorBidi" w:cstheme="majorBidi"/>
                <w:sz w:val="20"/>
                <w:szCs w:val="20"/>
              </w:rPr>
              <w:t>Increases with frequency, leading to higher losses</w:t>
            </w:r>
          </w:p>
        </w:tc>
        <w:tc>
          <w:tcPr>
            <w:tcW w:w="1479" w:type="dxa"/>
            <w:vAlign w:val="center"/>
            <w:hideMark/>
          </w:tcPr>
          <w:p w:rsidR="00D3094D" w:rsidRPr="00D3094D" w:rsidRDefault="00D3094D" w:rsidP="00D3094D">
            <w:pPr>
              <w:rPr>
                <w:rFonts w:asciiTheme="majorBidi" w:hAnsiTheme="majorBidi" w:cstheme="majorBidi"/>
                <w:sz w:val="20"/>
                <w:szCs w:val="20"/>
              </w:rPr>
            </w:pPr>
            <w:r w:rsidRPr="00D3094D">
              <w:rPr>
                <w:rFonts w:asciiTheme="majorBidi" w:hAnsiTheme="majorBidi" w:cstheme="majorBidi"/>
                <w:sz w:val="20"/>
                <w:szCs w:val="20"/>
              </w:rPr>
              <w:t>Best for low-frequency applications, not ideal for high-frequency RF</w:t>
            </w:r>
          </w:p>
        </w:tc>
      </w:tr>
      <w:tr w:rsidR="00D3094D" w:rsidRPr="00D3094D" w:rsidTr="003971BD">
        <w:trPr>
          <w:trHeight w:val="1172"/>
          <w:jc w:val="center"/>
        </w:trPr>
        <w:tc>
          <w:tcPr>
            <w:tcW w:w="1511" w:type="dxa"/>
            <w:vAlign w:val="center"/>
            <w:hideMark/>
          </w:tcPr>
          <w:p w:rsidR="00D3094D" w:rsidRPr="00D3094D" w:rsidRDefault="002C4EFD" w:rsidP="003971BD">
            <w:pPr>
              <w:jc w:val="center"/>
              <w:rPr>
                <w:rFonts w:asciiTheme="majorBidi" w:hAnsiTheme="majorBidi" w:cstheme="majorBidi"/>
                <w:b/>
                <w:bCs/>
                <w:sz w:val="20"/>
                <w:szCs w:val="20"/>
              </w:rPr>
            </w:pPr>
            <w:proofErr w:type="spellStart"/>
            <w:r>
              <w:rPr>
                <w:rFonts w:asciiTheme="majorBidi" w:hAnsiTheme="majorBidi" w:cstheme="majorBidi"/>
                <w:b/>
                <w:bCs/>
                <w:sz w:val="20"/>
                <w:szCs w:val="20"/>
              </w:rPr>
              <w:t>Kapton</w:t>
            </w:r>
            <w:proofErr w:type="spellEnd"/>
            <w:r>
              <w:rPr>
                <w:rFonts w:asciiTheme="majorBidi" w:hAnsiTheme="majorBidi" w:cstheme="majorBidi"/>
                <w:b/>
                <w:bCs/>
                <w:sz w:val="20"/>
                <w:szCs w:val="20"/>
              </w:rPr>
              <w:t xml:space="preserve"> (Polyimide)</w:t>
            </w:r>
            <w:r w:rsidR="003971BD" w:rsidRPr="002C4EFD">
              <w:rPr>
                <w:rFonts w:asciiTheme="majorBidi" w:hAnsiTheme="majorBidi" w:cstheme="majorBidi"/>
                <w:b/>
                <w:bCs/>
                <w:sz w:val="20"/>
                <w:szCs w:val="20"/>
                <w:vertAlign w:val="superscript"/>
              </w:rPr>
              <w:t>S7</w:t>
            </w:r>
          </w:p>
        </w:tc>
        <w:tc>
          <w:tcPr>
            <w:tcW w:w="878" w:type="dxa"/>
            <w:vAlign w:val="center"/>
            <w:hideMark/>
          </w:tcPr>
          <w:p w:rsidR="00D3094D" w:rsidRPr="00D3094D" w:rsidRDefault="00D3094D" w:rsidP="00D3094D">
            <w:pPr>
              <w:jc w:val="center"/>
              <w:rPr>
                <w:rFonts w:asciiTheme="majorBidi" w:hAnsiTheme="majorBidi" w:cstheme="majorBidi"/>
                <w:sz w:val="20"/>
                <w:szCs w:val="20"/>
              </w:rPr>
            </w:pPr>
            <w:r w:rsidRPr="00D3094D">
              <w:rPr>
                <w:rFonts w:asciiTheme="majorBidi" w:hAnsiTheme="majorBidi" w:cstheme="majorBidi"/>
                <w:sz w:val="20"/>
                <w:szCs w:val="20"/>
              </w:rPr>
              <w:t>Flexible</w:t>
            </w:r>
          </w:p>
        </w:tc>
        <w:tc>
          <w:tcPr>
            <w:tcW w:w="1053" w:type="dxa"/>
            <w:shd w:val="clear" w:color="auto" w:fill="EDEDED" w:themeFill="accent3" w:themeFillTint="33"/>
            <w:vAlign w:val="center"/>
            <w:hideMark/>
          </w:tcPr>
          <w:p w:rsidR="00D3094D" w:rsidRPr="00D3094D" w:rsidRDefault="00D3094D" w:rsidP="00D3094D">
            <w:pPr>
              <w:jc w:val="center"/>
              <w:rPr>
                <w:rFonts w:asciiTheme="majorBidi" w:hAnsiTheme="majorBidi" w:cstheme="majorBidi"/>
                <w:sz w:val="20"/>
                <w:szCs w:val="20"/>
              </w:rPr>
            </w:pPr>
            <w:r w:rsidRPr="00D3094D">
              <w:rPr>
                <w:rFonts w:asciiTheme="majorBidi" w:hAnsiTheme="majorBidi" w:cstheme="majorBidi"/>
                <w:sz w:val="20"/>
                <w:szCs w:val="20"/>
              </w:rPr>
              <w:t>~3.4</w:t>
            </w:r>
          </w:p>
        </w:tc>
        <w:tc>
          <w:tcPr>
            <w:tcW w:w="1425" w:type="dxa"/>
            <w:shd w:val="clear" w:color="auto" w:fill="EDEDED" w:themeFill="accent3" w:themeFillTint="33"/>
            <w:vAlign w:val="center"/>
            <w:hideMark/>
          </w:tcPr>
          <w:p w:rsidR="00D3094D" w:rsidRPr="00D3094D" w:rsidRDefault="00D3094D" w:rsidP="00D3094D">
            <w:pPr>
              <w:rPr>
                <w:rFonts w:asciiTheme="majorBidi" w:hAnsiTheme="majorBidi" w:cstheme="majorBidi"/>
                <w:sz w:val="20"/>
                <w:szCs w:val="20"/>
              </w:rPr>
            </w:pPr>
            <w:r w:rsidRPr="00D3094D">
              <w:rPr>
                <w:rFonts w:asciiTheme="majorBidi" w:hAnsiTheme="majorBidi" w:cstheme="majorBidi"/>
                <w:sz w:val="20"/>
                <w:szCs w:val="20"/>
              </w:rPr>
              <w:t>Stable across frequencies</w:t>
            </w:r>
          </w:p>
        </w:tc>
        <w:tc>
          <w:tcPr>
            <w:tcW w:w="1035" w:type="dxa"/>
            <w:shd w:val="clear" w:color="auto" w:fill="FFF2CC" w:themeFill="accent4" w:themeFillTint="33"/>
            <w:vAlign w:val="center"/>
            <w:hideMark/>
          </w:tcPr>
          <w:p w:rsidR="00D3094D" w:rsidRPr="00D3094D" w:rsidRDefault="00D3094D" w:rsidP="00D3094D">
            <w:pPr>
              <w:jc w:val="center"/>
              <w:rPr>
                <w:rFonts w:asciiTheme="majorBidi" w:hAnsiTheme="majorBidi" w:cstheme="majorBidi"/>
                <w:sz w:val="20"/>
                <w:szCs w:val="20"/>
              </w:rPr>
            </w:pPr>
            <w:r w:rsidRPr="00D3094D">
              <w:rPr>
                <w:rFonts w:asciiTheme="majorBidi" w:hAnsiTheme="majorBidi" w:cstheme="majorBidi"/>
                <w:sz w:val="20"/>
                <w:szCs w:val="20"/>
              </w:rPr>
              <w:t>~0.002–0.004</w:t>
            </w:r>
          </w:p>
        </w:tc>
        <w:tc>
          <w:tcPr>
            <w:tcW w:w="1405" w:type="dxa"/>
            <w:shd w:val="clear" w:color="auto" w:fill="FFF2CC" w:themeFill="accent4" w:themeFillTint="33"/>
            <w:vAlign w:val="center"/>
            <w:hideMark/>
          </w:tcPr>
          <w:p w:rsidR="00D3094D" w:rsidRPr="00D3094D" w:rsidRDefault="00D3094D" w:rsidP="00D3094D">
            <w:pPr>
              <w:rPr>
                <w:rFonts w:asciiTheme="majorBidi" w:hAnsiTheme="majorBidi" w:cstheme="majorBidi"/>
                <w:sz w:val="20"/>
                <w:szCs w:val="20"/>
              </w:rPr>
            </w:pPr>
            <w:r w:rsidRPr="00D3094D">
              <w:rPr>
                <w:rFonts w:asciiTheme="majorBidi" w:hAnsiTheme="majorBidi" w:cstheme="majorBidi"/>
                <w:sz w:val="20"/>
                <w:szCs w:val="20"/>
              </w:rPr>
              <w:t>Increases with frequency but lower than PET</w:t>
            </w:r>
          </w:p>
        </w:tc>
        <w:tc>
          <w:tcPr>
            <w:tcW w:w="1479" w:type="dxa"/>
            <w:vAlign w:val="center"/>
            <w:hideMark/>
          </w:tcPr>
          <w:p w:rsidR="00D3094D" w:rsidRPr="00D3094D" w:rsidRDefault="00D3094D" w:rsidP="00D3094D">
            <w:pPr>
              <w:rPr>
                <w:rFonts w:asciiTheme="majorBidi" w:hAnsiTheme="majorBidi" w:cstheme="majorBidi"/>
                <w:sz w:val="20"/>
                <w:szCs w:val="20"/>
              </w:rPr>
            </w:pPr>
            <w:r w:rsidRPr="00D3094D">
              <w:rPr>
                <w:rFonts w:asciiTheme="majorBidi" w:hAnsiTheme="majorBidi" w:cstheme="majorBidi"/>
                <w:sz w:val="20"/>
                <w:szCs w:val="20"/>
              </w:rPr>
              <w:t>Used in flexible electronics, moderate RF applications</w:t>
            </w:r>
          </w:p>
        </w:tc>
      </w:tr>
      <w:tr w:rsidR="00D3094D" w:rsidRPr="00D3094D" w:rsidTr="003971BD">
        <w:trPr>
          <w:trHeight w:val="879"/>
          <w:jc w:val="center"/>
        </w:trPr>
        <w:tc>
          <w:tcPr>
            <w:tcW w:w="1511" w:type="dxa"/>
            <w:vAlign w:val="center"/>
            <w:hideMark/>
          </w:tcPr>
          <w:p w:rsidR="00D3094D" w:rsidRPr="00D3094D" w:rsidRDefault="002C4EFD" w:rsidP="003971BD">
            <w:pPr>
              <w:jc w:val="center"/>
              <w:rPr>
                <w:rFonts w:asciiTheme="majorBidi" w:hAnsiTheme="majorBidi" w:cstheme="majorBidi"/>
                <w:b/>
                <w:bCs/>
                <w:sz w:val="20"/>
                <w:szCs w:val="20"/>
              </w:rPr>
            </w:pPr>
            <w:r>
              <w:rPr>
                <w:rFonts w:asciiTheme="majorBidi" w:hAnsiTheme="majorBidi" w:cstheme="majorBidi"/>
                <w:b/>
                <w:bCs/>
                <w:sz w:val="20"/>
                <w:szCs w:val="20"/>
              </w:rPr>
              <w:lastRenderedPageBreak/>
              <w:t>LCP (Liquid Crystal Polymer)</w:t>
            </w:r>
            <w:r w:rsidR="003971BD" w:rsidRPr="002C4EFD">
              <w:rPr>
                <w:rFonts w:asciiTheme="majorBidi" w:hAnsiTheme="majorBidi" w:cstheme="majorBidi"/>
                <w:b/>
                <w:bCs/>
                <w:sz w:val="20"/>
                <w:szCs w:val="20"/>
                <w:vertAlign w:val="superscript"/>
              </w:rPr>
              <w:t>S8</w:t>
            </w:r>
          </w:p>
        </w:tc>
        <w:tc>
          <w:tcPr>
            <w:tcW w:w="878" w:type="dxa"/>
            <w:vAlign w:val="center"/>
            <w:hideMark/>
          </w:tcPr>
          <w:p w:rsidR="00D3094D" w:rsidRPr="00D3094D" w:rsidRDefault="00D3094D" w:rsidP="00D3094D">
            <w:pPr>
              <w:jc w:val="center"/>
              <w:rPr>
                <w:rFonts w:asciiTheme="majorBidi" w:hAnsiTheme="majorBidi" w:cstheme="majorBidi"/>
                <w:sz w:val="20"/>
                <w:szCs w:val="20"/>
              </w:rPr>
            </w:pPr>
            <w:r w:rsidRPr="00D3094D">
              <w:rPr>
                <w:rFonts w:asciiTheme="majorBidi" w:hAnsiTheme="majorBidi" w:cstheme="majorBidi"/>
                <w:sz w:val="20"/>
                <w:szCs w:val="20"/>
              </w:rPr>
              <w:t>Flexible</w:t>
            </w:r>
          </w:p>
        </w:tc>
        <w:tc>
          <w:tcPr>
            <w:tcW w:w="1053" w:type="dxa"/>
            <w:shd w:val="clear" w:color="auto" w:fill="EDEDED" w:themeFill="accent3" w:themeFillTint="33"/>
            <w:vAlign w:val="center"/>
            <w:hideMark/>
          </w:tcPr>
          <w:p w:rsidR="00D3094D" w:rsidRPr="00D3094D" w:rsidRDefault="00D3094D" w:rsidP="00D3094D">
            <w:pPr>
              <w:jc w:val="center"/>
              <w:rPr>
                <w:rFonts w:asciiTheme="majorBidi" w:hAnsiTheme="majorBidi" w:cstheme="majorBidi"/>
                <w:sz w:val="20"/>
                <w:szCs w:val="20"/>
              </w:rPr>
            </w:pPr>
            <w:r w:rsidRPr="00D3094D">
              <w:rPr>
                <w:rFonts w:asciiTheme="majorBidi" w:hAnsiTheme="majorBidi" w:cstheme="majorBidi"/>
                <w:sz w:val="20"/>
                <w:szCs w:val="20"/>
              </w:rPr>
              <w:t>~3.0</w:t>
            </w:r>
          </w:p>
        </w:tc>
        <w:tc>
          <w:tcPr>
            <w:tcW w:w="1425" w:type="dxa"/>
            <w:shd w:val="clear" w:color="auto" w:fill="EDEDED" w:themeFill="accent3" w:themeFillTint="33"/>
            <w:vAlign w:val="center"/>
            <w:hideMark/>
          </w:tcPr>
          <w:p w:rsidR="00D3094D" w:rsidRPr="00D3094D" w:rsidRDefault="00D3094D" w:rsidP="00D3094D">
            <w:pPr>
              <w:rPr>
                <w:rFonts w:asciiTheme="majorBidi" w:hAnsiTheme="majorBidi" w:cstheme="majorBidi"/>
                <w:sz w:val="20"/>
                <w:szCs w:val="20"/>
              </w:rPr>
            </w:pPr>
            <w:r w:rsidRPr="00D3094D">
              <w:rPr>
                <w:rFonts w:asciiTheme="majorBidi" w:hAnsiTheme="majorBidi" w:cstheme="majorBidi"/>
                <w:sz w:val="20"/>
                <w:szCs w:val="20"/>
              </w:rPr>
              <w:t>Very stable across high frequencies</w:t>
            </w:r>
          </w:p>
        </w:tc>
        <w:tc>
          <w:tcPr>
            <w:tcW w:w="1035" w:type="dxa"/>
            <w:shd w:val="clear" w:color="auto" w:fill="FFF2CC" w:themeFill="accent4" w:themeFillTint="33"/>
            <w:vAlign w:val="center"/>
            <w:hideMark/>
          </w:tcPr>
          <w:p w:rsidR="00D3094D" w:rsidRPr="00D3094D" w:rsidRDefault="00D3094D" w:rsidP="00D3094D">
            <w:pPr>
              <w:jc w:val="center"/>
              <w:rPr>
                <w:rFonts w:asciiTheme="majorBidi" w:hAnsiTheme="majorBidi" w:cstheme="majorBidi"/>
                <w:sz w:val="20"/>
                <w:szCs w:val="20"/>
              </w:rPr>
            </w:pPr>
            <w:r w:rsidRPr="00D3094D">
              <w:rPr>
                <w:rFonts w:asciiTheme="majorBidi" w:hAnsiTheme="majorBidi" w:cstheme="majorBidi"/>
                <w:sz w:val="20"/>
                <w:szCs w:val="20"/>
              </w:rPr>
              <w:t>~0.0025</w:t>
            </w:r>
          </w:p>
        </w:tc>
        <w:tc>
          <w:tcPr>
            <w:tcW w:w="1405" w:type="dxa"/>
            <w:shd w:val="clear" w:color="auto" w:fill="FFF2CC" w:themeFill="accent4" w:themeFillTint="33"/>
            <w:vAlign w:val="center"/>
            <w:hideMark/>
          </w:tcPr>
          <w:p w:rsidR="00D3094D" w:rsidRPr="00D3094D" w:rsidRDefault="00D3094D" w:rsidP="00D3094D">
            <w:pPr>
              <w:rPr>
                <w:rFonts w:asciiTheme="majorBidi" w:hAnsiTheme="majorBidi" w:cstheme="majorBidi"/>
                <w:sz w:val="20"/>
                <w:szCs w:val="20"/>
              </w:rPr>
            </w:pPr>
            <w:r w:rsidRPr="00D3094D">
              <w:rPr>
                <w:rFonts w:asciiTheme="majorBidi" w:hAnsiTheme="majorBidi" w:cstheme="majorBidi"/>
                <w:sz w:val="20"/>
                <w:szCs w:val="20"/>
              </w:rPr>
              <w:t>Very low loss, stable</w:t>
            </w:r>
          </w:p>
        </w:tc>
        <w:tc>
          <w:tcPr>
            <w:tcW w:w="1479" w:type="dxa"/>
            <w:vAlign w:val="center"/>
            <w:hideMark/>
          </w:tcPr>
          <w:p w:rsidR="00D3094D" w:rsidRPr="00D3094D" w:rsidRDefault="00D3094D" w:rsidP="00D3094D">
            <w:pPr>
              <w:rPr>
                <w:rFonts w:asciiTheme="majorBidi" w:hAnsiTheme="majorBidi" w:cstheme="majorBidi"/>
                <w:sz w:val="20"/>
                <w:szCs w:val="20"/>
              </w:rPr>
            </w:pPr>
            <w:r w:rsidRPr="00D3094D">
              <w:rPr>
                <w:rFonts w:asciiTheme="majorBidi" w:hAnsiTheme="majorBidi" w:cstheme="majorBidi"/>
                <w:sz w:val="20"/>
                <w:szCs w:val="20"/>
              </w:rPr>
              <w:t xml:space="preserve">Excellent for </w:t>
            </w:r>
            <w:proofErr w:type="spellStart"/>
            <w:r w:rsidRPr="00D3094D">
              <w:rPr>
                <w:rFonts w:asciiTheme="majorBidi" w:hAnsiTheme="majorBidi" w:cstheme="majorBidi"/>
                <w:sz w:val="20"/>
                <w:szCs w:val="20"/>
              </w:rPr>
              <w:t>mmWave</w:t>
            </w:r>
            <w:proofErr w:type="spellEnd"/>
            <w:r w:rsidRPr="00D3094D">
              <w:rPr>
                <w:rFonts w:asciiTheme="majorBidi" w:hAnsiTheme="majorBidi" w:cstheme="majorBidi"/>
                <w:sz w:val="20"/>
                <w:szCs w:val="20"/>
              </w:rPr>
              <w:t xml:space="preserve"> (5G, radar, flexible RF circuits)</w:t>
            </w:r>
          </w:p>
        </w:tc>
      </w:tr>
    </w:tbl>
    <w:p w:rsidR="003971BD" w:rsidRDefault="003971BD" w:rsidP="003971BD">
      <w:pPr>
        <w:spacing w:line="480" w:lineRule="auto"/>
        <w:jc w:val="both"/>
        <w:rPr>
          <w:rFonts w:asciiTheme="majorBidi" w:hAnsiTheme="majorBidi" w:cstheme="majorBidi"/>
          <w:sz w:val="24"/>
          <w:szCs w:val="24"/>
          <w:lang w:bidi="fa-IR"/>
        </w:rPr>
        <w:sectPr w:rsidR="003971BD" w:rsidSect="006D371B">
          <w:type w:val="continuous"/>
          <w:pgSz w:w="12240" w:h="15840"/>
          <w:pgMar w:top="1440" w:right="1440" w:bottom="1440" w:left="1440" w:header="720" w:footer="720" w:gutter="0"/>
          <w:cols w:space="720"/>
          <w:docGrid w:linePitch="360"/>
        </w:sectPr>
      </w:pPr>
      <w:r>
        <w:rPr>
          <w:rFonts w:asciiTheme="majorBidi" w:hAnsiTheme="majorBidi" w:cstheme="majorBidi"/>
          <w:sz w:val="24"/>
          <w:szCs w:val="24"/>
          <w:lang w:bidi="fa-IR"/>
        </w:rPr>
        <w:br/>
      </w:r>
      <w:r w:rsidRPr="003971BD">
        <w:rPr>
          <w:rFonts w:asciiTheme="majorBidi" w:hAnsiTheme="majorBidi" w:cstheme="majorBidi"/>
          <w:b/>
          <w:bCs/>
          <w:sz w:val="24"/>
          <w:szCs w:val="24"/>
          <w:lang w:bidi="fa-IR"/>
        </w:rPr>
        <w:t>Analysis of skin effect:</w:t>
      </w:r>
      <w:r w:rsidRPr="003971BD">
        <w:rPr>
          <w:rFonts w:asciiTheme="majorBidi" w:hAnsiTheme="majorBidi" w:cstheme="majorBidi"/>
          <w:sz w:val="24"/>
          <w:szCs w:val="24"/>
          <w:lang w:bidi="fa-IR"/>
        </w:rPr>
        <w:t xml:space="preserve"> </w:t>
      </w:r>
      <w:r>
        <w:rPr>
          <w:rFonts w:asciiTheme="majorBidi" w:hAnsiTheme="majorBidi" w:cstheme="majorBidi"/>
          <w:sz w:val="24"/>
          <w:szCs w:val="24"/>
          <w:lang w:bidi="fa-IR"/>
        </w:rPr>
        <w:tab/>
      </w:r>
      <w:r w:rsidR="00D3094D" w:rsidRPr="006F0C06">
        <w:rPr>
          <w:rFonts w:asciiTheme="majorBidi" w:hAnsiTheme="majorBidi" w:cstheme="majorBidi"/>
          <w:sz w:val="24"/>
          <w:szCs w:val="24"/>
          <w:lang w:bidi="fa-IR"/>
        </w:rPr>
        <w:br/>
      </w:r>
      <w:r w:rsidRPr="006F0C06">
        <w:rPr>
          <w:rFonts w:asciiTheme="majorBidi" w:hAnsiTheme="majorBidi" w:cstheme="majorBidi"/>
          <w:sz w:val="24"/>
          <w:szCs w:val="24"/>
          <w:lang w:bidi="fa-IR"/>
        </w:rPr>
        <w:t>At high frequencies, the skin effect becomes a dominant factor influencing conductor performance. It limits the effective cross-sectional area for current flow by forcing the current toward the outer surface of the conductor, thereby increasing resistance and loss. This phenomenon is particularly significant in printed electronics, where the conductor thickness may vary considerably depending on the fabrication method. Table S2 summarizes the estimated skin depth values and their relation to conductor thicknesses achieved through various techniques, such as Direct Writing (DW), Screen Printing (SP) and Aerosol Jet Printing (AJP). The analysis highlights how thicker conductors, like those achieved in DW, can better accommodate the skin effect, resulting in lower RF losses, while thinner conductors (e.g., in AJP) are more adversely affected.</w:t>
      </w:r>
    </w:p>
    <w:p w:rsidR="00A30B21" w:rsidRPr="00A30B21" w:rsidRDefault="003971BD" w:rsidP="003971BD">
      <w:pPr>
        <w:spacing w:line="240" w:lineRule="auto"/>
        <w:jc w:val="center"/>
        <w:rPr>
          <w:rFonts w:asciiTheme="majorBidi" w:hAnsiTheme="majorBidi" w:cstheme="majorBidi"/>
          <w:lang w:bidi="fa-IR"/>
        </w:rPr>
      </w:pPr>
      <w:r>
        <w:rPr>
          <w:rFonts w:asciiTheme="majorBidi" w:hAnsiTheme="majorBidi" w:cstheme="majorBidi"/>
          <w:lang w:bidi="fa-IR"/>
        </w:rPr>
        <w:br/>
      </w:r>
      <w:r w:rsidR="00A30B21" w:rsidRPr="00A30B21">
        <w:rPr>
          <w:rFonts w:asciiTheme="majorBidi" w:hAnsiTheme="majorBidi" w:cstheme="majorBidi"/>
          <w:lang w:bidi="fa-IR"/>
        </w:rPr>
        <w:t xml:space="preserve">Table. </w:t>
      </w:r>
      <w:r w:rsidR="00A30B21" w:rsidRPr="00A13551">
        <w:rPr>
          <w:rFonts w:asciiTheme="majorBidi" w:hAnsiTheme="majorBidi" w:cstheme="majorBidi"/>
          <w:lang w:bidi="fa-IR"/>
        </w:rPr>
        <w:t>S2</w:t>
      </w:r>
      <w:r w:rsidR="00A30B21" w:rsidRPr="00A30B21">
        <w:rPr>
          <w:rFonts w:asciiTheme="majorBidi" w:hAnsiTheme="majorBidi" w:cstheme="majorBidi"/>
          <w:lang w:bidi="fa-IR"/>
        </w:rPr>
        <w:t>: Analysis of skin effect for various printing technologies.</w:t>
      </w:r>
      <w:r w:rsidR="00A30B21" w:rsidRPr="00A13551">
        <w:rPr>
          <w:rFonts w:asciiTheme="majorBidi" w:hAnsiTheme="majorBidi" w:cstheme="majorBidi"/>
          <w:lang w:bidi="fa-IR"/>
        </w:rPr>
        <w:t xml:space="preserve"> (</w:t>
      </w:r>
      <w:proofErr w:type="gramStart"/>
      <w:r w:rsidR="00A30B21" w:rsidRPr="00A13551">
        <w:rPr>
          <w:rFonts w:asciiTheme="majorBidi" w:hAnsiTheme="majorBidi" w:cstheme="majorBidi"/>
          <w:lang w:bidi="fa-IR"/>
        </w:rPr>
        <w:t>δ</w:t>
      </w:r>
      <w:proofErr w:type="gramEnd"/>
      <w:r w:rsidR="00A30B21" w:rsidRPr="00A13551">
        <w:rPr>
          <w:rFonts w:asciiTheme="majorBidi" w:hAnsiTheme="majorBidi" w:cstheme="majorBidi"/>
          <w:lang w:bidi="fa-IR"/>
        </w:rPr>
        <w:t>: Skin depth for silver)</w:t>
      </w:r>
    </w:p>
    <w:tbl>
      <w:tblPr>
        <w:tblStyle w:val="TableGrid"/>
        <w:tblW w:w="9360" w:type="dxa"/>
        <w:jc w:val="center"/>
        <w:tblInd w:w="0" w:type="dxa"/>
        <w:tblLayout w:type="fixed"/>
        <w:tblLook w:val="04A0" w:firstRow="1" w:lastRow="0" w:firstColumn="1" w:lastColumn="0" w:noHBand="0" w:noVBand="1"/>
      </w:tblPr>
      <w:tblGrid>
        <w:gridCol w:w="1354"/>
        <w:gridCol w:w="891"/>
        <w:gridCol w:w="900"/>
        <w:gridCol w:w="990"/>
        <w:gridCol w:w="1268"/>
        <w:gridCol w:w="1354"/>
        <w:gridCol w:w="1259"/>
        <w:gridCol w:w="1344"/>
      </w:tblGrid>
      <w:tr w:rsidR="00A30B21" w:rsidRPr="00A30B21" w:rsidTr="00A30B21">
        <w:trPr>
          <w:trHeight w:val="700"/>
          <w:jc w:val="center"/>
        </w:trPr>
        <w:tc>
          <w:tcPr>
            <w:tcW w:w="1354" w:type="dxa"/>
            <w:vAlign w:val="center"/>
            <w:hideMark/>
          </w:tcPr>
          <w:p w:rsidR="00A30B21" w:rsidRPr="00A30B21" w:rsidRDefault="00A30B21" w:rsidP="003971BD">
            <w:pPr>
              <w:jc w:val="center"/>
              <w:rPr>
                <w:rFonts w:asciiTheme="majorBidi" w:hAnsiTheme="majorBidi" w:cstheme="majorBidi"/>
                <w:b/>
                <w:bCs/>
                <w:sz w:val="20"/>
                <w:szCs w:val="20"/>
              </w:rPr>
            </w:pPr>
            <w:r w:rsidRPr="00A30B21">
              <w:rPr>
                <w:rFonts w:asciiTheme="majorBidi" w:hAnsiTheme="majorBidi" w:cstheme="majorBidi"/>
                <w:b/>
                <w:bCs/>
                <w:sz w:val="20"/>
                <w:szCs w:val="20"/>
              </w:rPr>
              <w:t>Technology</w:t>
            </w:r>
          </w:p>
        </w:tc>
        <w:tc>
          <w:tcPr>
            <w:tcW w:w="891" w:type="dxa"/>
            <w:vAlign w:val="center"/>
            <w:hideMark/>
          </w:tcPr>
          <w:p w:rsidR="00A30B21" w:rsidRPr="00A30B21" w:rsidRDefault="00A30B21" w:rsidP="003971BD">
            <w:pPr>
              <w:jc w:val="center"/>
              <w:rPr>
                <w:rFonts w:asciiTheme="majorBidi" w:hAnsiTheme="majorBidi" w:cstheme="majorBidi"/>
                <w:b/>
                <w:bCs/>
                <w:sz w:val="20"/>
                <w:szCs w:val="20"/>
              </w:rPr>
            </w:pPr>
            <w:r w:rsidRPr="00A30B21">
              <w:rPr>
                <w:rFonts w:asciiTheme="majorBidi" w:hAnsiTheme="majorBidi" w:cstheme="majorBidi"/>
                <w:b/>
                <w:bCs/>
                <w:sz w:val="20"/>
                <w:szCs w:val="20"/>
              </w:rPr>
              <w:t>Height (µm)</w:t>
            </w:r>
          </w:p>
        </w:tc>
        <w:tc>
          <w:tcPr>
            <w:tcW w:w="900" w:type="dxa"/>
            <w:vAlign w:val="center"/>
          </w:tcPr>
          <w:p w:rsidR="00A30B21" w:rsidRPr="00A30B21" w:rsidRDefault="00A30B21" w:rsidP="003971BD">
            <w:pPr>
              <w:jc w:val="center"/>
              <w:rPr>
                <w:rFonts w:asciiTheme="majorBidi" w:hAnsiTheme="majorBidi" w:cstheme="majorBidi"/>
                <w:b/>
                <w:bCs/>
                <w:sz w:val="20"/>
                <w:szCs w:val="20"/>
              </w:rPr>
            </w:pPr>
            <w:r w:rsidRPr="00A30B21">
              <w:rPr>
                <w:rFonts w:asciiTheme="majorBidi" w:hAnsiTheme="majorBidi" w:cstheme="majorBidi"/>
                <w:b/>
                <w:bCs/>
                <w:sz w:val="20"/>
                <w:szCs w:val="20"/>
              </w:rPr>
              <w:t>Width (µm)</w:t>
            </w:r>
          </w:p>
        </w:tc>
        <w:tc>
          <w:tcPr>
            <w:tcW w:w="990" w:type="dxa"/>
            <w:vAlign w:val="center"/>
          </w:tcPr>
          <w:p w:rsidR="00A30B21" w:rsidRPr="00A30B21" w:rsidRDefault="00A30B21" w:rsidP="003971BD">
            <w:pPr>
              <w:jc w:val="center"/>
              <w:rPr>
                <w:rFonts w:asciiTheme="majorBidi" w:hAnsiTheme="majorBidi" w:cstheme="majorBidi"/>
                <w:b/>
                <w:bCs/>
                <w:sz w:val="20"/>
                <w:szCs w:val="20"/>
              </w:rPr>
            </w:pPr>
            <w:r w:rsidRPr="00A30B21">
              <w:rPr>
                <w:rFonts w:asciiTheme="majorBidi" w:hAnsiTheme="majorBidi" w:cstheme="majorBidi"/>
                <w:b/>
                <w:bCs/>
                <w:sz w:val="20"/>
                <w:szCs w:val="20"/>
              </w:rPr>
              <w:t>Area (µm</w:t>
            </w:r>
            <w:r w:rsidRPr="00A30B21">
              <w:rPr>
                <w:rFonts w:asciiTheme="majorBidi" w:hAnsiTheme="majorBidi" w:cstheme="majorBidi"/>
                <w:b/>
                <w:bCs/>
                <w:sz w:val="20"/>
                <w:szCs w:val="20"/>
                <w:vertAlign w:val="superscript"/>
              </w:rPr>
              <w:t>2</w:t>
            </w:r>
            <w:r w:rsidRPr="00A30B21">
              <w:rPr>
                <w:rFonts w:asciiTheme="majorBidi" w:hAnsiTheme="majorBidi" w:cstheme="majorBidi"/>
                <w:b/>
                <w:bCs/>
                <w:sz w:val="20"/>
                <w:szCs w:val="20"/>
              </w:rPr>
              <w:t>)</w:t>
            </w:r>
          </w:p>
        </w:tc>
        <w:tc>
          <w:tcPr>
            <w:tcW w:w="1268" w:type="dxa"/>
            <w:vAlign w:val="center"/>
            <w:hideMark/>
          </w:tcPr>
          <w:p w:rsidR="00A30B21" w:rsidRPr="00A30B21" w:rsidRDefault="00A30B21" w:rsidP="003971BD">
            <w:pPr>
              <w:jc w:val="center"/>
              <w:rPr>
                <w:rFonts w:asciiTheme="majorBidi" w:hAnsiTheme="majorBidi" w:cstheme="majorBidi"/>
                <w:b/>
                <w:bCs/>
                <w:sz w:val="20"/>
                <w:szCs w:val="20"/>
              </w:rPr>
            </w:pPr>
            <w:r w:rsidRPr="00A30B21">
              <w:rPr>
                <w:rFonts w:ascii="Cambria Math" w:hAnsi="Cambria Math" w:cs="Cambria Math"/>
                <w:b/>
                <w:bCs/>
                <w:sz w:val="20"/>
                <w:szCs w:val="20"/>
              </w:rPr>
              <w:t>𝛿</w:t>
            </w:r>
            <w:r w:rsidRPr="00A30B21">
              <w:rPr>
                <w:rFonts w:asciiTheme="majorBidi" w:hAnsiTheme="majorBidi" w:cstheme="majorBidi"/>
                <w:b/>
                <w:bCs/>
                <w:sz w:val="20"/>
                <w:szCs w:val="20"/>
              </w:rPr>
              <w:t xml:space="preserve"> at 1 GHz (2.01 µm)</w:t>
            </w:r>
          </w:p>
        </w:tc>
        <w:tc>
          <w:tcPr>
            <w:tcW w:w="1354" w:type="dxa"/>
            <w:vAlign w:val="center"/>
            <w:hideMark/>
          </w:tcPr>
          <w:p w:rsidR="00A30B21" w:rsidRPr="00A30B21" w:rsidRDefault="00A30B21" w:rsidP="003971BD">
            <w:pPr>
              <w:jc w:val="center"/>
              <w:rPr>
                <w:rFonts w:asciiTheme="majorBidi" w:hAnsiTheme="majorBidi" w:cstheme="majorBidi"/>
                <w:b/>
                <w:bCs/>
                <w:sz w:val="20"/>
                <w:szCs w:val="20"/>
              </w:rPr>
            </w:pPr>
            <w:r w:rsidRPr="00A30B21">
              <w:rPr>
                <w:rFonts w:ascii="Cambria Math" w:hAnsi="Cambria Math" w:cs="Cambria Math"/>
                <w:b/>
                <w:bCs/>
                <w:sz w:val="20"/>
                <w:szCs w:val="20"/>
              </w:rPr>
              <w:t>𝛿</w:t>
            </w:r>
            <w:r w:rsidRPr="00A30B21">
              <w:rPr>
                <w:rFonts w:asciiTheme="majorBidi" w:hAnsiTheme="majorBidi" w:cstheme="majorBidi"/>
                <w:b/>
                <w:bCs/>
                <w:sz w:val="20"/>
                <w:szCs w:val="20"/>
              </w:rPr>
              <w:t xml:space="preserve"> at 10 GHz (0.63 µm)</w:t>
            </w:r>
          </w:p>
        </w:tc>
        <w:tc>
          <w:tcPr>
            <w:tcW w:w="1259" w:type="dxa"/>
            <w:vAlign w:val="center"/>
            <w:hideMark/>
          </w:tcPr>
          <w:p w:rsidR="00A30B21" w:rsidRPr="00A30B21" w:rsidRDefault="00A30B21" w:rsidP="003971BD">
            <w:pPr>
              <w:jc w:val="center"/>
              <w:rPr>
                <w:rFonts w:asciiTheme="majorBidi" w:hAnsiTheme="majorBidi" w:cstheme="majorBidi"/>
                <w:b/>
                <w:bCs/>
                <w:sz w:val="20"/>
                <w:szCs w:val="20"/>
              </w:rPr>
            </w:pPr>
            <w:r w:rsidRPr="00A30B21">
              <w:rPr>
                <w:rFonts w:ascii="Cambria Math" w:hAnsi="Cambria Math" w:cs="Cambria Math"/>
                <w:b/>
                <w:bCs/>
                <w:sz w:val="20"/>
                <w:szCs w:val="20"/>
              </w:rPr>
              <w:t>𝛿</w:t>
            </w:r>
            <w:r w:rsidRPr="00A30B21">
              <w:rPr>
                <w:rFonts w:asciiTheme="majorBidi" w:hAnsiTheme="majorBidi" w:cstheme="majorBidi"/>
                <w:b/>
                <w:bCs/>
                <w:sz w:val="20"/>
                <w:szCs w:val="20"/>
              </w:rPr>
              <w:t xml:space="preserve"> at 20 GHz (0.45 µm)</w:t>
            </w:r>
          </w:p>
        </w:tc>
        <w:tc>
          <w:tcPr>
            <w:tcW w:w="1344" w:type="dxa"/>
            <w:vAlign w:val="center"/>
            <w:hideMark/>
          </w:tcPr>
          <w:p w:rsidR="00A30B21" w:rsidRPr="00A30B21" w:rsidRDefault="00A30B21" w:rsidP="003971BD">
            <w:pPr>
              <w:jc w:val="center"/>
              <w:rPr>
                <w:rFonts w:asciiTheme="majorBidi" w:hAnsiTheme="majorBidi" w:cstheme="majorBidi"/>
                <w:b/>
                <w:bCs/>
                <w:sz w:val="20"/>
                <w:szCs w:val="20"/>
              </w:rPr>
            </w:pPr>
            <w:r w:rsidRPr="00A30B21">
              <w:rPr>
                <w:rFonts w:asciiTheme="majorBidi" w:hAnsiTheme="majorBidi" w:cstheme="majorBidi"/>
                <w:b/>
                <w:bCs/>
                <w:sz w:val="20"/>
                <w:szCs w:val="20"/>
              </w:rPr>
              <w:t>Loss Analysis</w:t>
            </w:r>
          </w:p>
        </w:tc>
      </w:tr>
      <w:tr w:rsidR="00A30B21" w:rsidRPr="00A30B21" w:rsidTr="00A30B21">
        <w:trPr>
          <w:trHeight w:val="1401"/>
          <w:jc w:val="center"/>
        </w:trPr>
        <w:tc>
          <w:tcPr>
            <w:tcW w:w="1354" w:type="dxa"/>
            <w:vAlign w:val="center"/>
            <w:hideMark/>
          </w:tcPr>
          <w:p w:rsidR="00A30B21" w:rsidRPr="00A30B21" w:rsidRDefault="00A30B21" w:rsidP="00A30B21">
            <w:pPr>
              <w:jc w:val="center"/>
              <w:rPr>
                <w:rFonts w:asciiTheme="majorBidi" w:hAnsiTheme="majorBidi" w:cstheme="majorBidi"/>
                <w:b/>
                <w:bCs/>
                <w:sz w:val="20"/>
                <w:szCs w:val="20"/>
              </w:rPr>
            </w:pPr>
            <w:r w:rsidRPr="00A30B21">
              <w:rPr>
                <w:rFonts w:asciiTheme="majorBidi" w:hAnsiTheme="majorBidi" w:cstheme="majorBidi"/>
                <w:b/>
                <w:bCs/>
                <w:sz w:val="20"/>
                <w:szCs w:val="20"/>
              </w:rPr>
              <w:t>DW (Direct Write)</w:t>
            </w:r>
          </w:p>
        </w:tc>
        <w:tc>
          <w:tcPr>
            <w:tcW w:w="891" w:type="dxa"/>
            <w:vAlign w:val="center"/>
            <w:hideMark/>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8.66</w:t>
            </w:r>
          </w:p>
        </w:tc>
        <w:tc>
          <w:tcPr>
            <w:tcW w:w="900" w:type="dxa"/>
            <w:vAlign w:val="center"/>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312.60</w:t>
            </w:r>
          </w:p>
        </w:tc>
        <w:tc>
          <w:tcPr>
            <w:tcW w:w="990" w:type="dxa"/>
            <w:vAlign w:val="center"/>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1738.61</w:t>
            </w:r>
          </w:p>
        </w:tc>
        <w:tc>
          <w:tcPr>
            <w:tcW w:w="1268" w:type="dxa"/>
            <w:vAlign w:val="center"/>
            <w:hideMark/>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Entire conductor used (Low loss)</w:t>
            </w:r>
          </w:p>
        </w:tc>
        <w:tc>
          <w:tcPr>
            <w:tcW w:w="1354" w:type="dxa"/>
            <w:vAlign w:val="center"/>
            <w:hideMark/>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Mostly surface</w:t>
            </w:r>
            <w:r w:rsidRPr="00A30B21">
              <w:rPr>
                <w:rFonts w:asciiTheme="majorBidi" w:hAnsiTheme="majorBidi" w:cstheme="majorBidi"/>
                <w:sz w:val="20"/>
                <w:szCs w:val="20"/>
              </w:rPr>
              <w:br/>
              <w:t>(Moderate loss)</w:t>
            </w:r>
          </w:p>
        </w:tc>
        <w:tc>
          <w:tcPr>
            <w:tcW w:w="1259" w:type="dxa"/>
            <w:vAlign w:val="center"/>
            <w:hideMark/>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 xml:space="preserve">Mostly surface </w:t>
            </w:r>
            <w:r w:rsidRPr="00A30B21">
              <w:rPr>
                <w:rFonts w:asciiTheme="majorBidi" w:hAnsiTheme="majorBidi" w:cstheme="majorBidi"/>
                <w:sz w:val="20"/>
                <w:szCs w:val="20"/>
              </w:rPr>
              <w:br/>
              <w:t>(High loss)</w:t>
            </w:r>
          </w:p>
        </w:tc>
        <w:tc>
          <w:tcPr>
            <w:tcW w:w="1344" w:type="dxa"/>
            <w:vAlign w:val="center"/>
            <w:hideMark/>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Best performance due to thick conductor and lower resistive losses.</w:t>
            </w:r>
          </w:p>
        </w:tc>
      </w:tr>
      <w:tr w:rsidR="00A30B21" w:rsidRPr="00A30B21" w:rsidTr="00A30B21">
        <w:trPr>
          <w:trHeight w:val="1110"/>
          <w:jc w:val="center"/>
        </w:trPr>
        <w:tc>
          <w:tcPr>
            <w:tcW w:w="1354" w:type="dxa"/>
            <w:vAlign w:val="center"/>
            <w:hideMark/>
          </w:tcPr>
          <w:p w:rsidR="00A30B21" w:rsidRPr="00A30B21" w:rsidRDefault="00A30B21" w:rsidP="00A30B21">
            <w:pPr>
              <w:jc w:val="center"/>
              <w:rPr>
                <w:rFonts w:asciiTheme="majorBidi" w:hAnsiTheme="majorBidi" w:cstheme="majorBidi"/>
                <w:b/>
                <w:bCs/>
                <w:sz w:val="20"/>
                <w:szCs w:val="20"/>
              </w:rPr>
            </w:pPr>
            <w:r w:rsidRPr="00A30B21">
              <w:rPr>
                <w:rFonts w:asciiTheme="majorBidi" w:hAnsiTheme="majorBidi" w:cstheme="majorBidi"/>
                <w:b/>
                <w:bCs/>
                <w:sz w:val="20"/>
                <w:szCs w:val="20"/>
              </w:rPr>
              <w:t>SP (Screen Printing)</w:t>
            </w:r>
          </w:p>
        </w:tc>
        <w:tc>
          <w:tcPr>
            <w:tcW w:w="891" w:type="dxa"/>
            <w:vAlign w:val="center"/>
            <w:hideMark/>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7.16</w:t>
            </w:r>
          </w:p>
        </w:tc>
        <w:tc>
          <w:tcPr>
            <w:tcW w:w="900" w:type="dxa"/>
            <w:vAlign w:val="center"/>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316.48</w:t>
            </w:r>
          </w:p>
        </w:tc>
        <w:tc>
          <w:tcPr>
            <w:tcW w:w="990" w:type="dxa"/>
            <w:vAlign w:val="center"/>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1459.72</w:t>
            </w:r>
          </w:p>
        </w:tc>
        <w:tc>
          <w:tcPr>
            <w:tcW w:w="1268" w:type="dxa"/>
            <w:vAlign w:val="center"/>
            <w:hideMark/>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Entire conductor used (Low loss)</w:t>
            </w:r>
          </w:p>
        </w:tc>
        <w:tc>
          <w:tcPr>
            <w:tcW w:w="1354" w:type="dxa"/>
            <w:vAlign w:val="center"/>
            <w:hideMark/>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 xml:space="preserve">Mostly surface </w:t>
            </w:r>
            <w:r w:rsidRPr="00A30B21">
              <w:rPr>
                <w:rFonts w:asciiTheme="majorBidi" w:hAnsiTheme="majorBidi" w:cstheme="majorBidi"/>
                <w:sz w:val="20"/>
                <w:szCs w:val="20"/>
              </w:rPr>
              <w:br/>
              <w:t>(Moderate loss)</w:t>
            </w:r>
          </w:p>
        </w:tc>
        <w:tc>
          <w:tcPr>
            <w:tcW w:w="1259" w:type="dxa"/>
            <w:vAlign w:val="center"/>
            <w:hideMark/>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Mostly surface</w:t>
            </w:r>
            <w:r w:rsidRPr="00A30B21">
              <w:rPr>
                <w:rFonts w:asciiTheme="majorBidi" w:hAnsiTheme="majorBidi" w:cstheme="majorBidi"/>
                <w:sz w:val="20"/>
                <w:szCs w:val="20"/>
              </w:rPr>
              <w:br/>
              <w:t>(High loss)</w:t>
            </w:r>
          </w:p>
        </w:tc>
        <w:tc>
          <w:tcPr>
            <w:tcW w:w="1344" w:type="dxa"/>
            <w:vAlign w:val="center"/>
            <w:hideMark/>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Slightly worse than DW, but still performs well.</w:t>
            </w:r>
          </w:p>
        </w:tc>
      </w:tr>
      <w:tr w:rsidR="00A30B21" w:rsidRPr="00A30B21" w:rsidTr="00A30B21">
        <w:trPr>
          <w:trHeight w:val="1155"/>
          <w:jc w:val="center"/>
        </w:trPr>
        <w:tc>
          <w:tcPr>
            <w:tcW w:w="1354" w:type="dxa"/>
            <w:vAlign w:val="center"/>
            <w:hideMark/>
          </w:tcPr>
          <w:p w:rsidR="00A30B21" w:rsidRPr="00A30B21" w:rsidRDefault="00A30B21" w:rsidP="00A30B21">
            <w:pPr>
              <w:jc w:val="center"/>
              <w:rPr>
                <w:rFonts w:asciiTheme="majorBidi" w:hAnsiTheme="majorBidi" w:cstheme="majorBidi"/>
                <w:b/>
                <w:bCs/>
                <w:sz w:val="20"/>
                <w:szCs w:val="20"/>
              </w:rPr>
            </w:pPr>
            <w:r w:rsidRPr="00A30B21">
              <w:rPr>
                <w:rFonts w:asciiTheme="majorBidi" w:hAnsiTheme="majorBidi" w:cstheme="majorBidi"/>
                <w:b/>
                <w:bCs/>
                <w:sz w:val="20"/>
                <w:szCs w:val="20"/>
              </w:rPr>
              <w:t>AJP (Aerosol Jet Printing)</w:t>
            </w:r>
          </w:p>
        </w:tc>
        <w:tc>
          <w:tcPr>
            <w:tcW w:w="891" w:type="dxa"/>
            <w:vAlign w:val="center"/>
            <w:hideMark/>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2.86</w:t>
            </w:r>
          </w:p>
        </w:tc>
        <w:tc>
          <w:tcPr>
            <w:tcW w:w="900" w:type="dxa"/>
            <w:vAlign w:val="center"/>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332.53</w:t>
            </w:r>
          </w:p>
        </w:tc>
        <w:tc>
          <w:tcPr>
            <w:tcW w:w="990" w:type="dxa"/>
            <w:vAlign w:val="center"/>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863.38</w:t>
            </w:r>
          </w:p>
        </w:tc>
        <w:tc>
          <w:tcPr>
            <w:tcW w:w="1268" w:type="dxa"/>
            <w:vAlign w:val="center"/>
            <w:hideMark/>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Entire conductor used (Moderate loss)</w:t>
            </w:r>
          </w:p>
        </w:tc>
        <w:tc>
          <w:tcPr>
            <w:tcW w:w="1354" w:type="dxa"/>
            <w:vAlign w:val="center"/>
            <w:hideMark/>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Mostly surface</w:t>
            </w:r>
            <w:r w:rsidRPr="00A30B21">
              <w:rPr>
                <w:rFonts w:asciiTheme="majorBidi" w:hAnsiTheme="majorBidi" w:cstheme="majorBidi"/>
                <w:sz w:val="20"/>
                <w:szCs w:val="20"/>
              </w:rPr>
              <w:br/>
              <w:t>(High loss)</w:t>
            </w:r>
          </w:p>
        </w:tc>
        <w:tc>
          <w:tcPr>
            <w:tcW w:w="1259" w:type="dxa"/>
            <w:vAlign w:val="center"/>
            <w:hideMark/>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 xml:space="preserve">Mostly surface </w:t>
            </w:r>
            <w:r w:rsidRPr="00A30B21">
              <w:rPr>
                <w:rFonts w:asciiTheme="majorBidi" w:hAnsiTheme="majorBidi" w:cstheme="majorBidi"/>
                <w:sz w:val="20"/>
                <w:szCs w:val="20"/>
              </w:rPr>
              <w:br/>
              <w:t>(Even higher loss)</w:t>
            </w:r>
          </w:p>
        </w:tc>
        <w:tc>
          <w:tcPr>
            <w:tcW w:w="1344" w:type="dxa"/>
            <w:vAlign w:val="center"/>
            <w:hideMark/>
          </w:tcPr>
          <w:p w:rsidR="00A30B21" w:rsidRPr="00A30B21" w:rsidRDefault="00A30B21" w:rsidP="00A30B21">
            <w:pPr>
              <w:jc w:val="center"/>
              <w:rPr>
                <w:rFonts w:asciiTheme="majorBidi" w:hAnsiTheme="majorBidi" w:cstheme="majorBidi"/>
                <w:sz w:val="20"/>
                <w:szCs w:val="20"/>
              </w:rPr>
            </w:pPr>
            <w:r w:rsidRPr="00A30B21">
              <w:rPr>
                <w:rFonts w:asciiTheme="majorBidi" w:hAnsiTheme="majorBidi" w:cstheme="majorBidi"/>
                <w:sz w:val="20"/>
                <w:szCs w:val="20"/>
              </w:rPr>
              <w:t>More resistive loss due to smaller conductive volume.</w:t>
            </w:r>
          </w:p>
        </w:tc>
      </w:tr>
    </w:tbl>
    <w:p w:rsidR="00D3094D" w:rsidRPr="00D3094D" w:rsidRDefault="003971BD" w:rsidP="003971BD">
      <w:pPr>
        <w:spacing w:line="480" w:lineRule="auto"/>
        <w:jc w:val="both"/>
        <w:rPr>
          <w:rFonts w:ascii="Times New Roman" w:eastAsia="Times New Roman" w:hAnsi="Times New Roman" w:cs="Times New Roman"/>
          <w:b/>
          <w:bCs/>
          <w:sz w:val="24"/>
          <w:szCs w:val="24"/>
        </w:rPr>
      </w:pPr>
      <w:r>
        <w:rPr>
          <w:rFonts w:asciiTheme="majorBidi" w:hAnsiTheme="majorBidi" w:cstheme="majorBidi"/>
          <w:sz w:val="24"/>
          <w:szCs w:val="24"/>
          <w:lang w:bidi="fa-IR"/>
        </w:rPr>
        <w:lastRenderedPageBreak/>
        <w:tab/>
      </w:r>
      <w:r>
        <w:rPr>
          <w:rFonts w:asciiTheme="majorBidi" w:hAnsiTheme="majorBidi" w:cstheme="majorBidi"/>
          <w:sz w:val="24"/>
          <w:szCs w:val="24"/>
          <w:lang w:bidi="fa-IR"/>
        </w:rPr>
        <w:br/>
      </w:r>
      <w:r w:rsidR="00D3094D" w:rsidRPr="00D3094D">
        <w:rPr>
          <w:rFonts w:ascii="Times New Roman" w:eastAsia="Times New Roman" w:hAnsi="Times New Roman" w:cs="Times New Roman"/>
          <w:b/>
          <w:bCs/>
          <w:sz w:val="24"/>
          <w:szCs w:val="24"/>
        </w:rPr>
        <w:t>References</w:t>
      </w:r>
    </w:p>
    <w:p w:rsidR="00EA29F7" w:rsidRPr="00EA29F7" w:rsidRDefault="00EA29F7" w:rsidP="003A4577">
      <w:pPr>
        <w:pStyle w:val="ListParagraph"/>
        <w:numPr>
          <w:ilvl w:val="0"/>
          <w:numId w:val="1"/>
        </w:numPr>
        <w:spacing w:before="100" w:beforeAutospacing="1" w:after="100" w:afterAutospacing="1" w:line="240" w:lineRule="auto"/>
        <w:ind w:left="450" w:hanging="450"/>
        <w:jc w:val="both"/>
        <w:rPr>
          <w:rFonts w:ascii="Times New Roman" w:eastAsia="Times New Roman" w:hAnsi="Times New Roman" w:cs="Times New Roman"/>
          <w:sz w:val="24"/>
          <w:szCs w:val="24"/>
        </w:rPr>
      </w:pPr>
      <w:r w:rsidRPr="00EA29F7">
        <w:rPr>
          <w:rFonts w:ascii="Times New Roman" w:eastAsia="Times New Roman" w:hAnsi="Times New Roman" w:cs="Times New Roman"/>
          <w:sz w:val="24"/>
          <w:szCs w:val="24"/>
        </w:rPr>
        <w:t xml:space="preserve">Hong, H. J. &amp; Lancaster, M. J. </w:t>
      </w:r>
      <w:proofErr w:type="spellStart"/>
      <w:r w:rsidRPr="00EA29F7">
        <w:rPr>
          <w:rFonts w:ascii="Times New Roman" w:eastAsia="Times New Roman" w:hAnsi="Times New Roman" w:cs="Times New Roman"/>
          <w:i/>
          <w:iCs/>
          <w:sz w:val="24"/>
          <w:szCs w:val="24"/>
        </w:rPr>
        <w:t>Microstrip</w:t>
      </w:r>
      <w:proofErr w:type="spellEnd"/>
      <w:r w:rsidRPr="00EA29F7">
        <w:rPr>
          <w:rFonts w:ascii="Times New Roman" w:eastAsia="Times New Roman" w:hAnsi="Times New Roman" w:cs="Times New Roman"/>
          <w:i/>
          <w:iCs/>
          <w:sz w:val="24"/>
          <w:szCs w:val="24"/>
        </w:rPr>
        <w:t xml:space="preserve"> Filters for RF/Microwave Applications</w:t>
      </w:r>
      <w:r w:rsidR="003A4577">
        <w:rPr>
          <w:rFonts w:ascii="Times New Roman" w:eastAsia="Times New Roman" w:hAnsi="Times New Roman" w:cs="Times New Roman"/>
          <w:sz w:val="24"/>
          <w:szCs w:val="24"/>
        </w:rPr>
        <w:t xml:space="preserve">. Vol. </w:t>
      </w:r>
      <w:r w:rsidR="003A4577" w:rsidRPr="003A4577">
        <w:rPr>
          <w:rFonts w:ascii="Times New Roman" w:eastAsia="Times New Roman" w:hAnsi="Times New Roman" w:cs="Times New Roman"/>
          <w:b/>
          <w:bCs/>
          <w:sz w:val="24"/>
          <w:szCs w:val="24"/>
        </w:rPr>
        <w:t>7</w:t>
      </w:r>
      <w:r w:rsidR="003A4577">
        <w:rPr>
          <w:rFonts w:ascii="Times New Roman" w:eastAsia="Times New Roman" w:hAnsi="Times New Roman" w:cs="Times New Roman"/>
          <w:sz w:val="24"/>
          <w:szCs w:val="24"/>
        </w:rPr>
        <w:t xml:space="preserve"> </w:t>
      </w:r>
      <w:r w:rsidRPr="003A4577">
        <w:rPr>
          <w:rFonts w:ascii="Times New Roman" w:eastAsia="Times New Roman" w:hAnsi="Times New Roman" w:cs="Times New Roman"/>
          <w:i/>
          <w:iCs/>
          <w:sz w:val="24"/>
          <w:szCs w:val="24"/>
        </w:rPr>
        <w:t>Wiley,</w:t>
      </w:r>
      <w:r w:rsidRPr="00EA29F7">
        <w:rPr>
          <w:rFonts w:ascii="Times New Roman" w:eastAsia="Times New Roman" w:hAnsi="Times New Roman" w:cs="Times New Roman"/>
          <w:sz w:val="24"/>
          <w:szCs w:val="24"/>
        </w:rPr>
        <w:t xml:space="preserve"> </w:t>
      </w:r>
      <w:r w:rsidR="003A4577">
        <w:rPr>
          <w:rFonts w:ascii="Times New Roman" w:eastAsia="Times New Roman" w:hAnsi="Times New Roman" w:cs="Times New Roman"/>
          <w:sz w:val="24"/>
          <w:szCs w:val="24"/>
        </w:rPr>
        <w:t>(</w:t>
      </w:r>
      <w:r w:rsidRPr="00EA29F7">
        <w:rPr>
          <w:rFonts w:ascii="Times New Roman" w:eastAsia="Times New Roman" w:hAnsi="Times New Roman" w:cs="Times New Roman"/>
          <w:sz w:val="24"/>
          <w:szCs w:val="24"/>
        </w:rPr>
        <w:t>2011).</w:t>
      </w:r>
    </w:p>
    <w:p w:rsidR="00EA29F7" w:rsidRPr="00EA29F7" w:rsidRDefault="00EA29F7" w:rsidP="003A4577">
      <w:pPr>
        <w:pStyle w:val="ListParagraph"/>
        <w:numPr>
          <w:ilvl w:val="0"/>
          <w:numId w:val="1"/>
        </w:numPr>
        <w:spacing w:before="100" w:beforeAutospacing="1" w:after="100" w:afterAutospacing="1" w:line="240" w:lineRule="auto"/>
        <w:ind w:left="450" w:hanging="450"/>
        <w:jc w:val="both"/>
        <w:rPr>
          <w:rFonts w:ascii="Times New Roman" w:eastAsia="Times New Roman" w:hAnsi="Times New Roman" w:cs="Times New Roman"/>
          <w:sz w:val="24"/>
          <w:szCs w:val="24"/>
        </w:rPr>
      </w:pPr>
      <w:proofErr w:type="spellStart"/>
      <w:r w:rsidRPr="00EA29F7">
        <w:rPr>
          <w:rFonts w:ascii="Times New Roman" w:eastAsia="Times New Roman" w:hAnsi="Times New Roman" w:cs="Times New Roman"/>
          <w:sz w:val="24"/>
          <w:szCs w:val="24"/>
        </w:rPr>
        <w:t>Lotfi</w:t>
      </w:r>
      <w:proofErr w:type="spellEnd"/>
      <w:r w:rsidRPr="00EA29F7">
        <w:rPr>
          <w:rFonts w:ascii="Times New Roman" w:eastAsia="Times New Roman" w:hAnsi="Times New Roman" w:cs="Times New Roman"/>
          <w:sz w:val="24"/>
          <w:szCs w:val="24"/>
        </w:rPr>
        <w:t xml:space="preserve">, S., </w:t>
      </w:r>
      <w:proofErr w:type="spellStart"/>
      <w:r w:rsidRPr="00EA29F7">
        <w:rPr>
          <w:rFonts w:ascii="Times New Roman" w:eastAsia="Times New Roman" w:hAnsi="Times New Roman" w:cs="Times New Roman"/>
          <w:sz w:val="24"/>
          <w:szCs w:val="24"/>
        </w:rPr>
        <w:t>Janda</w:t>
      </w:r>
      <w:proofErr w:type="spellEnd"/>
      <w:r w:rsidRPr="00EA29F7">
        <w:rPr>
          <w:rFonts w:ascii="Times New Roman" w:eastAsia="Times New Roman" w:hAnsi="Times New Roman" w:cs="Times New Roman"/>
          <w:sz w:val="24"/>
          <w:szCs w:val="24"/>
        </w:rPr>
        <w:t xml:space="preserve">, M. &amp; </w:t>
      </w:r>
      <w:proofErr w:type="spellStart"/>
      <w:r w:rsidRPr="00EA29F7">
        <w:rPr>
          <w:rFonts w:ascii="Times New Roman" w:eastAsia="Times New Roman" w:hAnsi="Times New Roman" w:cs="Times New Roman"/>
          <w:sz w:val="24"/>
          <w:szCs w:val="24"/>
        </w:rPr>
        <w:t>Blecha</w:t>
      </w:r>
      <w:proofErr w:type="spellEnd"/>
      <w:r w:rsidRPr="00EA29F7">
        <w:rPr>
          <w:rFonts w:ascii="Times New Roman" w:eastAsia="Times New Roman" w:hAnsi="Times New Roman" w:cs="Times New Roman"/>
          <w:sz w:val="24"/>
          <w:szCs w:val="24"/>
        </w:rPr>
        <w:t xml:space="preserve">, T. Study of flexible printed transmission lines realized by direct-write printing technology. In </w:t>
      </w:r>
      <w:r w:rsidRPr="00EA29F7">
        <w:rPr>
          <w:rFonts w:ascii="Times New Roman" w:eastAsia="Times New Roman" w:hAnsi="Times New Roman" w:cs="Times New Roman"/>
          <w:i/>
          <w:iCs/>
          <w:sz w:val="24"/>
          <w:szCs w:val="24"/>
        </w:rPr>
        <w:t>2023 46th International Spring Seminar on Electronics Technology (ISSE)</w:t>
      </w:r>
      <w:r w:rsidRPr="00EA29F7">
        <w:rPr>
          <w:rFonts w:ascii="Times New Roman" w:eastAsia="Times New Roman" w:hAnsi="Times New Roman" w:cs="Times New Roman"/>
          <w:sz w:val="24"/>
          <w:szCs w:val="24"/>
        </w:rPr>
        <w:t xml:space="preserve"> 1–5 </w:t>
      </w:r>
      <w:r w:rsidR="003A4577">
        <w:rPr>
          <w:rFonts w:ascii="Times New Roman" w:eastAsia="Times New Roman" w:hAnsi="Times New Roman" w:cs="Times New Roman"/>
          <w:sz w:val="24"/>
          <w:szCs w:val="24"/>
        </w:rPr>
        <w:t>(</w:t>
      </w:r>
      <w:r w:rsidRPr="00EA29F7">
        <w:rPr>
          <w:rFonts w:ascii="Times New Roman" w:eastAsia="Times New Roman" w:hAnsi="Times New Roman" w:cs="Times New Roman"/>
          <w:sz w:val="24"/>
          <w:szCs w:val="24"/>
        </w:rPr>
        <w:t>2023).</w:t>
      </w:r>
    </w:p>
    <w:p w:rsidR="00EA29F7" w:rsidRPr="00EA29F7" w:rsidRDefault="00EA29F7" w:rsidP="003A4577">
      <w:pPr>
        <w:pStyle w:val="ListParagraph"/>
        <w:numPr>
          <w:ilvl w:val="0"/>
          <w:numId w:val="1"/>
        </w:numPr>
        <w:spacing w:before="100" w:beforeAutospacing="1" w:after="100" w:afterAutospacing="1" w:line="240" w:lineRule="auto"/>
        <w:ind w:left="450" w:hanging="450"/>
        <w:jc w:val="both"/>
        <w:rPr>
          <w:rFonts w:ascii="Times New Roman" w:eastAsia="Times New Roman" w:hAnsi="Times New Roman" w:cs="Times New Roman"/>
          <w:sz w:val="24"/>
          <w:szCs w:val="24"/>
        </w:rPr>
      </w:pPr>
      <w:proofErr w:type="spellStart"/>
      <w:r w:rsidRPr="00EA29F7">
        <w:rPr>
          <w:rFonts w:ascii="Times New Roman" w:eastAsia="Times New Roman" w:hAnsi="Times New Roman" w:cs="Times New Roman"/>
          <w:sz w:val="24"/>
          <w:szCs w:val="24"/>
        </w:rPr>
        <w:t>Cherukhin</w:t>
      </w:r>
      <w:proofErr w:type="spellEnd"/>
      <w:r w:rsidRPr="00EA29F7">
        <w:rPr>
          <w:rFonts w:ascii="Times New Roman" w:eastAsia="Times New Roman" w:hAnsi="Times New Roman" w:cs="Times New Roman"/>
          <w:sz w:val="24"/>
          <w:szCs w:val="24"/>
        </w:rPr>
        <w:t xml:space="preserve">, I., </w:t>
      </w:r>
      <w:proofErr w:type="gramStart"/>
      <w:r w:rsidRPr="00EA29F7">
        <w:rPr>
          <w:rFonts w:ascii="Times New Roman" w:eastAsia="Times New Roman" w:hAnsi="Times New Roman" w:cs="Times New Roman"/>
          <w:sz w:val="24"/>
          <w:szCs w:val="24"/>
        </w:rPr>
        <w:t>Gao</w:t>
      </w:r>
      <w:proofErr w:type="gramEnd"/>
      <w:r w:rsidRPr="00EA29F7">
        <w:rPr>
          <w:rFonts w:ascii="Times New Roman" w:eastAsia="Times New Roman" w:hAnsi="Times New Roman" w:cs="Times New Roman"/>
          <w:sz w:val="24"/>
          <w:szCs w:val="24"/>
        </w:rPr>
        <w:t xml:space="preserve">, S. P. &amp; </w:t>
      </w:r>
      <w:proofErr w:type="spellStart"/>
      <w:r w:rsidRPr="00EA29F7">
        <w:rPr>
          <w:rFonts w:ascii="Times New Roman" w:eastAsia="Times New Roman" w:hAnsi="Times New Roman" w:cs="Times New Roman"/>
          <w:sz w:val="24"/>
          <w:szCs w:val="24"/>
        </w:rPr>
        <w:t>Guo</w:t>
      </w:r>
      <w:proofErr w:type="spellEnd"/>
      <w:r w:rsidRPr="00EA29F7">
        <w:rPr>
          <w:rFonts w:ascii="Times New Roman" w:eastAsia="Times New Roman" w:hAnsi="Times New Roman" w:cs="Times New Roman"/>
          <w:sz w:val="24"/>
          <w:szCs w:val="24"/>
        </w:rPr>
        <w:t xml:space="preserve">, Y. Fully flexible polymer-based microwave devices: materials, fabrication technique, and application to transmission lines. </w:t>
      </w:r>
      <w:r w:rsidRPr="00EA29F7">
        <w:rPr>
          <w:rFonts w:ascii="Times New Roman" w:eastAsia="Times New Roman" w:hAnsi="Times New Roman" w:cs="Times New Roman"/>
          <w:i/>
          <w:iCs/>
          <w:sz w:val="24"/>
          <w:szCs w:val="24"/>
        </w:rPr>
        <w:t xml:space="preserve">IEEE Trans. Antennas </w:t>
      </w:r>
      <w:proofErr w:type="spellStart"/>
      <w:r w:rsidRPr="00EA29F7">
        <w:rPr>
          <w:rFonts w:ascii="Times New Roman" w:eastAsia="Times New Roman" w:hAnsi="Times New Roman" w:cs="Times New Roman"/>
          <w:i/>
          <w:iCs/>
          <w:sz w:val="24"/>
          <w:szCs w:val="24"/>
        </w:rPr>
        <w:t>Propag</w:t>
      </w:r>
      <w:proofErr w:type="spellEnd"/>
      <w:r w:rsidRPr="00EA29F7">
        <w:rPr>
          <w:rFonts w:ascii="Times New Roman" w:eastAsia="Times New Roman" w:hAnsi="Times New Roman" w:cs="Times New Roman"/>
          <w:i/>
          <w:iCs/>
          <w:sz w:val="24"/>
          <w:szCs w:val="24"/>
        </w:rPr>
        <w:t>.</w:t>
      </w:r>
      <w:r w:rsidRPr="00EA29F7">
        <w:rPr>
          <w:rFonts w:ascii="Times New Roman" w:eastAsia="Times New Roman" w:hAnsi="Times New Roman" w:cs="Times New Roman"/>
          <w:sz w:val="24"/>
          <w:szCs w:val="24"/>
        </w:rPr>
        <w:t xml:space="preserve"> </w:t>
      </w:r>
      <w:r w:rsidRPr="00EA29F7">
        <w:rPr>
          <w:rFonts w:ascii="Times New Roman" w:eastAsia="Times New Roman" w:hAnsi="Times New Roman" w:cs="Times New Roman"/>
          <w:b/>
          <w:bCs/>
          <w:sz w:val="24"/>
          <w:szCs w:val="24"/>
        </w:rPr>
        <w:t>69</w:t>
      </w:r>
      <w:r w:rsidRPr="00EA29F7">
        <w:rPr>
          <w:rFonts w:ascii="Times New Roman" w:eastAsia="Times New Roman" w:hAnsi="Times New Roman" w:cs="Times New Roman"/>
          <w:sz w:val="24"/>
          <w:szCs w:val="24"/>
        </w:rPr>
        <w:t xml:space="preserve">, 8763–8777 </w:t>
      </w:r>
      <w:hyperlink r:id="rId5" w:tgtFrame="_new" w:history="1">
        <w:r w:rsidRPr="00EA29F7">
          <w:rPr>
            <w:rFonts w:ascii="Times New Roman" w:eastAsia="Times New Roman" w:hAnsi="Times New Roman" w:cs="Times New Roman"/>
            <w:color w:val="0000FF"/>
            <w:sz w:val="24"/>
            <w:szCs w:val="24"/>
            <w:u w:val="single"/>
          </w:rPr>
          <w:t>https://doi.org/10.1109/TAP.2021.3083855</w:t>
        </w:r>
      </w:hyperlink>
      <w:r w:rsidR="003A4577">
        <w:rPr>
          <w:rFonts w:ascii="Times New Roman" w:eastAsia="Times New Roman" w:hAnsi="Times New Roman" w:cs="Times New Roman"/>
          <w:sz w:val="24"/>
          <w:szCs w:val="24"/>
        </w:rPr>
        <w:t xml:space="preserve"> </w:t>
      </w:r>
      <w:r w:rsidR="003A4577" w:rsidRPr="00EA29F7">
        <w:rPr>
          <w:rFonts w:ascii="Times New Roman" w:eastAsia="Times New Roman" w:hAnsi="Times New Roman" w:cs="Times New Roman"/>
          <w:sz w:val="24"/>
          <w:szCs w:val="24"/>
        </w:rPr>
        <w:t xml:space="preserve">(2021). </w:t>
      </w:r>
    </w:p>
    <w:p w:rsidR="00EA29F7" w:rsidRPr="00EA29F7" w:rsidRDefault="00EA29F7" w:rsidP="003A4577">
      <w:pPr>
        <w:pStyle w:val="ListParagraph"/>
        <w:numPr>
          <w:ilvl w:val="0"/>
          <w:numId w:val="1"/>
        </w:numPr>
        <w:spacing w:before="100" w:beforeAutospacing="1" w:after="100" w:afterAutospacing="1" w:line="240" w:lineRule="auto"/>
        <w:ind w:left="450" w:hanging="450"/>
        <w:jc w:val="both"/>
        <w:rPr>
          <w:rFonts w:ascii="Times New Roman" w:eastAsia="Times New Roman" w:hAnsi="Times New Roman" w:cs="Times New Roman"/>
          <w:sz w:val="24"/>
          <w:szCs w:val="24"/>
        </w:rPr>
      </w:pPr>
      <w:r w:rsidRPr="00EA29F7">
        <w:rPr>
          <w:rFonts w:ascii="Times New Roman" w:eastAsia="Times New Roman" w:hAnsi="Times New Roman" w:cs="Times New Roman"/>
          <w:sz w:val="24"/>
          <w:szCs w:val="24"/>
        </w:rPr>
        <w:t xml:space="preserve">Rogers Corporation. Rogers RO4000 Laminates Data Sheet. </w:t>
      </w:r>
      <w:hyperlink r:id="rId6" w:tgtFrame="_new" w:history="1">
        <w:r w:rsidRPr="00EA29F7">
          <w:rPr>
            <w:rFonts w:ascii="Times New Roman" w:eastAsia="Times New Roman" w:hAnsi="Times New Roman" w:cs="Times New Roman"/>
            <w:color w:val="0000FF"/>
            <w:sz w:val="24"/>
            <w:szCs w:val="24"/>
            <w:u w:val="single"/>
          </w:rPr>
          <w:t>https://www.mclpcb.com/wp-content/uploads/2021/05/Rogers-ro4000-laminates-ro4003c-and-ro4350b-data-sheet.pdf</w:t>
        </w:r>
      </w:hyperlink>
    </w:p>
    <w:p w:rsidR="00EA29F7" w:rsidRPr="00EA29F7" w:rsidRDefault="00EA29F7" w:rsidP="003A4577">
      <w:pPr>
        <w:pStyle w:val="ListParagraph"/>
        <w:numPr>
          <w:ilvl w:val="0"/>
          <w:numId w:val="1"/>
        </w:numPr>
        <w:spacing w:before="100" w:beforeAutospacing="1" w:after="100" w:afterAutospacing="1" w:line="240" w:lineRule="auto"/>
        <w:ind w:left="450" w:hanging="450"/>
        <w:jc w:val="both"/>
        <w:rPr>
          <w:rFonts w:ascii="Times New Roman" w:eastAsia="Times New Roman" w:hAnsi="Times New Roman" w:cs="Times New Roman"/>
          <w:sz w:val="24"/>
          <w:szCs w:val="24"/>
        </w:rPr>
      </w:pPr>
      <w:r w:rsidRPr="00EA29F7">
        <w:rPr>
          <w:rFonts w:ascii="Times New Roman" w:eastAsia="Times New Roman" w:hAnsi="Times New Roman" w:cs="Times New Roman"/>
          <w:sz w:val="24"/>
          <w:szCs w:val="24"/>
        </w:rPr>
        <w:t xml:space="preserve">Rogers Corporation. RO3003 Laminates. </w:t>
      </w:r>
      <w:hyperlink r:id="rId7" w:tgtFrame="_new" w:history="1">
        <w:r w:rsidRPr="00EA29F7">
          <w:rPr>
            <w:rFonts w:ascii="Times New Roman" w:eastAsia="Times New Roman" w:hAnsi="Times New Roman" w:cs="Times New Roman"/>
            <w:color w:val="0000FF"/>
            <w:sz w:val="24"/>
            <w:szCs w:val="24"/>
            <w:u w:val="single"/>
          </w:rPr>
          <w:t>https://www.rogerscorp.com/advanced-electronics-solutions/ro3000-series-laminates/ro3003-laminates</w:t>
        </w:r>
      </w:hyperlink>
    </w:p>
    <w:p w:rsidR="00EA29F7" w:rsidRPr="00EA29F7" w:rsidRDefault="00EA29F7" w:rsidP="003A4577">
      <w:pPr>
        <w:pStyle w:val="ListParagraph"/>
        <w:numPr>
          <w:ilvl w:val="0"/>
          <w:numId w:val="1"/>
        </w:num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EA29F7">
        <w:rPr>
          <w:rFonts w:ascii="Times New Roman" w:eastAsia="Times New Roman" w:hAnsi="Times New Roman" w:cs="Times New Roman"/>
          <w:sz w:val="24"/>
          <w:szCs w:val="24"/>
        </w:rPr>
        <w:t>Ekotech</w:t>
      </w:r>
      <w:proofErr w:type="spellEnd"/>
      <w:r w:rsidRPr="00EA29F7">
        <w:rPr>
          <w:rFonts w:ascii="Times New Roman" w:eastAsia="Times New Roman" w:hAnsi="Times New Roman" w:cs="Times New Roman"/>
          <w:sz w:val="24"/>
          <w:szCs w:val="24"/>
        </w:rPr>
        <w:t xml:space="preserve">. Mylar A – Electrical Properties. </w:t>
      </w:r>
      <w:hyperlink r:id="rId8" w:tgtFrame="_new" w:history="1">
        <w:r w:rsidRPr="00EA29F7">
          <w:rPr>
            <w:rFonts w:ascii="Times New Roman" w:eastAsia="Times New Roman" w:hAnsi="Times New Roman" w:cs="Times New Roman"/>
            <w:color w:val="0000FF"/>
            <w:sz w:val="24"/>
            <w:szCs w:val="24"/>
            <w:u w:val="single"/>
          </w:rPr>
          <w:t>https://converting-tasm.pl/wp-content/uploads/2024/01/info-mylar-a-electrical-properties_ekotech_2023.pdf</w:t>
        </w:r>
      </w:hyperlink>
    </w:p>
    <w:p w:rsidR="00EA29F7" w:rsidRPr="00EA29F7" w:rsidRDefault="00EA29F7" w:rsidP="003A4577">
      <w:pPr>
        <w:pStyle w:val="ListParagraph"/>
        <w:numPr>
          <w:ilvl w:val="0"/>
          <w:numId w:val="1"/>
        </w:numPr>
        <w:spacing w:before="100" w:beforeAutospacing="1" w:after="100" w:afterAutospacing="1" w:line="240" w:lineRule="auto"/>
        <w:ind w:left="450" w:hanging="450"/>
        <w:jc w:val="both"/>
        <w:rPr>
          <w:rFonts w:ascii="Times New Roman" w:eastAsia="Times New Roman" w:hAnsi="Times New Roman" w:cs="Times New Roman"/>
          <w:sz w:val="24"/>
          <w:szCs w:val="24"/>
        </w:rPr>
      </w:pPr>
      <w:r w:rsidRPr="00EA29F7">
        <w:rPr>
          <w:rFonts w:ascii="Times New Roman" w:eastAsia="Times New Roman" w:hAnsi="Times New Roman" w:cs="Times New Roman"/>
          <w:sz w:val="24"/>
          <w:szCs w:val="24"/>
        </w:rPr>
        <w:t xml:space="preserve">DuPont. </w:t>
      </w:r>
      <w:proofErr w:type="spellStart"/>
      <w:r w:rsidRPr="00EA29F7">
        <w:rPr>
          <w:rFonts w:ascii="Times New Roman" w:eastAsia="Times New Roman" w:hAnsi="Times New Roman" w:cs="Times New Roman"/>
          <w:sz w:val="24"/>
          <w:szCs w:val="24"/>
        </w:rPr>
        <w:t>Kapton</w:t>
      </w:r>
      <w:proofErr w:type="spellEnd"/>
      <w:r w:rsidRPr="00EA29F7">
        <w:rPr>
          <w:rFonts w:ascii="Times New Roman" w:eastAsia="Times New Roman" w:hAnsi="Times New Roman" w:cs="Times New Roman"/>
          <w:sz w:val="24"/>
          <w:szCs w:val="24"/>
        </w:rPr>
        <w:t>® HN Data Sheet.</w:t>
      </w:r>
      <w:r w:rsidR="003A4577">
        <w:rPr>
          <w:rFonts w:ascii="Times New Roman" w:eastAsia="Times New Roman" w:hAnsi="Times New Roman" w:cs="Times New Roman"/>
          <w:sz w:val="24"/>
          <w:szCs w:val="24"/>
        </w:rPr>
        <w:tab/>
        <w:t xml:space="preserve"> </w:t>
      </w:r>
      <w:hyperlink r:id="rId9" w:tgtFrame="_new" w:history="1">
        <w:r w:rsidRPr="00EA29F7">
          <w:rPr>
            <w:rFonts w:ascii="Times New Roman" w:eastAsia="Times New Roman" w:hAnsi="Times New Roman" w:cs="Times New Roman"/>
            <w:color w:val="0000FF"/>
            <w:sz w:val="24"/>
            <w:szCs w:val="24"/>
            <w:u w:val="single"/>
          </w:rPr>
          <w:t>https://www.dupont.com/content/dam/electronics/amer/us/en/electronics/public/documents/en/EI-10206-Kapton-HN-Data-Sheet.pdf</w:t>
        </w:r>
      </w:hyperlink>
    </w:p>
    <w:p w:rsidR="00EA29F7" w:rsidRPr="00EA29F7" w:rsidRDefault="00EA29F7" w:rsidP="003A4577">
      <w:pPr>
        <w:pStyle w:val="ListParagraph"/>
        <w:numPr>
          <w:ilvl w:val="0"/>
          <w:numId w:val="1"/>
        </w:numPr>
        <w:spacing w:before="100" w:beforeAutospacing="1" w:after="100" w:afterAutospacing="1" w:line="240" w:lineRule="auto"/>
        <w:ind w:left="450" w:hanging="450"/>
        <w:jc w:val="both"/>
        <w:rPr>
          <w:rFonts w:ascii="Times New Roman" w:eastAsia="Times New Roman" w:hAnsi="Times New Roman" w:cs="Times New Roman"/>
          <w:sz w:val="24"/>
          <w:szCs w:val="24"/>
        </w:rPr>
      </w:pPr>
      <w:r w:rsidRPr="00EA29F7">
        <w:rPr>
          <w:rFonts w:ascii="Times New Roman" w:eastAsia="Times New Roman" w:hAnsi="Times New Roman" w:cs="Times New Roman"/>
          <w:sz w:val="24"/>
          <w:szCs w:val="24"/>
        </w:rPr>
        <w:t xml:space="preserve">Celanese Corporation. </w:t>
      </w:r>
      <w:r w:rsidRPr="00EA29F7">
        <w:rPr>
          <w:rFonts w:ascii="Times New Roman" w:eastAsia="Times New Roman" w:hAnsi="Times New Roman" w:cs="Times New Roman"/>
          <w:i/>
          <w:iCs/>
          <w:sz w:val="24"/>
          <w:szCs w:val="24"/>
        </w:rPr>
        <w:t>Vectra LCP Design Guide</w:t>
      </w:r>
      <w:r w:rsidRPr="00EA29F7">
        <w:rPr>
          <w:rFonts w:ascii="Times New Roman" w:eastAsia="Times New Roman" w:hAnsi="Times New Roman" w:cs="Times New Roman"/>
          <w:sz w:val="24"/>
          <w:szCs w:val="24"/>
        </w:rPr>
        <w:t xml:space="preserve">. </w:t>
      </w:r>
      <w:hyperlink r:id="rId10" w:tgtFrame="_new" w:history="1">
        <w:r w:rsidRPr="00EA29F7">
          <w:rPr>
            <w:rFonts w:ascii="Times New Roman" w:eastAsia="Times New Roman" w:hAnsi="Times New Roman" w:cs="Times New Roman"/>
            <w:color w:val="0000FF"/>
            <w:sz w:val="24"/>
            <w:szCs w:val="24"/>
            <w:u w:val="single"/>
          </w:rPr>
          <w:t>https://www.celanese.com/-/media/Engineered%20Materials/Files/Product%20Technical%20Guides/LCP-027_VectraLCPDesignGuideTG_AM_0613.pdf</w:t>
        </w:r>
      </w:hyperlink>
    </w:p>
    <w:p w:rsidR="00830AA5" w:rsidRPr="004509ED" w:rsidRDefault="00830AA5" w:rsidP="004509ED">
      <w:pPr>
        <w:widowControl w:val="0"/>
        <w:autoSpaceDE w:val="0"/>
        <w:autoSpaceDN w:val="0"/>
        <w:adjustRightInd w:val="0"/>
        <w:spacing w:after="0" w:line="276" w:lineRule="auto"/>
        <w:jc w:val="both"/>
        <w:rPr>
          <w:rFonts w:asciiTheme="majorBidi" w:eastAsia="Times New Roman" w:hAnsiTheme="majorBidi" w:cstheme="majorBidi"/>
          <w:b/>
          <w:bCs/>
          <w:sz w:val="28"/>
          <w:szCs w:val="28"/>
        </w:rPr>
      </w:pPr>
      <w:r>
        <w:rPr>
          <w:rFonts w:asciiTheme="majorBidi" w:hAnsiTheme="majorBidi" w:cstheme="majorBidi"/>
          <w:sz w:val="24"/>
          <w:szCs w:val="24"/>
          <w:lang w:bidi="fa-IR"/>
        </w:rPr>
        <w:br/>
      </w:r>
      <w:r w:rsidRPr="00AE5B38">
        <w:rPr>
          <w:rFonts w:asciiTheme="majorBidi" w:eastAsia="Times New Roman" w:hAnsiTheme="majorBidi" w:cstheme="majorBidi"/>
          <w:b/>
          <w:bCs/>
          <w:sz w:val="28"/>
          <w:szCs w:val="28"/>
        </w:rPr>
        <w:t>Figure Legends</w:t>
      </w:r>
      <w:r w:rsidR="004509ED">
        <w:rPr>
          <w:rFonts w:asciiTheme="majorBidi" w:eastAsia="Times New Roman" w:hAnsiTheme="majorBidi" w:cstheme="majorBidi"/>
          <w:b/>
          <w:bCs/>
          <w:sz w:val="28"/>
          <w:szCs w:val="28"/>
        </w:rPr>
        <w:tab/>
      </w:r>
      <w:r w:rsidR="004509ED">
        <w:rPr>
          <w:rFonts w:asciiTheme="majorBidi" w:eastAsia="Times New Roman" w:hAnsiTheme="majorBidi" w:cstheme="majorBidi"/>
          <w:b/>
          <w:bCs/>
          <w:sz w:val="28"/>
          <w:szCs w:val="28"/>
        </w:rPr>
        <w:br/>
      </w:r>
      <w:r w:rsidRPr="003A4577">
        <w:rPr>
          <w:rFonts w:asciiTheme="majorBidi" w:hAnsiTheme="majorBidi" w:cstheme="majorBidi"/>
          <w:iCs/>
          <w:color w:val="000000"/>
          <w:lang w:eastAsia="cs-CZ"/>
        </w:rPr>
        <w:tab/>
      </w:r>
      <w:r w:rsidRPr="003A4577">
        <w:rPr>
          <w:rFonts w:ascii="Times New Roman" w:eastAsia="Times New Roman" w:hAnsi="Times New Roman" w:cs="Times New Roman"/>
          <w:lang w:eastAsia="cs-CZ"/>
        </w:rPr>
        <w:br/>
        <w:t>Fig. S</w:t>
      </w:r>
      <w:r w:rsidR="004509ED">
        <w:rPr>
          <w:rFonts w:ascii="Times New Roman" w:eastAsia="Times New Roman" w:hAnsi="Times New Roman" w:cs="Times New Roman"/>
          <w:lang w:eastAsia="cs-CZ"/>
        </w:rPr>
        <w:t>1</w:t>
      </w:r>
      <w:r w:rsidRPr="003A4577">
        <w:rPr>
          <w:rFonts w:ascii="Times New Roman" w:eastAsia="Times New Roman" w:hAnsi="Times New Roman" w:cs="Times New Roman"/>
          <w:lang w:eastAsia="cs-CZ"/>
        </w:rPr>
        <w:t>: Assembling SMA connectors.</w:t>
      </w:r>
    </w:p>
    <w:p w:rsidR="007C115E" w:rsidRPr="006F0C06" w:rsidRDefault="007C115E" w:rsidP="00D3094D">
      <w:pPr>
        <w:spacing w:line="480" w:lineRule="auto"/>
        <w:jc w:val="both"/>
        <w:rPr>
          <w:rFonts w:asciiTheme="majorBidi" w:hAnsiTheme="majorBidi" w:cstheme="majorBidi"/>
          <w:sz w:val="24"/>
          <w:szCs w:val="24"/>
          <w:rtl/>
          <w:lang w:bidi="fa-IR"/>
        </w:rPr>
      </w:pPr>
      <w:bookmarkStart w:id="0" w:name="_GoBack"/>
      <w:bookmarkEnd w:id="0"/>
    </w:p>
    <w:sectPr w:rsidR="007C115E" w:rsidRPr="006F0C06" w:rsidSect="006D371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91E29"/>
    <w:multiLevelType w:val="hybridMultilevel"/>
    <w:tmpl w:val="954284DA"/>
    <w:lvl w:ilvl="0" w:tplc="EA2C6288">
      <w:start w:val="1"/>
      <w:numFmt w:val="decimal"/>
      <w:lvlText w:val="S%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4E0B4D1B"/>
    <w:multiLevelType w:val="hybridMultilevel"/>
    <w:tmpl w:val="403A4B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A25"/>
    <w:rsid w:val="00052E8E"/>
    <w:rsid w:val="00066932"/>
    <w:rsid w:val="001B7A25"/>
    <w:rsid w:val="002C4EFD"/>
    <w:rsid w:val="003971BD"/>
    <w:rsid w:val="003A4577"/>
    <w:rsid w:val="004509ED"/>
    <w:rsid w:val="005B3137"/>
    <w:rsid w:val="006D371B"/>
    <w:rsid w:val="006F0C06"/>
    <w:rsid w:val="006F4B04"/>
    <w:rsid w:val="007C115E"/>
    <w:rsid w:val="00830AA5"/>
    <w:rsid w:val="0092551A"/>
    <w:rsid w:val="00A13551"/>
    <w:rsid w:val="00A30B21"/>
    <w:rsid w:val="00A456E1"/>
    <w:rsid w:val="00D3094D"/>
    <w:rsid w:val="00E33FD0"/>
    <w:rsid w:val="00EA29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11360"/>
  <w15:chartTrackingRefBased/>
  <w15:docId w15:val="{B7C8D82B-537C-47AC-8562-0E91E7D6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09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37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0C06"/>
    <w:rPr>
      <w:i/>
      <w:iCs/>
    </w:rPr>
  </w:style>
  <w:style w:type="character" w:styleId="Hyperlink">
    <w:name w:val="Hyperlink"/>
    <w:basedOn w:val="DefaultParagraphFont"/>
    <w:uiPriority w:val="99"/>
    <w:unhideWhenUsed/>
    <w:rsid w:val="003971BD"/>
    <w:rPr>
      <w:color w:val="0563C1" w:themeColor="hyperlink"/>
      <w:u w:val="single"/>
    </w:rPr>
  </w:style>
  <w:style w:type="paragraph" w:styleId="ListParagraph">
    <w:name w:val="List Paragraph"/>
    <w:basedOn w:val="Normal"/>
    <w:uiPriority w:val="34"/>
    <w:qFormat/>
    <w:rsid w:val="00EA2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8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verting-tasm.pl/wp-content/uploads/2024/01/info-mylar-a-electrical-properties_ekotech_2023.pdf" TargetMode="External"/><Relationship Id="rId3" Type="http://schemas.openxmlformats.org/officeDocument/2006/relationships/settings" Target="settings.xml"/><Relationship Id="rId7" Type="http://schemas.openxmlformats.org/officeDocument/2006/relationships/hyperlink" Target="https://www.rogerscorp.com/advanced-electronics-solutions/ro3000-series-laminates/ro3003-lamina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clpcb.com/wp-content/uploads/2021/05/Rogers-ro4000-laminates-ro4003c-and-ro4350b-data-sheet.pdf" TargetMode="External"/><Relationship Id="rId11" Type="http://schemas.openxmlformats.org/officeDocument/2006/relationships/fontTable" Target="fontTable.xml"/><Relationship Id="rId5" Type="http://schemas.openxmlformats.org/officeDocument/2006/relationships/hyperlink" Target="https://doi.org/10.1109/TAP.2021.3083855" TargetMode="External"/><Relationship Id="rId10" Type="http://schemas.openxmlformats.org/officeDocument/2006/relationships/hyperlink" Target="https://www.celanese.com/-/media/Engineered%20Materials/Files/Product%20Technical%20Guides/LCP-027_VectraLCPDesignGuideTG_AM_0613.pdf" TargetMode="External"/><Relationship Id="rId4" Type="http://schemas.openxmlformats.org/officeDocument/2006/relationships/webSettings" Target="webSettings.xml"/><Relationship Id="rId9" Type="http://schemas.openxmlformats.org/officeDocument/2006/relationships/hyperlink" Target="https://www.dupont.com/content/dam/electronics/amer/us/en/electronics/public/documents/en/EI-10206-Kapton-HN-Data-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7</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dc:creator>
  <cp:keywords/>
  <dc:description/>
  <cp:lastModifiedBy>KET</cp:lastModifiedBy>
  <cp:revision>10</cp:revision>
  <dcterms:created xsi:type="dcterms:W3CDTF">2025-07-05T12:16:00Z</dcterms:created>
  <dcterms:modified xsi:type="dcterms:W3CDTF">2025-07-05T18:42:00Z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d079cd7c-d653-429f-b870-5e4781b046d5</vt:lpwstr>
  </property>
</Properties>
</file>