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617F67" w14:textId="3855E223" w:rsidR="00930146" w:rsidRPr="00BA3167" w:rsidRDefault="002957B9" w:rsidP="002957B9">
      <w:pPr>
        <w:jc w:val="center"/>
        <w:rPr>
          <w:rFonts w:ascii="Times New Roman" w:hAnsi="Times New Roman" w:cs="Times New Roman"/>
        </w:rPr>
      </w:pPr>
      <w:r w:rsidRPr="00BA3167">
        <w:rPr>
          <w:rFonts w:ascii="Times New Roman" w:hAnsi="Times New Roman" w:cs="Times New Roman"/>
          <w:noProof/>
        </w:rPr>
        <w:drawing>
          <wp:inline distT="0" distB="0" distL="0" distR="0" wp14:anchorId="51D123DE" wp14:editId="5F59DC9B">
            <wp:extent cx="4178300" cy="4191000"/>
            <wp:effectExtent l="0" t="0" r="0" b="0"/>
            <wp:docPr id="1598146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146451" name=""/>
                    <pic:cNvPicPr/>
                  </pic:nvPicPr>
                  <pic:blipFill>
                    <a:blip r:embed="rId5"/>
                    <a:stretch>
                      <a:fillRect/>
                    </a:stretch>
                  </pic:blipFill>
                  <pic:spPr>
                    <a:xfrm>
                      <a:off x="0" y="0"/>
                      <a:ext cx="4178300" cy="4191000"/>
                    </a:xfrm>
                    <a:prstGeom prst="rect">
                      <a:avLst/>
                    </a:prstGeom>
                  </pic:spPr>
                </pic:pic>
              </a:graphicData>
            </a:graphic>
          </wp:inline>
        </w:drawing>
      </w:r>
    </w:p>
    <w:p w14:paraId="7703EF12" w14:textId="632CB1DB" w:rsidR="00CC2860" w:rsidRPr="00BA3167" w:rsidRDefault="00CC2860" w:rsidP="00CC2860">
      <w:pPr>
        <w:rPr>
          <w:rFonts w:ascii="Times New Roman" w:hAnsi="Times New Roman" w:cs="Times New Roman"/>
        </w:rPr>
      </w:pPr>
      <w:r w:rsidRPr="00BA3167">
        <w:rPr>
          <w:rFonts w:ascii="Times New Roman" w:hAnsi="Times New Roman" w:cs="Times New Roman"/>
          <w:b/>
          <w:bCs/>
        </w:rPr>
        <w:t xml:space="preserve">Extended Data Fig. 1: Induction of </w:t>
      </w:r>
      <w:r w:rsidRPr="00BA3167">
        <w:rPr>
          <w:rFonts w:ascii="Times New Roman" w:hAnsi="Times New Roman" w:cs="Times New Roman"/>
          <w:b/>
          <w:bCs/>
          <w:i/>
          <w:iCs/>
        </w:rPr>
        <w:t>HRAS</w:t>
      </w:r>
      <w:r w:rsidRPr="00BA3167">
        <w:rPr>
          <w:rFonts w:ascii="Times New Roman" w:hAnsi="Times New Roman" w:cs="Times New Roman"/>
          <w:b/>
          <w:bCs/>
        </w:rPr>
        <w:t xml:space="preserve"> oncogene in MCF10AT cells results in increased cell migration and </w:t>
      </w:r>
      <w:proofErr w:type="spellStart"/>
      <w:r w:rsidRPr="00BA3167">
        <w:rPr>
          <w:rFonts w:ascii="Times New Roman" w:hAnsi="Times New Roman" w:cs="Times New Roman"/>
          <w:b/>
          <w:bCs/>
        </w:rPr>
        <w:t>MoVes</w:t>
      </w:r>
      <w:proofErr w:type="spellEnd"/>
      <w:r w:rsidRPr="00BA3167">
        <w:rPr>
          <w:rFonts w:ascii="Times New Roman" w:hAnsi="Times New Roman" w:cs="Times New Roman"/>
          <w:b/>
          <w:bCs/>
        </w:rPr>
        <w:t xml:space="preserve"> emission. </w:t>
      </w:r>
      <w:r w:rsidRPr="00BA3167">
        <w:rPr>
          <w:rFonts w:ascii="Times New Roman" w:hAnsi="Times New Roman" w:cs="Times New Roman"/>
        </w:rPr>
        <w:t>(</w:t>
      </w:r>
      <w:proofErr w:type="spellStart"/>
      <w:proofErr w:type="gramStart"/>
      <w:r w:rsidRPr="00BA3167">
        <w:rPr>
          <w:rFonts w:ascii="Times New Roman" w:hAnsi="Times New Roman" w:cs="Times New Roman"/>
          <w:b/>
          <w:bCs/>
        </w:rPr>
        <w:t>a,b</w:t>
      </w:r>
      <w:proofErr w:type="spellEnd"/>
      <w:proofErr w:type="gramEnd"/>
      <w:r w:rsidRPr="00BA3167">
        <w:rPr>
          <w:rFonts w:ascii="Times New Roman" w:hAnsi="Times New Roman" w:cs="Times New Roman"/>
        </w:rPr>
        <w:t>) Analysis of cells with different migration tracks and velocities by Migration and Chemotaxis tool. Migration of MCF10A and MCF10AT. 10 cells were tracked</w:t>
      </w:r>
      <w:r w:rsidR="007E4FFE">
        <w:rPr>
          <w:rFonts w:ascii="Times New Roman" w:hAnsi="Times New Roman" w:cs="Times New Roman"/>
        </w:rPr>
        <w:t>,</w:t>
      </w:r>
      <w:r w:rsidRPr="00BA3167">
        <w:rPr>
          <w:rFonts w:ascii="Times New Roman" w:hAnsi="Times New Roman" w:cs="Times New Roman"/>
        </w:rPr>
        <w:t xml:space="preserve"> and trajectory plots were plotted using Fiji plug in Migration and Chemotaxis tool.</w:t>
      </w:r>
      <w:r w:rsidR="00C67C1C" w:rsidRPr="00BA3167">
        <w:rPr>
          <w:rFonts w:ascii="Times New Roman" w:hAnsi="Times New Roman" w:cs="Times New Roman"/>
        </w:rPr>
        <w:t xml:space="preserve"> </w:t>
      </w:r>
      <w:r w:rsidRPr="00BA3167">
        <w:rPr>
          <w:rFonts w:ascii="Times New Roman" w:hAnsi="Times New Roman" w:cs="Times New Roman"/>
        </w:rPr>
        <w:t>MCF10A show restricted movement, suggesting minimal motility. MCF10AT plots display progressively more extended tracks, indicating increased cell migration. (</w:t>
      </w:r>
      <w:r w:rsidRPr="00BA3167">
        <w:rPr>
          <w:rFonts w:ascii="Times New Roman" w:hAnsi="Times New Roman" w:cs="Times New Roman"/>
          <w:b/>
          <w:bCs/>
        </w:rPr>
        <w:t>c</w:t>
      </w:r>
      <w:r w:rsidRPr="00BA3167">
        <w:rPr>
          <w:rFonts w:ascii="Times New Roman" w:hAnsi="Times New Roman" w:cs="Times New Roman"/>
        </w:rPr>
        <w:t xml:space="preserve">) </w:t>
      </w:r>
      <w:r w:rsidR="007E4FFE">
        <w:rPr>
          <w:rFonts w:ascii="Times New Roman" w:hAnsi="Times New Roman" w:cs="Times New Roman"/>
          <w:lang w:val="en-US"/>
        </w:rPr>
        <w:t>V</w:t>
      </w:r>
      <w:r w:rsidRPr="00BA3167">
        <w:rPr>
          <w:rFonts w:ascii="Times New Roman" w:hAnsi="Times New Roman" w:cs="Times New Roman"/>
          <w:lang w:val="en-US"/>
        </w:rPr>
        <w:t xml:space="preserve">elocity of cells </w:t>
      </w:r>
      <w:r w:rsidR="007E4FFE">
        <w:rPr>
          <w:rFonts w:ascii="Times New Roman" w:hAnsi="Times New Roman" w:cs="Times New Roman"/>
          <w:lang w:val="en-US"/>
        </w:rPr>
        <w:t>(</w:t>
      </w:r>
      <w:r w:rsidRPr="00BA3167">
        <w:rPr>
          <w:rFonts w:ascii="Times New Roman" w:hAnsi="Times New Roman" w:cs="Times New Roman"/>
          <w:lang w:val="en-US"/>
        </w:rPr>
        <w:t>µm/min</w:t>
      </w:r>
      <w:r w:rsidR="007E4FFE">
        <w:rPr>
          <w:rFonts w:ascii="Times New Roman" w:hAnsi="Times New Roman" w:cs="Times New Roman"/>
          <w:lang w:val="en-US"/>
        </w:rPr>
        <w:t>) are plotted for</w:t>
      </w:r>
      <w:r w:rsidRPr="00BA3167">
        <w:rPr>
          <w:rFonts w:ascii="Times New Roman" w:hAnsi="Times New Roman" w:cs="Times New Roman"/>
          <w:lang w:val="en-US"/>
        </w:rPr>
        <w:t xml:space="preserve"> MCF10A </w:t>
      </w:r>
      <w:r w:rsidRPr="007E4FFE">
        <w:rPr>
          <w:rFonts w:ascii="Times New Roman" w:hAnsi="Times New Roman" w:cs="Times New Roman"/>
          <w:i/>
          <w:iCs/>
          <w:lang w:val="en-US"/>
        </w:rPr>
        <w:t>vs</w:t>
      </w:r>
      <w:r w:rsidR="007E4FFE" w:rsidRPr="007E4FFE">
        <w:rPr>
          <w:rFonts w:ascii="Times New Roman" w:hAnsi="Times New Roman" w:cs="Times New Roman"/>
          <w:i/>
          <w:iCs/>
          <w:lang w:val="en-US"/>
        </w:rPr>
        <w:t>.</w:t>
      </w:r>
      <w:r w:rsidRPr="00BA3167">
        <w:rPr>
          <w:rFonts w:ascii="Times New Roman" w:hAnsi="Times New Roman" w:cs="Times New Roman"/>
          <w:lang w:val="en-US"/>
        </w:rPr>
        <w:t xml:space="preserve"> MCF10AT</w:t>
      </w:r>
      <w:r w:rsidR="007E4FFE">
        <w:rPr>
          <w:rFonts w:ascii="Times New Roman" w:hAnsi="Times New Roman" w:cs="Times New Roman"/>
          <w:lang w:val="en-US"/>
        </w:rPr>
        <w:t xml:space="preserve"> cells</w:t>
      </w:r>
      <w:r w:rsidRPr="00BA3167">
        <w:rPr>
          <w:rFonts w:ascii="Times New Roman" w:hAnsi="Times New Roman" w:cs="Times New Roman"/>
          <w:lang w:val="en-US"/>
        </w:rPr>
        <w:t xml:space="preserve">. </w:t>
      </w:r>
      <w:r w:rsidRPr="00BA3167">
        <w:rPr>
          <w:rFonts w:ascii="Times New Roman" w:hAnsi="Times New Roman" w:cs="Times New Roman"/>
        </w:rPr>
        <w:t xml:space="preserve">Data points are from three independent experiments </w:t>
      </w:r>
      <w:r w:rsidR="00CA6FFA">
        <w:rPr>
          <w:rFonts w:ascii="Times New Roman" w:hAnsi="Times New Roman" w:cs="Times New Roman"/>
        </w:rPr>
        <w:t>and</w:t>
      </w:r>
      <w:r w:rsidRPr="00BA3167">
        <w:rPr>
          <w:rFonts w:ascii="Times New Roman" w:hAnsi="Times New Roman" w:cs="Times New Roman"/>
        </w:rPr>
        <w:t xml:space="preserve"> plotted as mean ± sem</w:t>
      </w:r>
      <w:r w:rsidRPr="00BA3167">
        <w:rPr>
          <w:rFonts w:ascii="Times New Roman" w:hAnsi="Times New Roman" w:cs="Times New Roman"/>
          <w:b/>
          <w:bCs/>
        </w:rPr>
        <w:t>.</w:t>
      </w:r>
      <w:r w:rsidRPr="00BA3167">
        <w:rPr>
          <w:rFonts w:ascii="Times New Roman" w:hAnsi="Times New Roman" w:cs="Times New Roman"/>
        </w:rPr>
        <w:t xml:space="preserve"> The P values displayed in the graphs were derived from a two-tailed Student’s t-test. The experiments were repeated independently with similar results.</w:t>
      </w:r>
    </w:p>
    <w:p w14:paraId="2C15F928" w14:textId="77777777" w:rsidR="00CC2860" w:rsidRPr="00BA3167" w:rsidRDefault="00CC2860">
      <w:pPr>
        <w:rPr>
          <w:rFonts w:ascii="Times New Roman" w:hAnsi="Times New Roman" w:cs="Times New Roman"/>
        </w:rPr>
      </w:pPr>
    </w:p>
    <w:p w14:paraId="4B619569" w14:textId="5C322205" w:rsidR="00CC2860" w:rsidRPr="00BA3167" w:rsidRDefault="00CC2860" w:rsidP="00CC2860">
      <w:pPr>
        <w:jc w:val="center"/>
        <w:rPr>
          <w:rFonts w:ascii="Times New Roman" w:hAnsi="Times New Roman" w:cs="Times New Roman"/>
        </w:rPr>
      </w:pPr>
      <w:r w:rsidRPr="00BA3167">
        <w:rPr>
          <w:rFonts w:ascii="Times New Roman" w:hAnsi="Times New Roman" w:cs="Times New Roman"/>
          <w:noProof/>
        </w:rPr>
        <w:lastRenderedPageBreak/>
        <w:drawing>
          <wp:inline distT="0" distB="0" distL="0" distR="0" wp14:anchorId="0A4FF083" wp14:editId="1F9120C7">
            <wp:extent cx="4698125" cy="6400800"/>
            <wp:effectExtent l="0" t="0" r="1270" b="0"/>
            <wp:docPr id="1088623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623158" name=""/>
                    <pic:cNvPicPr/>
                  </pic:nvPicPr>
                  <pic:blipFill>
                    <a:blip r:embed="rId6"/>
                    <a:stretch>
                      <a:fillRect/>
                    </a:stretch>
                  </pic:blipFill>
                  <pic:spPr>
                    <a:xfrm>
                      <a:off x="0" y="0"/>
                      <a:ext cx="4710395" cy="6417517"/>
                    </a:xfrm>
                    <a:prstGeom prst="rect">
                      <a:avLst/>
                    </a:prstGeom>
                  </pic:spPr>
                </pic:pic>
              </a:graphicData>
            </a:graphic>
          </wp:inline>
        </w:drawing>
      </w:r>
    </w:p>
    <w:p w14:paraId="5C6F30E0" w14:textId="5EDECCAA" w:rsidR="00CC2860" w:rsidRPr="00BA3167" w:rsidRDefault="00CC2860" w:rsidP="00CC2860">
      <w:pPr>
        <w:rPr>
          <w:rFonts w:ascii="Times New Roman" w:hAnsi="Times New Roman" w:cs="Times New Roman"/>
        </w:rPr>
      </w:pPr>
      <w:r w:rsidRPr="00BA3167">
        <w:rPr>
          <w:rFonts w:ascii="Times New Roman" w:hAnsi="Times New Roman" w:cs="Times New Roman"/>
          <w:b/>
          <w:bCs/>
          <w:lang w:val="en-US"/>
        </w:rPr>
        <w:t xml:space="preserve">Extended Data Fig. 2: Cancer cell lines </w:t>
      </w:r>
      <w:r w:rsidR="006E36B9" w:rsidRPr="00BA3167">
        <w:rPr>
          <w:rFonts w:ascii="Times New Roman" w:hAnsi="Times New Roman" w:cs="Times New Roman"/>
          <w:b/>
          <w:bCs/>
          <w:lang w:val="en-US"/>
        </w:rPr>
        <w:t>show</w:t>
      </w:r>
      <w:r w:rsidRPr="00BA3167">
        <w:rPr>
          <w:rFonts w:ascii="Times New Roman" w:hAnsi="Times New Roman" w:cs="Times New Roman"/>
          <w:b/>
          <w:bCs/>
          <w:lang w:val="en-US"/>
        </w:rPr>
        <w:t xml:space="preserve"> higher percentage of </w:t>
      </w:r>
      <w:proofErr w:type="spellStart"/>
      <w:r w:rsidRPr="00BA3167">
        <w:rPr>
          <w:rFonts w:ascii="Times New Roman" w:hAnsi="Times New Roman" w:cs="Times New Roman"/>
          <w:b/>
          <w:bCs/>
          <w:lang w:val="en-US"/>
        </w:rPr>
        <w:t>MoVes</w:t>
      </w:r>
      <w:proofErr w:type="spellEnd"/>
      <w:r w:rsidRPr="00BA3167">
        <w:rPr>
          <w:rFonts w:ascii="Times New Roman" w:hAnsi="Times New Roman" w:cs="Times New Roman"/>
          <w:b/>
          <w:bCs/>
          <w:lang w:val="en-US"/>
        </w:rPr>
        <w:t xml:space="preserve"> compared to non-transformed cells.</w:t>
      </w:r>
      <w:r w:rsidRPr="00BA3167">
        <w:rPr>
          <w:rFonts w:ascii="Times New Roman" w:hAnsi="Times New Roman" w:cs="Times New Roman"/>
        </w:rPr>
        <w:t xml:space="preserve"> SEM images showing</w:t>
      </w:r>
      <w:r w:rsidR="00976AA1">
        <w:rPr>
          <w:rFonts w:ascii="Times New Roman" w:hAnsi="Times New Roman" w:cs="Times New Roman"/>
        </w:rPr>
        <w:t xml:space="preserve"> </w:t>
      </w:r>
      <w:proofErr w:type="spellStart"/>
      <w:r w:rsidR="00976AA1">
        <w:rPr>
          <w:rFonts w:ascii="Times New Roman" w:hAnsi="Times New Roman" w:cs="Times New Roman"/>
        </w:rPr>
        <w:t>MoVes</w:t>
      </w:r>
      <w:proofErr w:type="spellEnd"/>
      <w:r w:rsidR="00976AA1">
        <w:rPr>
          <w:rFonts w:ascii="Times New Roman" w:hAnsi="Times New Roman" w:cs="Times New Roman"/>
        </w:rPr>
        <w:t xml:space="preserve"> emission in</w:t>
      </w:r>
      <w:r w:rsidRPr="00BA3167">
        <w:rPr>
          <w:rFonts w:ascii="Times New Roman" w:hAnsi="Times New Roman" w:cs="Times New Roman"/>
        </w:rPr>
        <w:t xml:space="preserve"> (</w:t>
      </w:r>
      <w:r w:rsidRPr="00BA3167">
        <w:rPr>
          <w:rFonts w:ascii="Times New Roman" w:hAnsi="Times New Roman" w:cs="Times New Roman"/>
          <w:b/>
          <w:bCs/>
        </w:rPr>
        <w:t>a</w:t>
      </w:r>
      <w:r w:rsidRPr="00BA3167">
        <w:rPr>
          <w:rFonts w:ascii="Times New Roman" w:hAnsi="Times New Roman" w:cs="Times New Roman"/>
        </w:rPr>
        <w:t>) 92.1, (</w:t>
      </w:r>
      <w:r w:rsidRPr="00BA3167">
        <w:rPr>
          <w:rFonts w:ascii="Times New Roman" w:hAnsi="Times New Roman" w:cs="Times New Roman"/>
          <w:b/>
          <w:bCs/>
        </w:rPr>
        <w:t>b</w:t>
      </w:r>
      <w:r w:rsidRPr="00BA3167">
        <w:rPr>
          <w:rFonts w:ascii="Times New Roman" w:hAnsi="Times New Roman" w:cs="Times New Roman"/>
        </w:rPr>
        <w:t>) MP41</w:t>
      </w:r>
      <w:r w:rsidR="00976AA1">
        <w:rPr>
          <w:rFonts w:ascii="Times New Roman" w:hAnsi="Times New Roman" w:cs="Times New Roman"/>
        </w:rPr>
        <w:t xml:space="preserve"> and</w:t>
      </w:r>
      <w:r w:rsidRPr="00BA3167">
        <w:rPr>
          <w:rFonts w:ascii="Times New Roman" w:hAnsi="Times New Roman" w:cs="Times New Roman"/>
        </w:rPr>
        <w:t xml:space="preserve"> (</w:t>
      </w:r>
      <w:r w:rsidRPr="00BA3167">
        <w:rPr>
          <w:rFonts w:ascii="Times New Roman" w:hAnsi="Times New Roman" w:cs="Times New Roman"/>
          <w:b/>
          <w:bCs/>
        </w:rPr>
        <w:t>c</w:t>
      </w:r>
      <w:r w:rsidRPr="00BA3167">
        <w:rPr>
          <w:rFonts w:ascii="Times New Roman" w:hAnsi="Times New Roman" w:cs="Times New Roman"/>
        </w:rPr>
        <w:t xml:space="preserve">) </w:t>
      </w:r>
      <w:proofErr w:type="spellStart"/>
      <w:r w:rsidRPr="00BA3167">
        <w:rPr>
          <w:rFonts w:ascii="Times New Roman" w:hAnsi="Times New Roman" w:cs="Times New Roman"/>
        </w:rPr>
        <w:t>CaSki</w:t>
      </w:r>
      <w:proofErr w:type="spellEnd"/>
      <w:r w:rsidRPr="00BA3167">
        <w:rPr>
          <w:rFonts w:ascii="Times New Roman" w:hAnsi="Times New Roman" w:cs="Times New Roman"/>
        </w:rPr>
        <w:t xml:space="preserve"> </w:t>
      </w:r>
      <w:r w:rsidR="00976AA1">
        <w:rPr>
          <w:rFonts w:ascii="Times New Roman" w:hAnsi="Times New Roman" w:cs="Times New Roman"/>
        </w:rPr>
        <w:t>cells</w:t>
      </w:r>
      <w:r w:rsidRPr="00BA3167">
        <w:rPr>
          <w:rFonts w:ascii="Times New Roman" w:hAnsi="Times New Roman" w:cs="Times New Roman"/>
        </w:rPr>
        <w:t xml:space="preserve">. No </w:t>
      </w:r>
      <w:proofErr w:type="spellStart"/>
      <w:r w:rsidRPr="00BA3167">
        <w:rPr>
          <w:rFonts w:ascii="Times New Roman" w:hAnsi="Times New Roman" w:cs="Times New Roman"/>
        </w:rPr>
        <w:t>MoVes</w:t>
      </w:r>
      <w:proofErr w:type="spellEnd"/>
      <w:r w:rsidRPr="00BA3167">
        <w:rPr>
          <w:rFonts w:ascii="Times New Roman" w:hAnsi="Times New Roman" w:cs="Times New Roman"/>
        </w:rPr>
        <w:t xml:space="preserve"> were seen in (</w:t>
      </w:r>
      <w:r w:rsidRPr="00BA3167">
        <w:rPr>
          <w:rFonts w:ascii="Times New Roman" w:hAnsi="Times New Roman" w:cs="Times New Roman"/>
          <w:b/>
          <w:bCs/>
        </w:rPr>
        <w:t>e</w:t>
      </w:r>
      <w:r w:rsidRPr="00BA3167">
        <w:rPr>
          <w:rFonts w:ascii="Times New Roman" w:hAnsi="Times New Roman" w:cs="Times New Roman"/>
        </w:rPr>
        <w:t>) IHH, (</w:t>
      </w:r>
      <w:r w:rsidRPr="00BA3167">
        <w:rPr>
          <w:rFonts w:ascii="Times New Roman" w:hAnsi="Times New Roman" w:cs="Times New Roman"/>
          <w:b/>
          <w:bCs/>
        </w:rPr>
        <w:t>f</w:t>
      </w:r>
      <w:r w:rsidRPr="00BA3167">
        <w:rPr>
          <w:rFonts w:ascii="Times New Roman" w:hAnsi="Times New Roman" w:cs="Times New Roman"/>
        </w:rPr>
        <w:t>) IEC18 (normal)</w:t>
      </w:r>
      <w:r w:rsidR="00976AA1">
        <w:rPr>
          <w:rFonts w:ascii="Times New Roman" w:hAnsi="Times New Roman" w:cs="Times New Roman"/>
        </w:rPr>
        <w:t xml:space="preserve"> and </w:t>
      </w:r>
      <w:r w:rsidRPr="00BA3167">
        <w:rPr>
          <w:rFonts w:ascii="Times New Roman" w:hAnsi="Times New Roman" w:cs="Times New Roman"/>
        </w:rPr>
        <w:t>(</w:t>
      </w:r>
      <w:r w:rsidRPr="00BA3167">
        <w:rPr>
          <w:rFonts w:ascii="Times New Roman" w:hAnsi="Times New Roman" w:cs="Times New Roman"/>
          <w:b/>
          <w:bCs/>
        </w:rPr>
        <w:t>g</w:t>
      </w:r>
      <w:r w:rsidRPr="00BA3167">
        <w:rPr>
          <w:rFonts w:ascii="Times New Roman" w:hAnsi="Times New Roman" w:cs="Times New Roman"/>
        </w:rPr>
        <w:t>) NCM (normal) primary cells and (</w:t>
      </w:r>
      <w:r w:rsidRPr="00BA3167">
        <w:rPr>
          <w:rFonts w:ascii="Times New Roman" w:hAnsi="Times New Roman" w:cs="Times New Roman"/>
          <w:b/>
          <w:bCs/>
        </w:rPr>
        <w:t>d</w:t>
      </w:r>
      <w:r w:rsidRPr="00BA3167">
        <w:rPr>
          <w:rFonts w:ascii="Times New Roman" w:hAnsi="Times New Roman" w:cs="Times New Roman"/>
        </w:rPr>
        <w:t>) RAS3 (cancer). (</w:t>
      </w:r>
      <w:proofErr w:type="spellStart"/>
      <w:proofErr w:type="gramStart"/>
      <w:r w:rsidRPr="00BA3167">
        <w:rPr>
          <w:rFonts w:ascii="Times New Roman" w:hAnsi="Times New Roman" w:cs="Times New Roman"/>
          <w:b/>
          <w:bCs/>
        </w:rPr>
        <w:t>h,i</w:t>
      </w:r>
      <w:proofErr w:type="spellEnd"/>
      <w:proofErr w:type="gramEnd"/>
      <w:r w:rsidRPr="00BA3167">
        <w:rPr>
          <w:rFonts w:ascii="Times New Roman" w:hAnsi="Times New Roman" w:cs="Times New Roman"/>
        </w:rPr>
        <w:t xml:space="preserve">) </w:t>
      </w:r>
      <w:r w:rsidR="00976AA1">
        <w:rPr>
          <w:rFonts w:ascii="Times New Roman" w:hAnsi="Times New Roman" w:cs="Times New Roman"/>
        </w:rPr>
        <w:t>C</w:t>
      </w:r>
      <w:r w:rsidRPr="00BA3167">
        <w:rPr>
          <w:rFonts w:ascii="Times New Roman" w:hAnsi="Times New Roman" w:cs="Times New Roman"/>
        </w:rPr>
        <w:t xml:space="preserve">olon cancer cell lines SW620 and HT29 have </w:t>
      </w:r>
      <w:r w:rsidR="003B269D">
        <w:rPr>
          <w:rFonts w:ascii="Times New Roman" w:hAnsi="Times New Roman" w:cs="Times New Roman"/>
        </w:rPr>
        <w:t>lower</w:t>
      </w:r>
      <w:r w:rsidRPr="00BA3167">
        <w:rPr>
          <w:rFonts w:ascii="Times New Roman" w:hAnsi="Times New Roman" w:cs="Times New Roman"/>
        </w:rPr>
        <w:t xml:space="preserve"> </w:t>
      </w:r>
      <w:proofErr w:type="spellStart"/>
      <w:r w:rsidRPr="00BA3167">
        <w:rPr>
          <w:rFonts w:ascii="Times New Roman" w:hAnsi="Times New Roman" w:cs="Times New Roman"/>
        </w:rPr>
        <w:t>MoVes</w:t>
      </w:r>
      <w:proofErr w:type="spellEnd"/>
      <w:r w:rsidR="003B269D">
        <w:rPr>
          <w:rFonts w:ascii="Times New Roman" w:hAnsi="Times New Roman" w:cs="Times New Roman"/>
        </w:rPr>
        <w:t xml:space="preserve"> emission</w:t>
      </w:r>
      <w:r w:rsidRPr="00BA3167">
        <w:rPr>
          <w:rFonts w:ascii="Times New Roman" w:hAnsi="Times New Roman" w:cs="Times New Roman"/>
        </w:rPr>
        <w:t>. (</w:t>
      </w:r>
      <w:r w:rsidR="00C67C1C" w:rsidRPr="00BA3167">
        <w:rPr>
          <w:rFonts w:ascii="Times New Roman" w:hAnsi="Times New Roman" w:cs="Times New Roman"/>
          <w:b/>
          <w:bCs/>
        </w:rPr>
        <w:t>j</w:t>
      </w:r>
      <w:r w:rsidR="00C67C1C" w:rsidRPr="00BA3167">
        <w:rPr>
          <w:rFonts w:ascii="Times New Roman" w:hAnsi="Times New Roman" w:cs="Times New Roman"/>
        </w:rPr>
        <w:t>)</w:t>
      </w:r>
      <w:r w:rsidRPr="00BA3167">
        <w:rPr>
          <w:rFonts w:ascii="Times New Roman" w:hAnsi="Times New Roman" w:cs="Times New Roman"/>
        </w:rPr>
        <w:t xml:space="preserve"> Graph showing the percentage of </w:t>
      </w:r>
      <w:proofErr w:type="spellStart"/>
      <w:r w:rsidRPr="00BA3167">
        <w:rPr>
          <w:rFonts w:ascii="Times New Roman" w:hAnsi="Times New Roman" w:cs="Times New Roman"/>
        </w:rPr>
        <w:t>MoVes</w:t>
      </w:r>
      <w:proofErr w:type="spellEnd"/>
      <w:r w:rsidRPr="00BA3167">
        <w:rPr>
          <w:rFonts w:ascii="Times New Roman" w:hAnsi="Times New Roman" w:cs="Times New Roman"/>
        </w:rPr>
        <w:t xml:space="preserve"> in cancer cells and normal cells (calculated using the SEM images)</w:t>
      </w:r>
      <w:r w:rsidR="003B269D">
        <w:rPr>
          <w:rFonts w:ascii="Times New Roman" w:hAnsi="Times New Roman" w:cs="Times New Roman"/>
        </w:rPr>
        <w:t>. A minimum of</w:t>
      </w:r>
      <w:r w:rsidRPr="00BA3167">
        <w:rPr>
          <w:rFonts w:ascii="Times New Roman" w:hAnsi="Times New Roman" w:cs="Times New Roman"/>
        </w:rPr>
        <w:t xml:space="preserve"> 50 cells were imaged per experiments and repeated three times. </w:t>
      </w:r>
    </w:p>
    <w:p w14:paraId="30B2F72A" w14:textId="77777777" w:rsidR="00CC2860" w:rsidRPr="00BA3167" w:rsidRDefault="00CC2860" w:rsidP="00CC2860">
      <w:pPr>
        <w:rPr>
          <w:rFonts w:ascii="Times New Roman" w:hAnsi="Times New Roman" w:cs="Times New Roman"/>
        </w:rPr>
      </w:pPr>
      <w:r w:rsidRPr="00BA3167">
        <w:rPr>
          <w:rFonts w:ascii="Times New Roman" w:hAnsi="Times New Roman" w:cs="Times New Roman"/>
          <w:lang w:val="en-US"/>
        </w:rPr>
        <w:t xml:space="preserve"> </w:t>
      </w:r>
    </w:p>
    <w:p w14:paraId="0768BFE0" w14:textId="77777777" w:rsidR="00CC2860" w:rsidRPr="00BA3167" w:rsidRDefault="00CC2860">
      <w:pPr>
        <w:rPr>
          <w:rFonts w:ascii="Times New Roman" w:hAnsi="Times New Roman" w:cs="Times New Roman"/>
        </w:rPr>
      </w:pPr>
    </w:p>
    <w:p w14:paraId="49B3AB00" w14:textId="7307D49B" w:rsidR="00CC2860" w:rsidRPr="00BA3167" w:rsidRDefault="00CC2860">
      <w:pPr>
        <w:rPr>
          <w:rFonts w:ascii="Times New Roman" w:hAnsi="Times New Roman" w:cs="Times New Roman"/>
        </w:rPr>
      </w:pPr>
      <w:r w:rsidRPr="00BA3167">
        <w:rPr>
          <w:rFonts w:ascii="Times New Roman" w:hAnsi="Times New Roman" w:cs="Times New Roman"/>
          <w:noProof/>
        </w:rPr>
        <w:drawing>
          <wp:inline distT="0" distB="0" distL="0" distR="0" wp14:anchorId="0E7440EA" wp14:editId="5C96B9F4">
            <wp:extent cx="5943600" cy="2983230"/>
            <wp:effectExtent l="0" t="0" r="0" b="1270"/>
            <wp:docPr id="1805976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976525" name=""/>
                    <pic:cNvPicPr/>
                  </pic:nvPicPr>
                  <pic:blipFill>
                    <a:blip r:embed="rId7"/>
                    <a:stretch>
                      <a:fillRect/>
                    </a:stretch>
                  </pic:blipFill>
                  <pic:spPr>
                    <a:xfrm>
                      <a:off x="0" y="0"/>
                      <a:ext cx="5943600" cy="2983230"/>
                    </a:xfrm>
                    <a:prstGeom prst="rect">
                      <a:avLst/>
                    </a:prstGeom>
                  </pic:spPr>
                </pic:pic>
              </a:graphicData>
            </a:graphic>
          </wp:inline>
        </w:drawing>
      </w:r>
    </w:p>
    <w:p w14:paraId="2B851423" w14:textId="030D1F47" w:rsidR="00CC2860" w:rsidRPr="00BA3167" w:rsidRDefault="00CC2860" w:rsidP="00CC2860">
      <w:pPr>
        <w:rPr>
          <w:rFonts w:ascii="Times New Roman" w:hAnsi="Times New Roman" w:cs="Times New Roman"/>
        </w:rPr>
      </w:pPr>
      <w:r w:rsidRPr="00BA3167">
        <w:rPr>
          <w:rFonts w:ascii="Times New Roman" w:hAnsi="Times New Roman" w:cs="Times New Roman"/>
          <w:b/>
          <w:bCs/>
          <w:lang w:val="en-US"/>
        </w:rPr>
        <w:t>Extended Data Fig. 3: Antibodies are highly specific and did not show non-specific labelling.  </w:t>
      </w:r>
      <w:r w:rsidRPr="00BA3167">
        <w:rPr>
          <w:rFonts w:ascii="Times New Roman" w:hAnsi="Times New Roman" w:cs="Times New Roman"/>
        </w:rPr>
        <w:t>TEM immunogold labeling of (</w:t>
      </w:r>
      <w:r w:rsidRPr="00BA3167">
        <w:rPr>
          <w:rFonts w:ascii="Times New Roman" w:hAnsi="Times New Roman" w:cs="Times New Roman"/>
          <w:b/>
          <w:bCs/>
        </w:rPr>
        <w:t>a</w:t>
      </w:r>
      <w:r w:rsidRPr="00BA3167">
        <w:rPr>
          <w:rFonts w:ascii="Times New Roman" w:hAnsi="Times New Roman" w:cs="Times New Roman"/>
        </w:rPr>
        <w:t xml:space="preserve">) </w:t>
      </w:r>
      <w:proofErr w:type="spellStart"/>
      <w:r w:rsidRPr="00BA3167">
        <w:rPr>
          <w:rFonts w:ascii="Times New Roman" w:hAnsi="Times New Roman" w:cs="Times New Roman"/>
        </w:rPr>
        <w:t>BrdU</w:t>
      </w:r>
      <w:proofErr w:type="spellEnd"/>
      <w:r w:rsidRPr="00BA3167">
        <w:rPr>
          <w:rFonts w:ascii="Times New Roman" w:hAnsi="Times New Roman" w:cs="Times New Roman"/>
        </w:rPr>
        <w:t>, (</w:t>
      </w:r>
      <w:r w:rsidRPr="00BA3167">
        <w:rPr>
          <w:rFonts w:ascii="Times New Roman" w:hAnsi="Times New Roman" w:cs="Times New Roman"/>
          <w:b/>
          <w:bCs/>
        </w:rPr>
        <w:t>b</w:t>
      </w:r>
      <w:r w:rsidRPr="00BA3167">
        <w:rPr>
          <w:rFonts w:ascii="Times New Roman" w:hAnsi="Times New Roman" w:cs="Times New Roman"/>
        </w:rPr>
        <w:t xml:space="preserve">) </w:t>
      </w:r>
      <w:r w:rsidR="00E8134E">
        <w:rPr>
          <w:rFonts w:ascii="Times New Roman" w:hAnsi="Times New Roman" w:cs="Times New Roman"/>
        </w:rPr>
        <w:t>h</w:t>
      </w:r>
      <w:r w:rsidRPr="00BA3167">
        <w:rPr>
          <w:rFonts w:ascii="Times New Roman" w:hAnsi="Times New Roman" w:cs="Times New Roman"/>
        </w:rPr>
        <w:t>istones and (</w:t>
      </w:r>
      <w:r w:rsidRPr="00BA3167">
        <w:rPr>
          <w:rFonts w:ascii="Times New Roman" w:hAnsi="Times New Roman" w:cs="Times New Roman"/>
          <w:b/>
          <w:bCs/>
        </w:rPr>
        <w:t>c</w:t>
      </w:r>
      <w:r w:rsidRPr="00BA3167">
        <w:rPr>
          <w:rFonts w:ascii="Times New Roman" w:hAnsi="Times New Roman" w:cs="Times New Roman"/>
        </w:rPr>
        <w:t xml:space="preserve">) dsDNA in nuclei to assess antibody specificity. </w:t>
      </w:r>
      <w:proofErr w:type="spellStart"/>
      <w:r w:rsidRPr="00BA3167">
        <w:rPr>
          <w:rFonts w:ascii="Times New Roman" w:hAnsi="Times New Roman" w:cs="Times New Roman"/>
        </w:rPr>
        <w:t>BrdU</w:t>
      </w:r>
      <w:proofErr w:type="spellEnd"/>
      <w:r w:rsidRPr="00BA3167">
        <w:rPr>
          <w:rFonts w:ascii="Times New Roman" w:hAnsi="Times New Roman" w:cs="Times New Roman"/>
        </w:rPr>
        <w:t xml:space="preserve"> and </w:t>
      </w:r>
      <w:r w:rsidR="00E8134E">
        <w:rPr>
          <w:rFonts w:ascii="Times New Roman" w:hAnsi="Times New Roman" w:cs="Times New Roman"/>
        </w:rPr>
        <w:t>h</w:t>
      </w:r>
      <w:r w:rsidRPr="00BA3167">
        <w:rPr>
          <w:rFonts w:ascii="Times New Roman" w:hAnsi="Times New Roman" w:cs="Times New Roman"/>
        </w:rPr>
        <w:t>istones (10nm gold), dsDNA (20nm gold) are observed in the nucleus</w:t>
      </w:r>
      <w:r w:rsidR="00E8134E">
        <w:rPr>
          <w:rFonts w:ascii="Times New Roman" w:hAnsi="Times New Roman" w:cs="Times New Roman"/>
        </w:rPr>
        <w:t>.</w:t>
      </w:r>
    </w:p>
    <w:p w14:paraId="0B727F24" w14:textId="59FB1898" w:rsidR="00CC2860" w:rsidRPr="00BA3167" w:rsidRDefault="00C67C1C" w:rsidP="00CC2860">
      <w:pPr>
        <w:jc w:val="center"/>
        <w:rPr>
          <w:rFonts w:ascii="Times New Roman" w:hAnsi="Times New Roman" w:cs="Times New Roman"/>
        </w:rPr>
      </w:pPr>
      <w:r w:rsidRPr="00BA3167">
        <w:rPr>
          <w:rFonts w:ascii="Times New Roman" w:hAnsi="Times New Roman" w:cs="Times New Roman"/>
          <w:noProof/>
        </w:rPr>
        <w:lastRenderedPageBreak/>
        <w:drawing>
          <wp:inline distT="0" distB="0" distL="0" distR="0" wp14:anchorId="10EB5D1B" wp14:editId="0616108E">
            <wp:extent cx="4419457" cy="6808054"/>
            <wp:effectExtent l="0" t="0" r="635" b="0"/>
            <wp:docPr id="468383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383853" name=""/>
                    <pic:cNvPicPr/>
                  </pic:nvPicPr>
                  <pic:blipFill>
                    <a:blip r:embed="rId8"/>
                    <a:stretch>
                      <a:fillRect/>
                    </a:stretch>
                  </pic:blipFill>
                  <pic:spPr>
                    <a:xfrm>
                      <a:off x="0" y="0"/>
                      <a:ext cx="4438726" cy="6837738"/>
                    </a:xfrm>
                    <a:prstGeom prst="rect">
                      <a:avLst/>
                    </a:prstGeom>
                  </pic:spPr>
                </pic:pic>
              </a:graphicData>
            </a:graphic>
          </wp:inline>
        </w:drawing>
      </w:r>
    </w:p>
    <w:p w14:paraId="6FEEA6F3" w14:textId="5CCB4BB4" w:rsidR="00CC2860" w:rsidRPr="00BA3167" w:rsidRDefault="00CC2860" w:rsidP="00CC2860">
      <w:pPr>
        <w:snapToGrid w:val="0"/>
        <w:spacing w:line="276" w:lineRule="auto"/>
        <w:rPr>
          <w:rFonts w:ascii="Times New Roman" w:hAnsi="Times New Roman" w:cs="Times New Roman"/>
        </w:rPr>
      </w:pPr>
      <w:r w:rsidRPr="00BA3167">
        <w:rPr>
          <w:rFonts w:ascii="Times New Roman" w:hAnsi="Times New Roman" w:cs="Times New Roman"/>
          <w:b/>
          <w:bCs/>
        </w:rPr>
        <w:t>Extended Data Fig. 4:</w:t>
      </w:r>
      <w:r w:rsidRPr="00BA3167">
        <w:rPr>
          <w:rFonts w:ascii="Times New Roman" w:hAnsi="Times New Roman" w:cs="Times New Roman"/>
        </w:rPr>
        <w:t xml:space="preserve"> </w:t>
      </w:r>
      <w:r w:rsidR="00C67C1C" w:rsidRPr="00BA3167">
        <w:rPr>
          <w:rFonts w:ascii="Times New Roman" w:hAnsi="Times New Roman" w:cs="Times New Roman"/>
          <w:b/>
          <w:bCs/>
        </w:rPr>
        <w:t xml:space="preserve">Characterization of </w:t>
      </w:r>
      <w:proofErr w:type="spellStart"/>
      <w:r w:rsidR="00C67C1C" w:rsidRPr="00BA3167">
        <w:rPr>
          <w:rFonts w:ascii="Times New Roman" w:hAnsi="Times New Roman" w:cs="Times New Roman"/>
          <w:b/>
          <w:bCs/>
        </w:rPr>
        <w:t>sEVs</w:t>
      </w:r>
      <w:proofErr w:type="spellEnd"/>
      <w:r w:rsidR="00C67C1C" w:rsidRPr="00BA3167">
        <w:rPr>
          <w:rFonts w:ascii="Times New Roman" w:hAnsi="Times New Roman" w:cs="Times New Roman"/>
          <w:b/>
          <w:bCs/>
        </w:rPr>
        <w:t xml:space="preserve">, MVs and </w:t>
      </w:r>
      <w:proofErr w:type="spellStart"/>
      <w:r w:rsidR="00C67C1C" w:rsidRPr="00BA3167">
        <w:rPr>
          <w:rFonts w:ascii="Times New Roman" w:hAnsi="Times New Roman" w:cs="Times New Roman"/>
          <w:b/>
          <w:bCs/>
        </w:rPr>
        <w:t>MoVes</w:t>
      </w:r>
      <w:proofErr w:type="spellEnd"/>
      <w:r w:rsidR="00C67C1C" w:rsidRPr="00BA3167">
        <w:rPr>
          <w:rFonts w:ascii="Times New Roman" w:hAnsi="Times New Roman" w:cs="Times New Roman"/>
          <w:b/>
          <w:bCs/>
        </w:rPr>
        <w:t>.</w:t>
      </w:r>
      <w:r w:rsidR="00C67C1C" w:rsidRPr="00BA3167">
        <w:rPr>
          <w:rFonts w:ascii="Times New Roman" w:hAnsi="Times New Roman" w:cs="Times New Roman"/>
        </w:rPr>
        <w:t xml:space="preserve"> </w:t>
      </w:r>
      <w:r w:rsidRPr="00BA3167">
        <w:rPr>
          <w:rFonts w:ascii="Times New Roman" w:hAnsi="Times New Roman" w:cs="Times New Roman"/>
        </w:rPr>
        <w:t>(</w:t>
      </w:r>
      <w:r w:rsidRPr="00BA3167">
        <w:rPr>
          <w:rFonts w:ascii="Times New Roman" w:hAnsi="Times New Roman" w:cs="Times New Roman"/>
          <w:b/>
          <w:bCs/>
        </w:rPr>
        <w:t>a- b</w:t>
      </w:r>
      <w:r w:rsidRPr="00BA3167">
        <w:rPr>
          <w:rFonts w:ascii="Times New Roman" w:hAnsi="Times New Roman" w:cs="Times New Roman"/>
        </w:rPr>
        <w:t xml:space="preserve">) Schematic protocol of isolation and enrichment of </w:t>
      </w:r>
      <w:proofErr w:type="spellStart"/>
      <w:r w:rsidRPr="00BA3167">
        <w:rPr>
          <w:rFonts w:ascii="Times New Roman" w:hAnsi="Times New Roman" w:cs="Times New Roman"/>
        </w:rPr>
        <w:t>sEVs</w:t>
      </w:r>
      <w:proofErr w:type="spellEnd"/>
      <w:r w:rsidRPr="00BA3167">
        <w:rPr>
          <w:rFonts w:ascii="Times New Roman" w:hAnsi="Times New Roman" w:cs="Times New Roman"/>
        </w:rPr>
        <w:t xml:space="preserve">, MVs and </w:t>
      </w:r>
      <w:proofErr w:type="spellStart"/>
      <w:r w:rsidRPr="00BA3167">
        <w:rPr>
          <w:rFonts w:ascii="Times New Roman" w:hAnsi="Times New Roman" w:cs="Times New Roman"/>
        </w:rPr>
        <w:t>MoVes</w:t>
      </w:r>
      <w:proofErr w:type="spellEnd"/>
      <w:r w:rsidRPr="00BA3167">
        <w:rPr>
          <w:rFonts w:ascii="Times New Roman" w:hAnsi="Times New Roman" w:cs="Times New Roman"/>
        </w:rPr>
        <w:t>. (</w:t>
      </w:r>
      <w:r w:rsidRPr="00BA3167">
        <w:rPr>
          <w:rFonts w:ascii="Times New Roman" w:hAnsi="Times New Roman" w:cs="Times New Roman"/>
          <w:b/>
          <w:bCs/>
        </w:rPr>
        <w:t>c</w:t>
      </w:r>
      <w:r w:rsidRPr="00BA3167">
        <w:rPr>
          <w:rFonts w:ascii="Times New Roman" w:hAnsi="Times New Roman" w:cs="Times New Roman"/>
        </w:rPr>
        <w:t xml:space="preserve">) Characterization of distinct EVs phenotype. TEM images of </w:t>
      </w:r>
      <w:proofErr w:type="spellStart"/>
      <w:r w:rsidRPr="00BA3167">
        <w:rPr>
          <w:rFonts w:ascii="Times New Roman" w:hAnsi="Times New Roman" w:cs="Times New Roman"/>
        </w:rPr>
        <w:t>sEVs</w:t>
      </w:r>
      <w:proofErr w:type="spellEnd"/>
      <w:r w:rsidRPr="00BA3167">
        <w:rPr>
          <w:rFonts w:ascii="Times New Roman" w:hAnsi="Times New Roman" w:cs="Times New Roman"/>
        </w:rPr>
        <w:t xml:space="preserve">, MVs and </w:t>
      </w:r>
      <w:proofErr w:type="spellStart"/>
      <w:r w:rsidRPr="00BA3167">
        <w:rPr>
          <w:rFonts w:ascii="Times New Roman" w:hAnsi="Times New Roman" w:cs="Times New Roman"/>
        </w:rPr>
        <w:t>MoVes</w:t>
      </w:r>
      <w:proofErr w:type="spellEnd"/>
      <w:r w:rsidRPr="00BA3167">
        <w:rPr>
          <w:rFonts w:ascii="Times New Roman" w:hAnsi="Times New Roman" w:cs="Times New Roman"/>
        </w:rPr>
        <w:t xml:space="preserve"> (</w:t>
      </w:r>
      <w:r w:rsidRPr="00BA3167">
        <w:rPr>
          <w:rFonts w:ascii="Times New Roman" w:hAnsi="Times New Roman" w:cs="Times New Roman"/>
          <w:b/>
          <w:bCs/>
        </w:rPr>
        <w:t>d</w:t>
      </w:r>
      <w:r w:rsidRPr="00BA3167">
        <w:rPr>
          <w:rFonts w:ascii="Times New Roman" w:hAnsi="Times New Roman" w:cs="Times New Roman"/>
        </w:rPr>
        <w:t xml:space="preserve">) </w:t>
      </w:r>
      <w:r w:rsidR="00991403">
        <w:rPr>
          <w:rFonts w:ascii="Times New Roman" w:hAnsi="Times New Roman" w:cs="Times New Roman"/>
        </w:rPr>
        <w:t>Western blot</w:t>
      </w:r>
      <w:r w:rsidRPr="00BA3167">
        <w:rPr>
          <w:rFonts w:ascii="Times New Roman" w:hAnsi="Times New Roman" w:cs="Times New Roman"/>
        </w:rPr>
        <w:t xml:space="preserve"> of cell lysate, </w:t>
      </w:r>
      <w:proofErr w:type="spellStart"/>
      <w:r w:rsidRPr="00BA3167">
        <w:rPr>
          <w:rFonts w:ascii="Times New Roman" w:hAnsi="Times New Roman" w:cs="Times New Roman"/>
        </w:rPr>
        <w:t>sEVs</w:t>
      </w:r>
      <w:proofErr w:type="spellEnd"/>
      <w:r w:rsidRPr="00BA3167">
        <w:rPr>
          <w:rFonts w:ascii="Times New Roman" w:hAnsi="Times New Roman" w:cs="Times New Roman"/>
        </w:rPr>
        <w:t xml:space="preserve">, MVs and </w:t>
      </w:r>
      <w:proofErr w:type="spellStart"/>
      <w:r w:rsidRPr="00BA3167">
        <w:rPr>
          <w:rFonts w:ascii="Times New Roman" w:hAnsi="Times New Roman" w:cs="Times New Roman"/>
        </w:rPr>
        <w:t>MoVes</w:t>
      </w:r>
      <w:proofErr w:type="spellEnd"/>
      <w:r w:rsidRPr="00BA3167">
        <w:rPr>
          <w:rFonts w:ascii="Times New Roman" w:hAnsi="Times New Roman" w:cs="Times New Roman"/>
        </w:rPr>
        <w:t>. (</w:t>
      </w:r>
      <w:r w:rsidRPr="00BA3167">
        <w:rPr>
          <w:rFonts w:ascii="Times New Roman" w:hAnsi="Times New Roman" w:cs="Times New Roman"/>
          <w:b/>
          <w:bCs/>
        </w:rPr>
        <w:t>e</w:t>
      </w:r>
      <w:r w:rsidRPr="00BA3167">
        <w:rPr>
          <w:rFonts w:ascii="Times New Roman" w:hAnsi="Times New Roman" w:cs="Times New Roman"/>
        </w:rPr>
        <w:t xml:space="preserve">) NTA of </w:t>
      </w:r>
      <w:proofErr w:type="spellStart"/>
      <w:r w:rsidRPr="00BA3167">
        <w:rPr>
          <w:rFonts w:ascii="Times New Roman" w:hAnsi="Times New Roman" w:cs="Times New Roman"/>
        </w:rPr>
        <w:t>sEVs</w:t>
      </w:r>
      <w:proofErr w:type="spellEnd"/>
      <w:r w:rsidRPr="00BA3167">
        <w:rPr>
          <w:rFonts w:ascii="Times New Roman" w:hAnsi="Times New Roman" w:cs="Times New Roman"/>
        </w:rPr>
        <w:t xml:space="preserve"> and MVs. (</w:t>
      </w:r>
      <w:r w:rsidRPr="00BA3167">
        <w:rPr>
          <w:rFonts w:ascii="Times New Roman" w:hAnsi="Times New Roman" w:cs="Times New Roman"/>
          <w:b/>
          <w:bCs/>
        </w:rPr>
        <w:t>f</w:t>
      </w:r>
      <w:r w:rsidRPr="00BA3167">
        <w:rPr>
          <w:rFonts w:ascii="Times New Roman" w:hAnsi="Times New Roman" w:cs="Times New Roman"/>
        </w:rPr>
        <w:t xml:space="preserve">) A representative Cryo-TEM image of </w:t>
      </w:r>
      <w:proofErr w:type="spellStart"/>
      <w:proofErr w:type="gramStart"/>
      <w:r w:rsidRPr="00BA3167">
        <w:rPr>
          <w:rFonts w:ascii="Times New Roman" w:hAnsi="Times New Roman" w:cs="Times New Roman"/>
        </w:rPr>
        <w:t>MoVes</w:t>
      </w:r>
      <w:proofErr w:type="spellEnd"/>
      <w:r w:rsidRPr="00BA3167">
        <w:rPr>
          <w:rFonts w:ascii="Times New Roman" w:hAnsi="Times New Roman" w:cs="Times New Roman"/>
        </w:rPr>
        <w:t xml:space="preserve"> .</w:t>
      </w:r>
      <w:proofErr w:type="gramEnd"/>
      <w:r w:rsidRPr="00BA3167">
        <w:rPr>
          <w:rFonts w:ascii="Times New Roman" w:hAnsi="Times New Roman" w:cs="Times New Roman"/>
        </w:rPr>
        <w:t xml:space="preserve"> (</w:t>
      </w:r>
      <w:r w:rsidRPr="00BA3167">
        <w:rPr>
          <w:rFonts w:ascii="Times New Roman" w:hAnsi="Times New Roman" w:cs="Times New Roman"/>
          <w:b/>
          <w:bCs/>
        </w:rPr>
        <w:t>g</w:t>
      </w:r>
      <w:r w:rsidRPr="00BA3167">
        <w:rPr>
          <w:rFonts w:ascii="Times New Roman" w:hAnsi="Times New Roman" w:cs="Times New Roman"/>
        </w:rPr>
        <w:t xml:space="preserve">) Size of </w:t>
      </w:r>
      <w:proofErr w:type="spellStart"/>
      <w:r w:rsidRPr="00BA3167">
        <w:rPr>
          <w:rFonts w:ascii="Times New Roman" w:hAnsi="Times New Roman" w:cs="Times New Roman"/>
        </w:rPr>
        <w:t>sEVs</w:t>
      </w:r>
      <w:proofErr w:type="spellEnd"/>
      <w:r w:rsidRPr="00BA3167">
        <w:rPr>
          <w:rFonts w:ascii="Times New Roman" w:hAnsi="Times New Roman" w:cs="Times New Roman"/>
        </w:rPr>
        <w:t xml:space="preserve">, MVs and </w:t>
      </w:r>
      <w:proofErr w:type="spellStart"/>
      <w:r w:rsidRPr="00BA3167">
        <w:rPr>
          <w:rFonts w:ascii="Times New Roman" w:hAnsi="Times New Roman" w:cs="Times New Roman"/>
        </w:rPr>
        <w:t>MoVes</w:t>
      </w:r>
      <w:proofErr w:type="spellEnd"/>
      <w:r w:rsidRPr="00BA3167">
        <w:rPr>
          <w:rFonts w:ascii="Times New Roman" w:hAnsi="Times New Roman" w:cs="Times New Roman"/>
        </w:rPr>
        <w:t xml:space="preserve"> measured using </w:t>
      </w:r>
      <w:proofErr w:type="spellStart"/>
      <w:r w:rsidRPr="00BA3167">
        <w:rPr>
          <w:rFonts w:ascii="Times New Roman" w:hAnsi="Times New Roman" w:cs="Times New Roman"/>
        </w:rPr>
        <w:t>Spectradyne</w:t>
      </w:r>
      <w:proofErr w:type="spellEnd"/>
      <w:r w:rsidRPr="00BA3167">
        <w:rPr>
          <w:rFonts w:ascii="Times New Roman" w:hAnsi="Times New Roman" w:cs="Times New Roman"/>
        </w:rPr>
        <w:t xml:space="preserve"> with 150, 2000 and 10k cartridges respectively.</w:t>
      </w:r>
    </w:p>
    <w:p w14:paraId="742FC933" w14:textId="77777777" w:rsidR="00C67C1C" w:rsidRPr="00BA3167" w:rsidRDefault="00C67C1C" w:rsidP="00C67C1C">
      <w:pPr>
        <w:snapToGrid w:val="0"/>
        <w:spacing w:line="276" w:lineRule="auto"/>
        <w:jc w:val="center"/>
        <w:rPr>
          <w:rFonts w:ascii="Times New Roman" w:hAnsi="Times New Roman" w:cs="Times New Roman"/>
          <w:b/>
          <w:bCs/>
        </w:rPr>
      </w:pPr>
      <w:r w:rsidRPr="00BA3167">
        <w:rPr>
          <w:rFonts w:ascii="Times New Roman" w:hAnsi="Times New Roman" w:cs="Times New Roman"/>
          <w:noProof/>
        </w:rPr>
        <w:lastRenderedPageBreak/>
        <w:drawing>
          <wp:inline distT="0" distB="0" distL="0" distR="0" wp14:anchorId="3C7E49B3" wp14:editId="72322E9F">
            <wp:extent cx="4057650" cy="8867356"/>
            <wp:effectExtent l="0" t="0" r="0" b="0"/>
            <wp:docPr id="1037630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630311" name=""/>
                    <pic:cNvPicPr/>
                  </pic:nvPicPr>
                  <pic:blipFill rotWithShape="1">
                    <a:blip r:embed="rId9"/>
                    <a:srcRect r="16743"/>
                    <a:stretch/>
                  </pic:blipFill>
                  <pic:spPr bwMode="auto">
                    <a:xfrm>
                      <a:off x="0" y="0"/>
                      <a:ext cx="4060408" cy="8873384"/>
                    </a:xfrm>
                    <a:prstGeom prst="rect">
                      <a:avLst/>
                    </a:prstGeom>
                    <a:ln>
                      <a:noFill/>
                    </a:ln>
                    <a:extLst>
                      <a:ext uri="{53640926-AAD7-44D8-BBD7-CCE9431645EC}">
                        <a14:shadowObscured xmlns:a14="http://schemas.microsoft.com/office/drawing/2010/main"/>
                      </a:ext>
                    </a:extLst>
                  </pic:spPr>
                </pic:pic>
              </a:graphicData>
            </a:graphic>
          </wp:inline>
        </w:drawing>
      </w:r>
    </w:p>
    <w:p w14:paraId="49B13E3E" w14:textId="0A337C2F" w:rsidR="00CC2860" w:rsidRPr="00BA3167" w:rsidRDefault="00CC2860" w:rsidP="00C67C1C">
      <w:pPr>
        <w:snapToGrid w:val="0"/>
        <w:spacing w:line="276" w:lineRule="auto"/>
        <w:rPr>
          <w:rFonts w:ascii="Times New Roman" w:hAnsi="Times New Roman" w:cs="Times New Roman"/>
          <w:b/>
          <w:bCs/>
        </w:rPr>
      </w:pPr>
      <w:commentRangeStart w:id="0"/>
      <w:r w:rsidRPr="00BA3167">
        <w:rPr>
          <w:rFonts w:ascii="Times New Roman" w:hAnsi="Times New Roman" w:cs="Times New Roman"/>
          <w:b/>
          <w:bCs/>
        </w:rPr>
        <w:lastRenderedPageBreak/>
        <w:t xml:space="preserve">Extended Data Fig. 5: Distinct proteomic profile of </w:t>
      </w:r>
      <w:proofErr w:type="spellStart"/>
      <w:r w:rsidRPr="00BA3167">
        <w:rPr>
          <w:rFonts w:ascii="Times New Roman" w:hAnsi="Times New Roman" w:cs="Times New Roman"/>
          <w:b/>
          <w:bCs/>
        </w:rPr>
        <w:t>MoVes</w:t>
      </w:r>
      <w:proofErr w:type="spellEnd"/>
      <w:r w:rsidRPr="00BA3167">
        <w:rPr>
          <w:rFonts w:ascii="Times New Roman" w:hAnsi="Times New Roman" w:cs="Times New Roman"/>
          <w:b/>
          <w:bCs/>
        </w:rPr>
        <w:t>.</w:t>
      </w:r>
      <w:commentRangeEnd w:id="0"/>
      <w:r w:rsidR="00991403">
        <w:rPr>
          <w:rStyle w:val="CommentReference"/>
        </w:rPr>
        <w:commentReference w:id="0"/>
      </w:r>
    </w:p>
    <w:p w14:paraId="30EEDCC3" w14:textId="1EE930B2" w:rsidR="003B6D41" w:rsidRPr="00DD2BD3" w:rsidRDefault="003B6D41" w:rsidP="003B6D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kern w:val="0"/>
          <w:lang w:val="en-GB"/>
        </w:rPr>
      </w:pPr>
      <w:r w:rsidRPr="00DD2BD3">
        <w:rPr>
          <w:rFonts w:ascii="Times New Roman" w:hAnsi="Times New Roman" w:cs="Times New Roman"/>
          <w:kern w:val="0"/>
          <w:lang w:val="en-GB"/>
        </w:rPr>
        <w:t>(</w:t>
      </w:r>
      <w:r w:rsidRPr="00DD2BD3">
        <w:rPr>
          <w:rFonts w:ascii="Times New Roman" w:hAnsi="Times New Roman" w:cs="Times New Roman"/>
          <w:b/>
          <w:bCs/>
          <w:kern w:val="0"/>
          <w:lang w:val="en-GB"/>
        </w:rPr>
        <w:t>a-c</w:t>
      </w:r>
      <w:r w:rsidRPr="00DD2BD3">
        <w:rPr>
          <w:rFonts w:ascii="Times New Roman" w:hAnsi="Times New Roman" w:cs="Times New Roman"/>
          <w:kern w:val="0"/>
          <w:lang w:val="en-GB"/>
        </w:rPr>
        <w:t xml:space="preserve">) Gene Set Enrichment Analysis (GSEA) identifies top gene sets enriched in </w:t>
      </w:r>
      <w:proofErr w:type="spellStart"/>
      <w:r w:rsidRPr="00DD2BD3">
        <w:rPr>
          <w:rFonts w:ascii="Times New Roman" w:hAnsi="Times New Roman" w:cs="Times New Roman"/>
          <w:kern w:val="0"/>
          <w:lang w:val="en-GB"/>
        </w:rPr>
        <w:t>MoVes</w:t>
      </w:r>
      <w:proofErr w:type="spellEnd"/>
      <w:r w:rsidRPr="00DD2BD3">
        <w:rPr>
          <w:rFonts w:ascii="Times New Roman" w:hAnsi="Times New Roman" w:cs="Times New Roman"/>
          <w:kern w:val="0"/>
          <w:lang w:val="en-GB"/>
        </w:rPr>
        <w:t>. Proteins are ranked by GSEA based on differential expression levels. Enrichment scores (green line) indicate whether pre-specified pathways are significantly overrepresented at the top or bottom of the ranked gene list. Vertical black lines highlight positions of specific pathway members in the ranked gene list. Example pathways include oxidative phosphorylation, adipogenesis, and reactive oxygen species (ROS) pathways.</w:t>
      </w:r>
      <w:r>
        <w:rPr>
          <w:rFonts w:ascii="Times New Roman" w:hAnsi="Times New Roman" w:cs="Times New Roman"/>
          <w:kern w:val="0"/>
          <w:lang w:val="en-GB"/>
        </w:rPr>
        <w:t xml:space="preserve"> </w:t>
      </w:r>
      <w:r w:rsidRPr="00DD2BD3">
        <w:rPr>
          <w:rFonts w:ascii="Times New Roman" w:hAnsi="Times New Roman" w:cs="Times New Roman"/>
          <w:kern w:val="0"/>
          <w:lang w:val="en-GB"/>
        </w:rPr>
        <w:t>(</w:t>
      </w:r>
      <w:r w:rsidRPr="00DD2BD3">
        <w:rPr>
          <w:rFonts w:ascii="Times New Roman" w:hAnsi="Times New Roman" w:cs="Times New Roman"/>
          <w:b/>
          <w:bCs/>
          <w:kern w:val="0"/>
          <w:lang w:val="en-GB"/>
        </w:rPr>
        <w:t>d</w:t>
      </w:r>
      <w:r w:rsidRPr="00DD2BD3">
        <w:rPr>
          <w:rFonts w:ascii="Times New Roman" w:hAnsi="Times New Roman" w:cs="Times New Roman"/>
          <w:kern w:val="0"/>
          <w:lang w:val="en-GB"/>
        </w:rPr>
        <w:t xml:space="preserve">) Gene ontology (GO) analysis of </w:t>
      </w:r>
      <w:proofErr w:type="spellStart"/>
      <w:r w:rsidRPr="00DD2BD3">
        <w:rPr>
          <w:rFonts w:ascii="Times New Roman" w:hAnsi="Times New Roman" w:cs="Times New Roman"/>
          <w:kern w:val="0"/>
          <w:lang w:val="en-GB"/>
        </w:rPr>
        <w:t>MoVes</w:t>
      </w:r>
      <w:proofErr w:type="spellEnd"/>
      <w:r w:rsidRPr="00DD2BD3">
        <w:rPr>
          <w:rFonts w:ascii="Times New Roman" w:hAnsi="Times New Roman" w:cs="Times New Roman"/>
          <w:kern w:val="0"/>
          <w:lang w:val="en-GB"/>
        </w:rPr>
        <w:t xml:space="preserve"> proteins using DAVID functional annotation. Top enriched biological processes (</w:t>
      </w:r>
      <w:proofErr w:type="spellStart"/>
      <w:r w:rsidRPr="00DD2BD3">
        <w:rPr>
          <w:rFonts w:ascii="Times New Roman" w:hAnsi="Times New Roman" w:cs="Times New Roman"/>
          <w:kern w:val="0"/>
          <w:lang w:val="en-GB"/>
        </w:rPr>
        <w:t>i</w:t>
      </w:r>
      <w:proofErr w:type="spellEnd"/>
      <w:r w:rsidRPr="00DD2BD3">
        <w:rPr>
          <w:rFonts w:ascii="Times New Roman" w:hAnsi="Times New Roman" w:cs="Times New Roman"/>
          <w:kern w:val="0"/>
          <w:lang w:val="en-GB"/>
        </w:rPr>
        <w:t>), cellular components (ii), and KEGG pathways (iii) are reported. Percentages represent the proportion of genes encoding proteins associated with each GO biological process (GOBPs), cellular components (GOCCs), and KEGG pathways.</w:t>
      </w:r>
      <w:r>
        <w:rPr>
          <w:rFonts w:ascii="Times New Roman" w:hAnsi="Times New Roman" w:cs="Times New Roman"/>
          <w:kern w:val="0"/>
          <w:lang w:val="en-GB"/>
        </w:rPr>
        <w:t xml:space="preserve"> </w:t>
      </w:r>
      <w:r w:rsidRPr="00DD2BD3">
        <w:rPr>
          <w:rFonts w:ascii="Times New Roman" w:hAnsi="Times New Roman" w:cs="Times New Roman"/>
          <w:kern w:val="0"/>
          <w:lang w:val="en-GB"/>
        </w:rPr>
        <w:t>(</w:t>
      </w:r>
      <w:r w:rsidRPr="00DD2BD3">
        <w:rPr>
          <w:rFonts w:ascii="Times New Roman" w:hAnsi="Times New Roman" w:cs="Times New Roman"/>
          <w:b/>
          <w:bCs/>
          <w:kern w:val="0"/>
          <w:lang w:val="en-GB"/>
        </w:rPr>
        <w:t>e</w:t>
      </w:r>
      <w:r w:rsidRPr="00DD2BD3">
        <w:rPr>
          <w:rFonts w:ascii="Times New Roman" w:hAnsi="Times New Roman" w:cs="Times New Roman"/>
          <w:kern w:val="0"/>
          <w:lang w:val="en-GB"/>
        </w:rPr>
        <w:t xml:space="preserve">) 4T1 </w:t>
      </w:r>
      <w:proofErr w:type="spellStart"/>
      <w:r w:rsidRPr="00DD2BD3">
        <w:rPr>
          <w:rFonts w:ascii="Times New Roman" w:hAnsi="Times New Roman" w:cs="Times New Roman"/>
          <w:kern w:val="0"/>
          <w:lang w:val="en-GB"/>
        </w:rPr>
        <w:t>MoVes</w:t>
      </w:r>
      <w:proofErr w:type="spellEnd"/>
      <w:r w:rsidRPr="00DD2BD3">
        <w:rPr>
          <w:rFonts w:ascii="Times New Roman" w:hAnsi="Times New Roman" w:cs="Times New Roman"/>
          <w:kern w:val="0"/>
          <w:lang w:val="en-GB"/>
        </w:rPr>
        <w:t xml:space="preserve"> stained positive for mitochondrial cytochrome c oxidase subunit IV (Cox IV) and double-stranded DNA (dsDNA). Scale bar = 10 µm.</w:t>
      </w:r>
      <w:r>
        <w:rPr>
          <w:rFonts w:ascii="Times New Roman" w:hAnsi="Times New Roman" w:cs="Times New Roman"/>
          <w:kern w:val="0"/>
          <w:lang w:val="en-GB"/>
        </w:rPr>
        <w:t xml:space="preserve"> </w:t>
      </w:r>
      <w:r w:rsidRPr="00DD2BD3">
        <w:rPr>
          <w:rFonts w:ascii="Times New Roman" w:hAnsi="Times New Roman" w:cs="Times New Roman"/>
          <w:kern w:val="0"/>
          <w:lang w:val="en-GB"/>
        </w:rPr>
        <w:t>(</w:t>
      </w:r>
      <w:r w:rsidRPr="00DD2BD3">
        <w:rPr>
          <w:rFonts w:ascii="Times New Roman" w:hAnsi="Times New Roman" w:cs="Times New Roman"/>
          <w:b/>
          <w:bCs/>
          <w:kern w:val="0"/>
          <w:lang w:val="en-GB"/>
        </w:rPr>
        <w:t>f</w:t>
      </w:r>
      <w:r w:rsidRPr="00DD2BD3">
        <w:rPr>
          <w:rFonts w:ascii="Times New Roman" w:hAnsi="Times New Roman" w:cs="Times New Roman"/>
          <w:kern w:val="0"/>
          <w:lang w:val="en-GB"/>
        </w:rPr>
        <w:t xml:space="preserve">) Gene ontology analysis of proteins enriched in </w:t>
      </w:r>
      <w:proofErr w:type="spellStart"/>
      <w:r w:rsidRPr="00DD2BD3">
        <w:rPr>
          <w:rFonts w:ascii="Times New Roman" w:hAnsi="Times New Roman" w:cs="Times New Roman"/>
          <w:kern w:val="0"/>
          <w:lang w:val="en-GB"/>
        </w:rPr>
        <w:t>sEVs</w:t>
      </w:r>
      <w:proofErr w:type="spellEnd"/>
      <w:r w:rsidRPr="00DD2BD3">
        <w:rPr>
          <w:rFonts w:ascii="Times New Roman" w:hAnsi="Times New Roman" w:cs="Times New Roman"/>
          <w:kern w:val="0"/>
          <w:lang w:val="en-GB"/>
        </w:rPr>
        <w:t xml:space="preserve"> using DAVID functional annotation. Top enriched biological processes (</w:t>
      </w:r>
      <w:proofErr w:type="spellStart"/>
      <w:r w:rsidRPr="00DD2BD3">
        <w:rPr>
          <w:rFonts w:ascii="Times New Roman" w:hAnsi="Times New Roman" w:cs="Times New Roman"/>
          <w:kern w:val="0"/>
          <w:lang w:val="en-GB"/>
        </w:rPr>
        <w:t>i</w:t>
      </w:r>
      <w:proofErr w:type="spellEnd"/>
      <w:r w:rsidRPr="00DD2BD3">
        <w:rPr>
          <w:rFonts w:ascii="Times New Roman" w:hAnsi="Times New Roman" w:cs="Times New Roman"/>
          <w:kern w:val="0"/>
          <w:lang w:val="en-GB"/>
        </w:rPr>
        <w:t>), cellular components (ii), molecular functions (iii), and KEGG pathways (iv) are shown.</w:t>
      </w:r>
    </w:p>
    <w:p w14:paraId="2371A314" w14:textId="77777777" w:rsidR="00CC2860" w:rsidRPr="00BA3167" w:rsidRDefault="00CC2860" w:rsidP="00CC2860">
      <w:pPr>
        <w:snapToGrid w:val="0"/>
        <w:spacing w:line="276" w:lineRule="auto"/>
        <w:jc w:val="center"/>
        <w:rPr>
          <w:rFonts w:ascii="Times New Roman" w:hAnsi="Times New Roman" w:cs="Times New Roman"/>
        </w:rPr>
      </w:pPr>
    </w:p>
    <w:p w14:paraId="3ECB0ABA" w14:textId="77777777" w:rsidR="00CC2860" w:rsidRPr="00BA3167" w:rsidRDefault="00CC2860" w:rsidP="00CC2860">
      <w:pPr>
        <w:snapToGrid w:val="0"/>
        <w:spacing w:line="276" w:lineRule="auto"/>
        <w:jc w:val="center"/>
        <w:rPr>
          <w:rFonts w:ascii="Times New Roman" w:hAnsi="Times New Roman" w:cs="Times New Roman"/>
        </w:rPr>
      </w:pPr>
    </w:p>
    <w:p w14:paraId="2E0DDE1C" w14:textId="77777777" w:rsidR="00CC2860" w:rsidRPr="00BA3167" w:rsidRDefault="00CC2860" w:rsidP="00CC2860">
      <w:pPr>
        <w:snapToGrid w:val="0"/>
        <w:spacing w:line="276" w:lineRule="auto"/>
        <w:jc w:val="center"/>
        <w:rPr>
          <w:rFonts w:ascii="Times New Roman" w:hAnsi="Times New Roman" w:cs="Times New Roman"/>
        </w:rPr>
      </w:pPr>
    </w:p>
    <w:p w14:paraId="002BEAA1" w14:textId="77777777" w:rsidR="00CC2860" w:rsidRPr="00BA3167" w:rsidRDefault="00CC2860" w:rsidP="00CC2860">
      <w:pPr>
        <w:snapToGrid w:val="0"/>
        <w:spacing w:line="276" w:lineRule="auto"/>
        <w:jc w:val="center"/>
        <w:rPr>
          <w:rFonts w:ascii="Times New Roman" w:hAnsi="Times New Roman" w:cs="Times New Roman"/>
        </w:rPr>
      </w:pPr>
    </w:p>
    <w:p w14:paraId="108C1427" w14:textId="77777777" w:rsidR="00CC2860" w:rsidRPr="00BA3167" w:rsidRDefault="00CC2860" w:rsidP="00CC2860">
      <w:pPr>
        <w:snapToGrid w:val="0"/>
        <w:spacing w:line="276" w:lineRule="auto"/>
        <w:jc w:val="center"/>
        <w:rPr>
          <w:rFonts w:ascii="Times New Roman" w:hAnsi="Times New Roman" w:cs="Times New Roman"/>
        </w:rPr>
      </w:pPr>
    </w:p>
    <w:p w14:paraId="06AB39F6" w14:textId="77777777" w:rsidR="00CC2860" w:rsidRPr="00BA3167" w:rsidRDefault="00CC2860" w:rsidP="00CC2860">
      <w:pPr>
        <w:snapToGrid w:val="0"/>
        <w:spacing w:line="276" w:lineRule="auto"/>
        <w:jc w:val="center"/>
        <w:rPr>
          <w:rFonts w:ascii="Times New Roman" w:hAnsi="Times New Roman" w:cs="Times New Roman"/>
        </w:rPr>
      </w:pPr>
    </w:p>
    <w:p w14:paraId="04C57920" w14:textId="77777777" w:rsidR="00CC2860" w:rsidRPr="00BA3167" w:rsidRDefault="00CC2860" w:rsidP="00CC2860">
      <w:pPr>
        <w:snapToGrid w:val="0"/>
        <w:spacing w:line="276" w:lineRule="auto"/>
        <w:jc w:val="center"/>
        <w:rPr>
          <w:rFonts w:ascii="Times New Roman" w:hAnsi="Times New Roman" w:cs="Times New Roman"/>
        </w:rPr>
      </w:pPr>
    </w:p>
    <w:p w14:paraId="5B89C564" w14:textId="77777777" w:rsidR="00CC2860" w:rsidRPr="00BA3167" w:rsidRDefault="00CC2860" w:rsidP="00CC2860">
      <w:pPr>
        <w:snapToGrid w:val="0"/>
        <w:spacing w:line="276" w:lineRule="auto"/>
        <w:jc w:val="center"/>
        <w:rPr>
          <w:rFonts w:ascii="Times New Roman" w:hAnsi="Times New Roman" w:cs="Times New Roman"/>
        </w:rPr>
      </w:pPr>
    </w:p>
    <w:p w14:paraId="263A722D" w14:textId="77777777" w:rsidR="00CC2860" w:rsidRPr="00BA3167" w:rsidRDefault="00CC2860" w:rsidP="00CC2860">
      <w:pPr>
        <w:snapToGrid w:val="0"/>
        <w:spacing w:line="276" w:lineRule="auto"/>
        <w:jc w:val="center"/>
        <w:rPr>
          <w:rFonts w:ascii="Times New Roman" w:hAnsi="Times New Roman" w:cs="Times New Roman"/>
        </w:rPr>
      </w:pPr>
    </w:p>
    <w:p w14:paraId="0D46715C" w14:textId="77777777" w:rsidR="00CC2860" w:rsidRPr="00BA3167" w:rsidRDefault="00CC2860" w:rsidP="00CC2860">
      <w:pPr>
        <w:snapToGrid w:val="0"/>
        <w:spacing w:line="276" w:lineRule="auto"/>
        <w:jc w:val="center"/>
        <w:rPr>
          <w:rFonts w:ascii="Times New Roman" w:hAnsi="Times New Roman" w:cs="Times New Roman"/>
        </w:rPr>
      </w:pPr>
    </w:p>
    <w:p w14:paraId="212B349F" w14:textId="2D114E28" w:rsidR="00CC2860" w:rsidRPr="00BA3167" w:rsidRDefault="00C67C1C" w:rsidP="00CC2860">
      <w:pPr>
        <w:snapToGrid w:val="0"/>
        <w:spacing w:line="276" w:lineRule="auto"/>
        <w:jc w:val="center"/>
        <w:rPr>
          <w:rFonts w:ascii="Times New Roman" w:hAnsi="Times New Roman" w:cs="Times New Roman"/>
        </w:rPr>
      </w:pPr>
      <w:r w:rsidRPr="00BA3167">
        <w:rPr>
          <w:rFonts w:ascii="Times New Roman" w:hAnsi="Times New Roman" w:cs="Times New Roman"/>
          <w:noProof/>
        </w:rPr>
        <w:lastRenderedPageBreak/>
        <w:drawing>
          <wp:inline distT="0" distB="0" distL="0" distR="0" wp14:anchorId="0BF016C5" wp14:editId="5A82536C">
            <wp:extent cx="5943600" cy="5921375"/>
            <wp:effectExtent l="0" t="0" r="0" b="0"/>
            <wp:docPr id="522359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59871" name=""/>
                    <pic:cNvPicPr/>
                  </pic:nvPicPr>
                  <pic:blipFill>
                    <a:blip r:embed="rId14"/>
                    <a:stretch>
                      <a:fillRect/>
                    </a:stretch>
                  </pic:blipFill>
                  <pic:spPr>
                    <a:xfrm>
                      <a:off x="0" y="0"/>
                      <a:ext cx="5943600" cy="5921375"/>
                    </a:xfrm>
                    <a:prstGeom prst="rect">
                      <a:avLst/>
                    </a:prstGeom>
                  </pic:spPr>
                </pic:pic>
              </a:graphicData>
            </a:graphic>
          </wp:inline>
        </w:drawing>
      </w:r>
    </w:p>
    <w:p w14:paraId="23D6A53E" w14:textId="4433B4B4" w:rsidR="00CC2860" w:rsidRPr="00BA3167" w:rsidRDefault="00CC2860" w:rsidP="00CC2860">
      <w:pPr>
        <w:snapToGrid w:val="0"/>
        <w:spacing w:line="276" w:lineRule="auto"/>
        <w:jc w:val="center"/>
        <w:rPr>
          <w:rFonts w:ascii="Times New Roman" w:hAnsi="Times New Roman" w:cs="Times New Roman"/>
        </w:rPr>
      </w:pPr>
    </w:p>
    <w:p w14:paraId="61191D26" w14:textId="77777777" w:rsidR="00CC2860" w:rsidRPr="00BA3167" w:rsidRDefault="00CC2860" w:rsidP="00CC2860">
      <w:pPr>
        <w:snapToGrid w:val="0"/>
        <w:spacing w:line="276" w:lineRule="auto"/>
        <w:jc w:val="center"/>
        <w:rPr>
          <w:rFonts w:ascii="Times New Roman" w:hAnsi="Times New Roman" w:cs="Times New Roman"/>
        </w:rPr>
      </w:pPr>
    </w:p>
    <w:p w14:paraId="6145983B" w14:textId="3890F3DC" w:rsidR="00CC2860" w:rsidRPr="00BA3167" w:rsidRDefault="00CC2860" w:rsidP="00CC2860">
      <w:pPr>
        <w:snapToGrid w:val="0"/>
        <w:spacing w:line="276" w:lineRule="auto"/>
        <w:rPr>
          <w:rFonts w:ascii="Times New Roman" w:hAnsi="Times New Roman" w:cs="Times New Roman"/>
        </w:rPr>
      </w:pPr>
      <w:r w:rsidRPr="00BA3167">
        <w:rPr>
          <w:rFonts w:ascii="Times New Roman" w:hAnsi="Times New Roman" w:cs="Times New Roman"/>
          <w:b/>
          <w:bCs/>
        </w:rPr>
        <w:t>Extended Data Fig. 6: Immunofluorescence analysis of epithelial-to-mesenchymal transition (EMT) markers in 4T1, MDA-MB-231, MCF10A.</w:t>
      </w:r>
      <w:r w:rsidRPr="00BA3167">
        <w:rPr>
          <w:rFonts w:ascii="Times New Roman" w:hAnsi="Times New Roman" w:cs="Times New Roman"/>
        </w:rPr>
        <w:t xml:space="preserve"> Micrographs using the confocal microscope showing the (</w:t>
      </w:r>
      <w:r w:rsidRPr="00BA3167">
        <w:rPr>
          <w:rFonts w:ascii="Times New Roman" w:hAnsi="Times New Roman" w:cs="Times New Roman"/>
          <w:b/>
          <w:bCs/>
        </w:rPr>
        <w:t>a</w:t>
      </w:r>
      <w:r w:rsidRPr="00BA3167">
        <w:rPr>
          <w:rFonts w:ascii="Times New Roman" w:hAnsi="Times New Roman" w:cs="Times New Roman"/>
        </w:rPr>
        <w:t>) mesenchymal markers N-cadherin and vimentin (red)</w:t>
      </w:r>
      <w:r w:rsidR="00040BFC">
        <w:rPr>
          <w:rFonts w:ascii="Times New Roman" w:hAnsi="Times New Roman" w:cs="Times New Roman"/>
        </w:rPr>
        <w:t xml:space="preserve"> and</w:t>
      </w:r>
      <w:r w:rsidRPr="00BA3167">
        <w:rPr>
          <w:rFonts w:ascii="Times New Roman" w:hAnsi="Times New Roman" w:cs="Times New Roman"/>
        </w:rPr>
        <w:t xml:space="preserve"> (</w:t>
      </w:r>
      <w:r w:rsidRPr="00BA3167">
        <w:rPr>
          <w:rFonts w:ascii="Times New Roman" w:hAnsi="Times New Roman" w:cs="Times New Roman"/>
          <w:b/>
          <w:bCs/>
        </w:rPr>
        <w:t>b</w:t>
      </w:r>
      <w:r w:rsidRPr="00BA3167">
        <w:rPr>
          <w:rFonts w:ascii="Times New Roman" w:hAnsi="Times New Roman" w:cs="Times New Roman"/>
        </w:rPr>
        <w:t>) epithelial marker E-cadherin in cells grown in 2Dmonolayers. Original magnification: 40×. Bar: 20 µm. Blue: DAPI. (</w:t>
      </w:r>
      <w:r w:rsidRPr="00BA3167">
        <w:rPr>
          <w:rFonts w:ascii="Times New Roman" w:hAnsi="Times New Roman" w:cs="Times New Roman"/>
          <w:b/>
          <w:bCs/>
        </w:rPr>
        <w:t>c-d</w:t>
      </w:r>
      <w:r w:rsidRPr="00BA3167">
        <w:rPr>
          <w:rFonts w:ascii="Times New Roman" w:hAnsi="Times New Roman" w:cs="Times New Roman"/>
        </w:rPr>
        <w:t>) SEM images of MDA-MB-231 and MCF10A. Confirmation of (</w:t>
      </w:r>
      <w:r w:rsidRPr="00BA3167">
        <w:rPr>
          <w:rFonts w:ascii="Times New Roman" w:hAnsi="Times New Roman" w:cs="Times New Roman"/>
          <w:b/>
          <w:bCs/>
        </w:rPr>
        <w:t>e</w:t>
      </w:r>
      <w:r w:rsidRPr="00BA3167">
        <w:rPr>
          <w:rFonts w:ascii="Times New Roman" w:hAnsi="Times New Roman" w:cs="Times New Roman"/>
        </w:rPr>
        <w:t xml:space="preserve">) mesenchymal (vimentin, laminin) and epithelial (E-cadherin, </w:t>
      </w:r>
      <w:proofErr w:type="spellStart"/>
      <w:r w:rsidRPr="00BA3167">
        <w:rPr>
          <w:rFonts w:ascii="Times New Roman" w:hAnsi="Times New Roman" w:cs="Times New Roman"/>
        </w:rPr>
        <w:t>EpCAM</w:t>
      </w:r>
      <w:proofErr w:type="spellEnd"/>
      <w:r w:rsidRPr="00BA3167">
        <w:rPr>
          <w:rFonts w:ascii="Times New Roman" w:hAnsi="Times New Roman" w:cs="Times New Roman"/>
        </w:rPr>
        <w:t xml:space="preserve">) </w:t>
      </w:r>
      <w:r w:rsidR="00ED357F" w:rsidRPr="00BA3167">
        <w:rPr>
          <w:rFonts w:ascii="Times New Roman" w:hAnsi="Times New Roman" w:cs="Times New Roman"/>
        </w:rPr>
        <w:t xml:space="preserve">expression </w:t>
      </w:r>
      <w:r w:rsidR="00B31385">
        <w:rPr>
          <w:rFonts w:ascii="Times New Roman" w:hAnsi="Times New Roman" w:cs="Times New Roman"/>
        </w:rPr>
        <w:t>by</w:t>
      </w:r>
      <w:r w:rsidRPr="00BA3167">
        <w:rPr>
          <w:rFonts w:ascii="Times New Roman" w:hAnsi="Times New Roman" w:cs="Times New Roman"/>
        </w:rPr>
        <w:t xml:space="preserve"> Western blot in 4T1, MDAMB231 and MCF10A</w:t>
      </w:r>
      <w:r w:rsidR="00B31385">
        <w:rPr>
          <w:rFonts w:ascii="Times New Roman" w:hAnsi="Times New Roman" w:cs="Times New Roman"/>
        </w:rPr>
        <w:t xml:space="preserve"> cells</w:t>
      </w:r>
      <w:r w:rsidRPr="00BA3167">
        <w:rPr>
          <w:rFonts w:ascii="Times New Roman" w:hAnsi="Times New Roman" w:cs="Times New Roman"/>
        </w:rPr>
        <w:t>. Stain free gels were used as а loading control.</w:t>
      </w:r>
    </w:p>
    <w:p w14:paraId="1AD888AA" w14:textId="7B537A4A" w:rsidR="00CC2860" w:rsidRPr="00BA3167" w:rsidRDefault="00CC2860" w:rsidP="00CC2860">
      <w:pPr>
        <w:snapToGrid w:val="0"/>
        <w:spacing w:line="276" w:lineRule="auto"/>
        <w:jc w:val="center"/>
        <w:rPr>
          <w:rFonts w:ascii="Times New Roman" w:hAnsi="Times New Roman" w:cs="Times New Roman"/>
        </w:rPr>
      </w:pPr>
      <w:r w:rsidRPr="00BA3167">
        <w:rPr>
          <w:rFonts w:ascii="Times New Roman" w:hAnsi="Times New Roman" w:cs="Times New Roman"/>
          <w:noProof/>
        </w:rPr>
        <w:lastRenderedPageBreak/>
        <w:drawing>
          <wp:inline distT="0" distB="0" distL="0" distR="0" wp14:anchorId="4C875B5F" wp14:editId="69BE927E">
            <wp:extent cx="5943600" cy="6163945"/>
            <wp:effectExtent l="0" t="0" r="0" b="0"/>
            <wp:docPr id="1139444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444222" name=""/>
                    <pic:cNvPicPr/>
                  </pic:nvPicPr>
                  <pic:blipFill>
                    <a:blip r:embed="rId15"/>
                    <a:stretch>
                      <a:fillRect/>
                    </a:stretch>
                  </pic:blipFill>
                  <pic:spPr>
                    <a:xfrm>
                      <a:off x="0" y="0"/>
                      <a:ext cx="5943600" cy="6163945"/>
                    </a:xfrm>
                    <a:prstGeom prst="rect">
                      <a:avLst/>
                    </a:prstGeom>
                  </pic:spPr>
                </pic:pic>
              </a:graphicData>
            </a:graphic>
          </wp:inline>
        </w:drawing>
      </w:r>
    </w:p>
    <w:p w14:paraId="18316479" w14:textId="77777777" w:rsidR="00CC2860" w:rsidRPr="00BA3167" w:rsidRDefault="00CC2860" w:rsidP="00CC2860">
      <w:pPr>
        <w:snapToGrid w:val="0"/>
        <w:spacing w:line="276" w:lineRule="auto"/>
        <w:jc w:val="center"/>
        <w:rPr>
          <w:rFonts w:ascii="Times New Roman" w:hAnsi="Times New Roman" w:cs="Times New Roman"/>
        </w:rPr>
      </w:pPr>
    </w:p>
    <w:p w14:paraId="5AC6C972" w14:textId="5C5B9236" w:rsidR="00CC2860" w:rsidRPr="00BA3167" w:rsidRDefault="00CC2860" w:rsidP="00CC2860">
      <w:pPr>
        <w:snapToGrid w:val="0"/>
        <w:spacing w:line="276" w:lineRule="auto"/>
        <w:rPr>
          <w:rFonts w:ascii="Times New Roman" w:hAnsi="Times New Roman" w:cs="Times New Roman"/>
        </w:rPr>
      </w:pPr>
      <w:r w:rsidRPr="00BA3167">
        <w:rPr>
          <w:rFonts w:ascii="Times New Roman" w:hAnsi="Times New Roman" w:cs="Times New Roman"/>
          <w:b/>
          <w:bCs/>
        </w:rPr>
        <w:t xml:space="preserve">Extended Data Fig. 7: Bolus dosage of </w:t>
      </w:r>
      <w:proofErr w:type="spellStart"/>
      <w:r w:rsidRPr="00BA3167">
        <w:rPr>
          <w:rFonts w:ascii="Times New Roman" w:hAnsi="Times New Roman" w:cs="Times New Roman"/>
          <w:b/>
          <w:bCs/>
        </w:rPr>
        <w:t>MoVes</w:t>
      </w:r>
      <w:proofErr w:type="spellEnd"/>
      <w:r w:rsidRPr="00BA3167">
        <w:rPr>
          <w:rFonts w:ascii="Times New Roman" w:hAnsi="Times New Roman" w:cs="Times New Roman"/>
          <w:b/>
          <w:bCs/>
        </w:rPr>
        <w:t xml:space="preserve"> results in leads to asphyxiation of mice and distinct biodistribution.</w:t>
      </w:r>
      <w:r w:rsidRPr="00BA3167">
        <w:rPr>
          <w:rFonts w:ascii="Times New Roman" w:hAnsi="Times New Roman" w:cs="Times New Roman"/>
        </w:rPr>
        <w:t xml:space="preserve">  IVIS imaging of biodistribution of (</w:t>
      </w:r>
      <w:r w:rsidRPr="00BA3167">
        <w:rPr>
          <w:rFonts w:ascii="Times New Roman" w:hAnsi="Times New Roman" w:cs="Times New Roman"/>
          <w:b/>
          <w:bCs/>
        </w:rPr>
        <w:t>a</w:t>
      </w:r>
      <w:r w:rsidRPr="00BA3167">
        <w:rPr>
          <w:rFonts w:ascii="Times New Roman" w:hAnsi="Times New Roman" w:cs="Times New Roman"/>
        </w:rPr>
        <w:t xml:space="preserve">) </w:t>
      </w:r>
      <w:proofErr w:type="spellStart"/>
      <w:r w:rsidRPr="00BA3167">
        <w:rPr>
          <w:rFonts w:ascii="Times New Roman" w:hAnsi="Times New Roman" w:cs="Times New Roman"/>
        </w:rPr>
        <w:t>MoVes</w:t>
      </w:r>
      <w:proofErr w:type="spellEnd"/>
      <w:r w:rsidRPr="00BA3167">
        <w:rPr>
          <w:rFonts w:ascii="Times New Roman" w:hAnsi="Times New Roman" w:cs="Times New Roman"/>
        </w:rPr>
        <w:t>, (</w:t>
      </w:r>
      <w:r w:rsidRPr="00BA3167">
        <w:rPr>
          <w:rFonts w:ascii="Times New Roman" w:hAnsi="Times New Roman" w:cs="Times New Roman"/>
          <w:b/>
          <w:bCs/>
        </w:rPr>
        <w:t>c</w:t>
      </w:r>
      <w:r w:rsidRPr="00BA3167">
        <w:rPr>
          <w:rFonts w:ascii="Times New Roman" w:hAnsi="Times New Roman" w:cs="Times New Roman"/>
        </w:rPr>
        <w:t xml:space="preserve">) </w:t>
      </w:r>
      <w:proofErr w:type="spellStart"/>
      <w:r w:rsidRPr="00BA3167">
        <w:rPr>
          <w:rFonts w:ascii="Times New Roman" w:hAnsi="Times New Roman" w:cs="Times New Roman"/>
        </w:rPr>
        <w:t>sEVs</w:t>
      </w:r>
      <w:proofErr w:type="spellEnd"/>
      <w:r w:rsidRPr="00BA3167">
        <w:rPr>
          <w:rFonts w:ascii="Times New Roman" w:hAnsi="Times New Roman" w:cs="Times New Roman"/>
        </w:rPr>
        <w:t>, (</w:t>
      </w:r>
      <w:r w:rsidRPr="00BA3167">
        <w:rPr>
          <w:rFonts w:ascii="Times New Roman" w:hAnsi="Times New Roman" w:cs="Times New Roman"/>
          <w:b/>
          <w:bCs/>
        </w:rPr>
        <w:t>e</w:t>
      </w:r>
      <w:r w:rsidRPr="00BA3167">
        <w:rPr>
          <w:rFonts w:ascii="Times New Roman" w:hAnsi="Times New Roman" w:cs="Times New Roman"/>
        </w:rPr>
        <w:t xml:space="preserve">) MVs labeled with </w:t>
      </w:r>
      <w:proofErr w:type="spellStart"/>
      <w:r w:rsidRPr="00BA3167">
        <w:rPr>
          <w:rFonts w:ascii="Times New Roman" w:hAnsi="Times New Roman" w:cs="Times New Roman"/>
        </w:rPr>
        <w:t>CellVue</w:t>
      </w:r>
      <w:proofErr w:type="spellEnd"/>
      <w:r w:rsidRPr="00BA3167">
        <w:rPr>
          <w:rFonts w:ascii="Times New Roman" w:hAnsi="Times New Roman" w:cs="Times New Roman"/>
        </w:rPr>
        <w:t xml:space="preserve"> Burgendy (</w:t>
      </w:r>
      <w:proofErr w:type="spellStart"/>
      <w:proofErr w:type="gramStart"/>
      <w:r w:rsidRPr="00BA3167">
        <w:rPr>
          <w:rFonts w:ascii="Times New Roman" w:hAnsi="Times New Roman" w:cs="Times New Roman"/>
          <w:b/>
          <w:bCs/>
        </w:rPr>
        <w:t>b,d</w:t>
      </w:r>
      <w:proofErr w:type="spellEnd"/>
      <w:proofErr w:type="gramEnd"/>
      <w:r w:rsidRPr="00BA3167">
        <w:rPr>
          <w:rFonts w:ascii="Times New Roman" w:hAnsi="Times New Roman" w:cs="Times New Roman"/>
          <w:b/>
          <w:bCs/>
        </w:rPr>
        <w:t>, f</w:t>
      </w:r>
      <w:r w:rsidRPr="00BA3167">
        <w:rPr>
          <w:rFonts w:ascii="Times New Roman" w:hAnsi="Times New Roman" w:cs="Times New Roman"/>
        </w:rPr>
        <w:t xml:space="preserve">) free </w:t>
      </w:r>
      <w:proofErr w:type="spellStart"/>
      <w:r w:rsidRPr="00BA3167">
        <w:rPr>
          <w:rFonts w:ascii="Times New Roman" w:hAnsi="Times New Roman" w:cs="Times New Roman"/>
        </w:rPr>
        <w:t>CellVue</w:t>
      </w:r>
      <w:proofErr w:type="spellEnd"/>
      <w:r w:rsidRPr="00BA3167">
        <w:rPr>
          <w:rFonts w:ascii="Times New Roman" w:hAnsi="Times New Roman" w:cs="Times New Roman"/>
        </w:rPr>
        <w:t xml:space="preserve"> Burgendy dye in mice NSG model. Preferential accumulation sites are denoted by blue arrows. (</w:t>
      </w:r>
      <w:r w:rsidRPr="00BA3167">
        <w:rPr>
          <w:rFonts w:ascii="Times New Roman" w:hAnsi="Times New Roman" w:cs="Times New Roman"/>
          <w:b/>
          <w:bCs/>
        </w:rPr>
        <w:t>a</w:t>
      </w:r>
      <w:r w:rsidRPr="00BA3167">
        <w:rPr>
          <w:rFonts w:ascii="Times New Roman" w:hAnsi="Times New Roman" w:cs="Times New Roman"/>
        </w:rPr>
        <w:t>) Higher doses (&gt;)</w:t>
      </w:r>
      <w:r w:rsidR="00FB6916" w:rsidRPr="00BA3167">
        <w:rPr>
          <w:rFonts w:ascii="Times New Roman" w:hAnsi="Times New Roman" w:cs="Times New Roman"/>
        </w:rPr>
        <w:t xml:space="preserve"> </w:t>
      </w:r>
      <w:r w:rsidRPr="00BA3167">
        <w:rPr>
          <w:rFonts w:ascii="Times New Roman" w:hAnsi="Times New Roman" w:cs="Times New Roman"/>
        </w:rPr>
        <w:t xml:space="preserve">of </w:t>
      </w:r>
      <w:proofErr w:type="spellStart"/>
      <w:r w:rsidRPr="00BA3167">
        <w:rPr>
          <w:rFonts w:ascii="Times New Roman" w:hAnsi="Times New Roman" w:cs="Times New Roman"/>
        </w:rPr>
        <w:t>CellVue</w:t>
      </w:r>
      <w:proofErr w:type="spellEnd"/>
      <w:r w:rsidRPr="00BA3167">
        <w:rPr>
          <w:rFonts w:ascii="Times New Roman" w:hAnsi="Times New Roman" w:cs="Times New Roman"/>
        </w:rPr>
        <w:t xml:space="preserve"> Burgendy-labelled </w:t>
      </w:r>
      <w:proofErr w:type="spellStart"/>
      <w:r w:rsidRPr="00BA3167">
        <w:rPr>
          <w:rFonts w:ascii="Times New Roman" w:hAnsi="Times New Roman" w:cs="Times New Roman"/>
        </w:rPr>
        <w:t>MoVes</w:t>
      </w:r>
      <w:proofErr w:type="spellEnd"/>
      <w:r w:rsidRPr="00BA3167">
        <w:rPr>
          <w:rFonts w:ascii="Times New Roman" w:hAnsi="Times New Roman" w:cs="Times New Roman"/>
        </w:rPr>
        <w:t xml:space="preserve"> at the lungs and (b) </w:t>
      </w:r>
      <w:proofErr w:type="spellStart"/>
      <w:r w:rsidRPr="00BA3167">
        <w:rPr>
          <w:rFonts w:ascii="Times New Roman" w:hAnsi="Times New Roman" w:cs="Times New Roman"/>
        </w:rPr>
        <w:t>sEVs</w:t>
      </w:r>
      <w:proofErr w:type="spellEnd"/>
      <w:r w:rsidRPr="00BA3167">
        <w:rPr>
          <w:rFonts w:ascii="Times New Roman" w:hAnsi="Times New Roman" w:cs="Times New Roman"/>
        </w:rPr>
        <w:t xml:space="preserve"> accumulated at the liver respectively 6 hours after intravenous (IV) injection. No accumulation was observed in any organs for mice injected with free dye. </w:t>
      </w:r>
    </w:p>
    <w:p w14:paraId="172B03EA" w14:textId="77777777" w:rsidR="00CC2860" w:rsidRPr="00BA3167" w:rsidRDefault="00CC2860" w:rsidP="00CC2860">
      <w:pPr>
        <w:snapToGrid w:val="0"/>
        <w:spacing w:line="276" w:lineRule="auto"/>
        <w:rPr>
          <w:rFonts w:ascii="Times New Roman" w:hAnsi="Times New Roman" w:cs="Times New Roman"/>
        </w:rPr>
      </w:pPr>
      <w:r w:rsidRPr="00BA3167">
        <w:rPr>
          <w:rFonts w:ascii="Times New Roman" w:hAnsi="Times New Roman" w:cs="Times New Roman"/>
        </w:rPr>
        <w:lastRenderedPageBreak/>
        <w:t xml:space="preserve"> </w:t>
      </w:r>
    </w:p>
    <w:p w14:paraId="36AF8703" w14:textId="5CA92DA5" w:rsidR="00CC2860" w:rsidRPr="00BA3167" w:rsidRDefault="002240F7" w:rsidP="00CC2860">
      <w:pPr>
        <w:snapToGrid w:val="0"/>
        <w:spacing w:line="276" w:lineRule="auto"/>
        <w:rPr>
          <w:rFonts w:ascii="Times New Roman" w:hAnsi="Times New Roman" w:cs="Times New Roman"/>
        </w:rPr>
      </w:pPr>
      <w:r w:rsidRPr="00BA3167">
        <w:rPr>
          <w:rFonts w:ascii="Times New Roman" w:hAnsi="Times New Roman" w:cs="Times New Roman"/>
          <w:noProof/>
        </w:rPr>
        <w:drawing>
          <wp:inline distT="0" distB="0" distL="0" distR="0" wp14:anchorId="6148F060" wp14:editId="2E48C2E9">
            <wp:extent cx="5562600" cy="7327171"/>
            <wp:effectExtent l="0" t="0" r="0" b="1270"/>
            <wp:docPr id="943488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88383" name=""/>
                    <pic:cNvPicPr/>
                  </pic:nvPicPr>
                  <pic:blipFill>
                    <a:blip r:embed="rId16"/>
                    <a:stretch>
                      <a:fillRect/>
                    </a:stretch>
                  </pic:blipFill>
                  <pic:spPr>
                    <a:xfrm>
                      <a:off x="0" y="0"/>
                      <a:ext cx="5569926" cy="7336821"/>
                    </a:xfrm>
                    <a:prstGeom prst="rect">
                      <a:avLst/>
                    </a:prstGeom>
                  </pic:spPr>
                </pic:pic>
              </a:graphicData>
            </a:graphic>
          </wp:inline>
        </w:drawing>
      </w:r>
    </w:p>
    <w:p w14:paraId="00D3CE7B" w14:textId="77777777" w:rsidR="002240F7" w:rsidRPr="00BA3167" w:rsidRDefault="002240F7" w:rsidP="002240F7">
      <w:pPr>
        <w:snapToGrid w:val="0"/>
        <w:spacing w:line="276" w:lineRule="auto"/>
        <w:rPr>
          <w:rFonts w:ascii="Times New Roman" w:hAnsi="Times New Roman" w:cs="Times New Roman"/>
        </w:rPr>
      </w:pPr>
    </w:p>
    <w:p w14:paraId="6BCF9A55" w14:textId="583EEB40" w:rsidR="002240F7" w:rsidRPr="00BA3167" w:rsidRDefault="002240F7" w:rsidP="002240F7">
      <w:pPr>
        <w:snapToGrid w:val="0"/>
        <w:spacing w:line="276" w:lineRule="auto"/>
        <w:rPr>
          <w:rFonts w:ascii="Times New Roman" w:hAnsi="Times New Roman" w:cs="Times New Roman"/>
          <w:b/>
          <w:bCs/>
        </w:rPr>
      </w:pPr>
      <w:r w:rsidRPr="00BA3167">
        <w:rPr>
          <w:rFonts w:ascii="Times New Roman" w:hAnsi="Times New Roman" w:cs="Times New Roman"/>
          <w:b/>
          <w:bCs/>
        </w:rPr>
        <w:lastRenderedPageBreak/>
        <w:t xml:space="preserve">Extended Data Fig. 8: Schematic diagram of </w:t>
      </w:r>
      <w:proofErr w:type="spellStart"/>
      <w:r w:rsidRPr="00BA3167">
        <w:rPr>
          <w:rFonts w:ascii="Times New Roman" w:hAnsi="Times New Roman" w:cs="Times New Roman"/>
          <w:b/>
          <w:bCs/>
        </w:rPr>
        <w:t>MoVes</w:t>
      </w:r>
      <w:proofErr w:type="spellEnd"/>
      <w:r w:rsidRPr="00BA3167">
        <w:rPr>
          <w:rFonts w:ascii="Times New Roman" w:hAnsi="Times New Roman" w:cs="Times New Roman"/>
          <w:b/>
          <w:bCs/>
        </w:rPr>
        <w:t xml:space="preserve"> emission during EMT. </w:t>
      </w:r>
    </w:p>
    <w:p w14:paraId="16608FC4" w14:textId="7BB93E94" w:rsidR="002240F7" w:rsidRPr="00BA3167" w:rsidRDefault="002240F7" w:rsidP="002240F7">
      <w:pPr>
        <w:snapToGrid w:val="0"/>
        <w:spacing w:line="276" w:lineRule="auto"/>
        <w:rPr>
          <w:rFonts w:ascii="Times New Roman" w:hAnsi="Times New Roman" w:cs="Times New Roman"/>
        </w:rPr>
      </w:pPr>
      <w:r w:rsidRPr="00BA3167">
        <w:rPr>
          <w:rFonts w:ascii="Times New Roman" w:hAnsi="Times New Roman" w:cs="Times New Roman"/>
        </w:rPr>
        <w:t xml:space="preserve">Immunofluorescence analysis of fibronectins and integrin alpha </w:t>
      </w:r>
      <w:r w:rsidR="00683951" w:rsidRPr="00BA3167">
        <w:rPr>
          <w:rFonts w:ascii="Times New Roman" w:hAnsi="Times New Roman" w:cs="Times New Roman"/>
        </w:rPr>
        <w:t>v in</w:t>
      </w:r>
      <w:r w:rsidRPr="00BA3167">
        <w:rPr>
          <w:rFonts w:ascii="Times New Roman" w:hAnsi="Times New Roman" w:cs="Times New Roman"/>
        </w:rPr>
        <w:t xml:space="preserve"> 4T1. </w:t>
      </w:r>
    </w:p>
    <w:p w14:paraId="59F6D5D1" w14:textId="51E1BEA5" w:rsidR="002240F7" w:rsidRPr="00BA3167" w:rsidRDefault="002240F7" w:rsidP="002240F7">
      <w:pPr>
        <w:snapToGrid w:val="0"/>
        <w:spacing w:line="276" w:lineRule="auto"/>
        <w:rPr>
          <w:rFonts w:ascii="Times New Roman" w:hAnsi="Times New Roman" w:cs="Times New Roman"/>
        </w:rPr>
      </w:pPr>
      <w:r w:rsidRPr="00BA3167">
        <w:rPr>
          <w:rFonts w:ascii="Times New Roman" w:hAnsi="Times New Roman" w:cs="Times New Roman"/>
        </w:rPr>
        <w:t>Micrographs using the confocal microscope showing the (</w:t>
      </w:r>
      <w:r w:rsidRPr="00BA3167">
        <w:rPr>
          <w:rFonts w:ascii="Times New Roman" w:hAnsi="Times New Roman" w:cs="Times New Roman"/>
          <w:b/>
          <w:bCs/>
        </w:rPr>
        <w:t>a</w:t>
      </w:r>
      <w:r w:rsidRPr="00BA3167">
        <w:rPr>
          <w:rFonts w:ascii="Times New Roman" w:hAnsi="Times New Roman" w:cs="Times New Roman"/>
        </w:rPr>
        <w:t>) fibronectin and (</w:t>
      </w:r>
      <w:r w:rsidRPr="00BA3167">
        <w:rPr>
          <w:rFonts w:ascii="Times New Roman" w:hAnsi="Times New Roman" w:cs="Times New Roman"/>
          <w:b/>
          <w:bCs/>
        </w:rPr>
        <w:t>b</w:t>
      </w:r>
      <w:r w:rsidRPr="00BA3167">
        <w:rPr>
          <w:rFonts w:ascii="Times New Roman" w:hAnsi="Times New Roman" w:cs="Times New Roman"/>
        </w:rPr>
        <w:t xml:space="preserve">) integrin alpha </w:t>
      </w:r>
      <w:r w:rsidR="00683951" w:rsidRPr="00BA3167">
        <w:rPr>
          <w:rFonts w:ascii="Times New Roman" w:hAnsi="Times New Roman" w:cs="Times New Roman"/>
        </w:rPr>
        <w:t>v.</w:t>
      </w:r>
      <w:r w:rsidRPr="00BA3167">
        <w:rPr>
          <w:rFonts w:ascii="Times New Roman" w:hAnsi="Times New Roman" w:cs="Times New Roman"/>
        </w:rPr>
        <w:t xml:space="preserve"> </w:t>
      </w:r>
      <w:proofErr w:type="gramStart"/>
      <w:r w:rsidRPr="00BA3167">
        <w:rPr>
          <w:rFonts w:ascii="Times New Roman" w:hAnsi="Times New Roman" w:cs="Times New Roman"/>
        </w:rPr>
        <w:t>Original</w:t>
      </w:r>
      <w:proofErr w:type="gramEnd"/>
      <w:r w:rsidRPr="00BA3167">
        <w:rPr>
          <w:rFonts w:ascii="Times New Roman" w:hAnsi="Times New Roman" w:cs="Times New Roman"/>
        </w:rPr>
        <w:t xml:space="preserve"> magnification: 40×. Bar: 20 µm. Blue: DAPI, </w:t>
      </w:r>
      <w:r w:rsidR="00683951" w:rsidRPr="00BA3167">
        <w:rPr>
          <w:rFonts w:ascii="Times New Roman" w:hAnsi="Times New Roman" w:cs="Times New Roman"/>
        </w:rPr>
        <w:t>Green:</w:t>
      </w:r>
      <w:r w:rsidRPr="00BA3167">
        <w:rPr>
          <w:rFonts w:ascii="Times New Roman" w:hAnsi="Times New Roman" w:cs="Times New Roman"/>
        </w:rPr>
        <w:t xml:space="preserve"> WGA and </w:t>
      </w:r>
      <w:r w:rsidR="00683951" w:rsidRPr="00BA3167">
        <w:rPr>
          <w:rFonts w:ascii="Times New Roman" w:hAnsi="Times New Roman" w:cs="Times New Roman"/>
        </w:rPr>
        <w:t>Yellow:</w:t>
      </w:r>
      <w:r w:rsidRPr="00BA3167">
        <w:rPr>
          <w:rFonts w:ascii="Times New Roman" w:hAnsi="Times New Roman" w:cs="Times New Roman"/>
        </w:rPr>
        <w:t xml:space="preserve"> Fibronectin or Integrin alpha V.</w:t>
      </w:r>
      <w:r w:rsidR="004C1B77" w:rsidRPr="00BA3167">
        <w:rPr>
          <w:rFonts w:ascii="Times New Roman" w:hAnsi="Times New Roman" w:cs="Times New Roman"/>
        </w:rPr>
        <w:t xml:space="preserve"> </w:t>
      </w:r>
      <w:r w:rsidR="00FB6916" w:rsidRPr="00BA3167">
        <w:rPr>
          <w:rFonts w:ascii="Times New Roman" w:hAnsi="Times New Roman" w:cs="Times New Roman"/>
        </w:rPr>
        <w:t>(</w:t>
      </w:r>
      <w:r w:rsidR="00FB6916" w:rsidRPr="00BA3167">
        <w:rPr>
          <w:rFonts w:ascii="Times New Roman" w:hAnsi="Times New Roman" w:cs="Times New Roman"/>
          <w:b/>
          <w:bCs/>
        </w:rPr>
        <w:t>c</w:t>
      </w:r>
      <w:r w:rsidRPr="00BA3167">
        <w:rPr>
          <w:rFonts w:ascii="Times New Roman" w:hAnsi="Times New Roman" w:cs="Times New Roman"/>
        </w:rPr>
        <w:t>) During EMT, epithelial tumour cells loosen their cell–cell junction proteins (</w:t>
      </w:r>
      <w:proofErr w:type="spellStart"/>
      <w:r w:rsidRPr="00BA3167">
        <w:rPr>
          <w:rFonts w:ascii="Times New Roman" w:hAnsi="Times New Roman" w:cs="Times New Roman"/>
        </w:rPr>
        <w:t>EpCAM</w:t>
      </w:r>
      <w:proofErr w:type="spellEnd"/>
      <w:r w:rsidRPr="00BA3167">
        <w:rPr>
          <w:rFonts w:ascii="Times New Roman" w:hAnsi="Times New Roman" w:cs="Times New Roman"/>
        </w:rPr>
        <w:t xml:space="preserve">, E-Cadherin) to become motile (step 1) and that they degrade extracellular matrix (ECM); breakdown of these physical barriers allows cells to migrate (step 2). During cancer cell migration, </w:t>
      </w:r>
      <w:r w:rsidR="009E6888">
        <w:rPr>
          <w:rFonts w:ascii="Times New Roman" w:hAnsi="Times New Roman" w:cs="Times New Roman"/>
        </w:rPr>
        <w:t xml:space="preserve">the </w:t>
      </w:r>
      <w:r w:rsidRPr="00BA3167">
        <w:rPr>
          <w:rFonts w:ascii="Times New Roman" w:hAnsi="Times New Roman" w:cs="Times New Roman"/>
        </w:rPr>
        <w:t xml:space="preserve">leading edge (lamellipodium extends) </w:t>
      </w:r>
      <w:r w:rsidR="00683951" w:rsidRPr="00BA3167">
        <w:rPr>
          <w:rFonts w:ascii="Times New Roman" w:hAnsi="Times New Roman" w:cs="Times New Roman"/>
        </w:rPr>
        <w:t>attached to</w:t>
      </w:r>
      <w:r w:rsidRPr="00BA3167">
        <w:rPr>
          <w:rFonts w:ascii="Times New Roman" w:hAnsi="Times New Roman" w:cs="Times New Roman"/>
        </w:rPr>
        <w:t xml:space="preserve"> the new substrate, whereas </w:t>
      </w:r>
      <w:r w:rsidR="00ED357F">
        <w:rPr>
          <w:rFonts w:ascii="Times New Roman" w:hAnsi="Times New Roman" w:cs="Times New Roman"/>
        </w:rPr>
        <w:t xml:space="preserve">the </w:t>
      </w:r>
      <w:r w:rsidRPr="00BA3167">
        <w:rPr>
          <w:rFonts w:ascii="Times New Roman" w:hAnsi="Times New Roman" w:cs="Times New Roman"/>
        </w:rPr>
        <w:t xml:space="preserve">trailing edge forms a tension on the actin filament when cells </w:t>
      </w:r>
      <w:r w:rsidR="008F7AB7" w:rsidRPr="00BA3167">
        <w:rPr>
          <w:rFonts w:ascii="Times New Roman" w:hAnsi="Times New Roman" w:cs="Times New Roman"/>
        </w:rPr>
        <w:t>move</w:t>
      </w:r>
      <w:r w:rsidRPr="00BA3167">
        <w:rPr>
          <w:rFonts w:ascii="Times New Roman" w:hAnsi="Times New Roman" w:cs="Times New Roman"/>
        </w:rPr>
        <w:t xml:space="preserve"> forward, leaving behind the Motile Vesicles (Step 3)</w:t>
      </w:r>
    </w:p>
    <w:sectPr w:rsidR="002240F7" w:rsidRPr="00BA3167">
      <w:pgSz w:w="12240" w:h="15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Julia Burnier, Dr" w:date="2025-07-04T21:10:00Z" w:initials="JB">
    <w:p w14:paraId="60319462" w14:textId="77777777" w:rsidR="00991403" w:rsidRDefault="00991403" w:rsidP="00991403">
      <w:r>
        <w:rPr>
          <w:rStyle w:val="CommentReference"/>
        </w:rPr>
        <w:annotationRef/>
      </w:r>
      <w:r>
        <w:rPr>
          <w:sz w:val="20"/>
          <w:szCs w:val="20"/>
        </w:rPr>
        <w:t>there are some mistakes and redundancies. I suggest as follows: Extended Data Fig. 5 | Distinct proteomic profile of MoVes.</w:t>
      </w:r>
    </w:p>
    <w:p w14:paraId="69166E08" w14:textId="77777777" w:rsidR="00991403" w:rsidRDefault="00991403" w:rsidP="00991403">
      <w:r>
        <w:rPr>
          <w:sz w:val="20"/>
          <w:szCs w:val="20"/>
        </w:rPr>
        <w:t>(a-c) Gene Set Enrichment Analysis (GSEA) identifies top gene sets enriched in MoVes. Proteins are ranked by GSEA based on differential expression levels. Enrichment scores (green line) indicate whether pre-specified pathways are significantly overrepresented at the top or bottom of the ranked gene list. Vertical black lines highlight positions of specific pathway members in the ranked gene list. Example pathways include oxidative phosphorylation, adipogenesis, and reactive oxygen species (ROS) pathways.</w:t>
      </w:r>
    </w:p>
    <w:p w14:paraId="1C882178" w14:textId="77777777" w:rsidR="00991403" w:rsidRDefault="00991403" w:rsidP="00991403">
      <w:r>
        <w:rPr>
          <w:sz w:val="20"/>
          <w:szCs w:val="20"/>
        </w:rPr>
        <w:t>(d) Gene ontology (GO) analysis of MoVes proteins using DAVID functional annotation. Top enriched biological processes (i), cellular components (ii), and KEGG pathways (iii) are reported. Percentages represent the proportion of genes encoding proteins associated with each GO biological process (GOBPs), cellular components (GOCCs), and KEGG pathways.</w:t>
      </w:r>
    </w:p>
    <w:p w14:paraId="2D78B609" w14:textId="77777777" w:rsidR="00991403" w:rsidRDefault="00991403" w:rsidP="00991403">
      <w:r>
        <w:rPr>
          <w:sz w:val="20"/>
          <w:szCs w:val="20"/>
        </w:rPr>
        <w:t>(e) 4T1 MoVes stained positive for mitochondrial cytochrome c oxidase subunit IV (Cox IV) and double-stranded DNA (dsDNA). Scale bar = 10 µm.</w:t>
      </w:r>
    </w:p>
    <w:p w14:paraId="0AEC4F04" w14:textId="77777777" w:rsidR="00991403" w:rsidRDefault="00991403" w:rsidP="00991403">
      <w:r>
        <w:rPr>
          <w:sz w:val="20"/>
          <w:szCs w:val="20"/>
        </w:rPr>
        <w:t>(f) Gene ontology analysis of proteins enriched in sEVs using DAVID functional annotation. Top enriched biological processes (i), cellular components (ii), molecular functions (iii), and KEGG pathways (iv) are shown.</w:t>
      </w:r>
    </w:p>
    <w:p w14:paraId="435FF25B" w14:textId="77777777" w:rsidR="00991403" w:rsidRDefault="00991403" w:rsidP="00991403"/>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35FF25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43C6832" w16cex:dateUtc="2025-07-05T01: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35FF25B" w16cid:durableId="043C6832"/>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Julia Burnier, Dr">
    <w15:presenceInfo w15:providerId="AD" w15:userId="S::julia.burnier@mcgill.ca::01e91ea0-573f-4efb-b4d4-93b1648433c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2860"/>
    <w:rsid w:val="00040BFC"/>
    <w:rsid w:val="001F56B2"/>
    <w:rsid w:val="002240F7"/>
    <w:rsid w:val="00224F62"/>
    <w:rsid w:val="00226344"/>
    <w:rsid w:val="00275BDD"/>
    <w:rsid w:val="002957B9"/>
    <w:rsid w:val="002B4AA4"/>
    <w:rsid w:val="003B269D"/>
    <w:rsid w:val="003B6D41"/>
    <w:rsid w:val="003F4FC4"/>
    <w:rsid w:val="00446DC8"/>
    <w:rsid w:val="00447CC6"/>
    <w:rsid w:val="00476E25"/>
    <w:rsid w:val="004C1B77"/>
    <w:rsid w:val="005136CD"/>
    <w:rsid w:val="00525E8D"/>
    <w:rsid w:val="00556A89"/>
    <w:rsid w:val="00593151"/>
    <w:rsid w:val="00597396"/>
    <w:rsid w:val="00681743"/>
    <w:rsid w:val="00683951"/>
    <w:rsid w:val="006E36B9"/>
    <w:rsid w:val="007E4FFE"/>
    <w:rsid w:val="00805308"/>
    <w:rsid w:val="008D5D63"/>
    <w:rsid w:val="008F7AB7"/>
    <w:rsid w:val="00930146"/>
    <w:rsid w:val="00933FDB"/>
    <w:rsid w:val="00976AA1"/>
    <w:rsid w:val="0098234E"/>
    <w:rsid w:val="00991403"/>
    <w:rsid w:val="009E6888"/>
    <w:rsid w:val="00A442FF"/>
    <w:rsid w:val="00AC2CDA"/>
    <w:rsid w:val="00B214DA"/>
    <w:rsid w:val="00B31385"/>
    <w:rsid w:val="00B748C5"/>
    <w:rsid w:val="00BA3167"/>
    <w:rsid w:val="00C0636F"/>
    <w:rsid w:val="00C50C49"/>
    <w:rsid w:val="00C67C1C"/>
    <w:rsid w:val="00CA6FFA"/>
    <w:rsid w:val="00CC2860"/>
    <w:rsid w:val="00D01FA8"/>
    <w:rsid w:val="00D607D1"/>
    <w:rsid w:val="00D75885"/>
    <w:rsid w:val="00DD2BD3"/>
    <w:rsid w:val="00E800BB"/>
    <w:rsid w:val="00E81312"/>
    <w:rsid w:val="00E8134E"/>
    <w:rsid w:val="00E9588D"/>
    <w:rsid w:val="00ED357F"/>
    <w:rsid w:val="00F04D02"/>
    <w:rsid w:val="00F61893"/>
    <w:rsid w:val="00F70526"/>
    <w:rsid w:val="00FB6916"/>
    <w:rsid w:val="00FD5962"/>
    <w:rsid w:val="00FE0439"/>
    <w:rsid w:val="3362027F"/>
    <w:rsid w:val="38799537"/>
    <w:rsid w:val="69DABCB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4:docId w14:val="4A0277B4"/>
  <w15:chartTrackingRefBased/>
  <w15:docId w15:val="{21EB8A1A-EF81-4C04-934E-700BFF1C80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C286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C286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C286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C286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C286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C286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C286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C286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C286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C286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C286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C286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C286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C286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C286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C286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C286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C2860"/>
    <w:rPr>
      <w:rFonts w:eastAsiaTheme="majorEastAsia" w:cstheme="majorBidi"/>
      <w:color w:val="272727" w:themeColor="text1" w:themeTint="D8"/>
    </w:rPr>
  </w:style>
  <w:style w:type="paragraph" w:styleId="Title">
    <w:name w:val="Title"/>
    <w:basedOn w:val="Normal"/>
    <w:next w:val="Normal"/>
    <w:link w:val="TitleChar"/>
    <w:uiPriority w:val="10"/>
    <w:qFormat/>
    <w:rsid w:val="00CC286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C286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C286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C286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C2860"/>
    <w:pPr>
      <w:spacing w:before="160"/>
      <w:jc w:val="center"/>
    </w:pPr>
    <w:rPr>
      <w:i/>
      <w:iCs/>
      <w:color w:val="404040" w:themeColor="text1" w:themeTint="BF"/>
    </w:rPr>
  </w:style>
  <w:style w:type="character" w:customStyle="1" w:styleId="QuoteChar">
    <w:name w:val="Quote Char"/>
    <w:basedOn w:val="DefaultParagraphFont"/>
    <w:link w:val="Quote"/>
    <w:uiPriority w:val="29"/>
    <w:rsid w:val="00CC2860"/>
    <w:rPr>
      <w:i/>
      <w:iCs/>
      <w:color w:val="404040" w:themeColor="text1" w:themeTint="BF"/>
    </w:rPr>
  </w:style>
  <w:style w:type="paragraph" w:styleId="ListParagraph">
    <w:name w:val="List Paragraph"/>
    <w:basedOn w:val="Normal"/>
    <w:uiPriority w:val="34"/>
    <w:qFormat/>
    <w:rsid w:val="00CC2860"/>
    <w:pPr>
      <w:ind w:left="720"/>
      <w:contextualSpacing/>
    </w:pPr>
  </w:style>
  <w:style w:type="character" w:styleId="IntenseEmphasis">
    <w:name w:val="Intense Emphasis"/>
    <w:basedOn w:val="DefaultParagraphFont"/>
    <w:uiPriority w:val="21"/>
    <w:qFormat/>
    <w:rsid w:val="00CC2860"/>
    <w:rPr>
      <w:i/>
      <w:iCs/>
      <w:color w:val="0F4761" w:themeColor="accent1" w:themeShade="BF"/>
    </w:rPr>
  </w:style>
  <w:style w:type="paragraph" w:styleId="IntenseQuote">
    <w:name w:val="Intense Quote"/>
    <w:basedOn w:val="Normal"/>
    <w:next w:val="Normal"/>
    <w:link w:val="IntenseQuoteChar"/>
    <w:uiPriority w:val="30"/>
    <w:qFormat/>
    <w:rsid w:val="00CC286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C2860"/>
    <w:rPr>
      <w:i/>
      <w:iCs/>
      <w:color w:val="0F4761" w:themeColor="accent1" w:themeShade="BF"/>
    </w:rPr>
  </w:style>
  <w:style w:type="character" w:styleId="IntenseReference">
    <w:name w:val="Intense Reference"/>
    <w:basedOn w:val="DefaultParagraphFont"/>
    <w:uiPriority w:val="32"/>
    <w:qFormat/>
    <w:rsid w:val="00CC2860"/>
    <w:rPr>
      <w:b/>
      <w:bCs/>
      <w:smallCaps/>
      <w:color w:val="0F4761" w:themeColor="accent1" w:themeShade="BF"/>
      <w:spacing w:val="5"/>
    </w:rPr>
  </w:style>
  <w:style w:type="character" w:styleId="CommentReference">
    <w:name w:val="annotation reference"/>
    <w:basedOn w:val="DefaultParagraphFont"/>
    <w:uiPriority w:val="99"/>
    <w:semiHidden/>
    <w:unhideWhenUsed/>
    <w:rsid w:val="00991403"/>
    <w:rPr>
      <w:sz w:val="16"/>
      <w:szCs w:val="16"/>
    </w:rPr>
  </w:style>
  <w:style w:type="paragraph" w:styleId="CommentText">
    <w:name w:val="annotation text"/>
    <w:basedOn w:val="Normal"/>
    <w:link w:val="CommentTextChar"/>
    <w:uiPriority w:val="99"/>
    <w:semiHidden/>
    <w:unhideWhenUsed/>
    <w:rsid w:val="00991403"/>
    <w:pPr>
      <w:spacing w:line="240" w:lineRule="auto"/>
    </w:pPr>
    <w:rPr>
      <w:sz w:val="20"/>
      <w:szCs w:val="20"/>
    </w:rPr>
  </w:style>
  <w:style w:type="character" w:customStyle="1" w:styleId="CommentTextChar">
    <w:name w:val="Comment Text Char"/>
    <w:basedOn w:val="DefaultParagraphFont"/>
    <w:link w:val="CommentText"/>
    <w:uiPriority w:val="99"/>
    <w:semiHidden/>
    <w:rsid w:val="00991403"/>
    <w:rPr>
      <w:sz w:val="20"/>
      <w:szCs w:val="20"/>
    </w:rPr>
  </w:style>
  <w:style w:type="paragraph" w:styleId="CommentSubject">
    <w:name w:val="annotation subject"/>
    <w:basedOn w:val="CommentText"/>
    <w:next w:val="CommentText"/>
    <w:link w:val="CommentSubjectChar"/>
    <w:uiPriority w:val="99"/>
    <w:semiHidden/>
    <w:unhideWhenUsed/>
    <w:rsid w:val="00991403"/>
    <w:rPr>
      <w:b/>
      <w:bCs/>
    </w:rPr>
  </w:style>
  <w:style w:type="character" w:customStyle="1" w:styleId="CommentSubjectChar">
    <w:name w:val="Comment Subject Char"/>
    <w:basedOn w:val="CommentTextChar"/>
    <w:link w:val="CommentSubject"/>
    <w:uiPriority w:val="99"/>
    <w:semiHidden/>
    <w:rsid w:val="00991403"/>
    <w:rPr>
      <w:b/>
      <w:bCs/>
      <w:sz w:val="20"/>
      <w:szCs w:val="20"/>
    </w:rPr>
  </w:style>
  <w:style w:type="paragraph" w:styleId="Revision">
    <w:name w:val="Revision"/>
    <w:hidden/>
    <w:uiPriority w:val="99"/>
    <w:semiHidden/>
    <w:rsid w:val="003B6D4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26550">
      <w:bodyDiv w:val="1"/>
      <w:marLeft w:val="0"/>
      <w:marRight w:val="0"/>
      <w:marTop w:val="0"/>
      <w:marBottom w:val="0"/>
      <w:divBdr>
        <w:top w:val="none" w:sz="0" w:space="0" w:color="auto"/>
        <w:left w:val="none" w:sz="0" w:space="0" w:color="auto"/>
        <w:bottom w:val="none" w:sz="0" w:space="0" w:color="auto"/>
        <w:right w:val="none" w:sz="0" w:space="0" w:color="auto"/>
      </w:divBdr>
    </w:div>
    <w:div w:id="52461446">
      <w:bodyDiv w:val="1"/>
      <w:marLeft w:val="0"/>
      <w:marRight w:val="0"/>
      <w:marTop w:val="0"/>
      <w:marBottom w:val="0"/>
      <w:divBdr>
        <w:top w:val="none" w:sz="0" w:space="0" w:color="auto"/>
        <w:left w:val="none" w:sz="0" w:space="0" w:color="auto"/>
        <w:bottom w:val="none" w:sz="0" w:space="0" w:color="auto"/>
        <w:right w:val="none" w:sz="0" w:space="0" w:color="auto"/>
      </w:divBdr>
    </w:div>
    <w:div w:id="150289880">
      <w:bodyDiv w:val="1"/>
      <w:marLeft w:val="0"/>
      <w:marRight w:val="0"/>
      <w:marTop w:val="0"/>
      <w:marBottom w:val="0"/>
      <w:divBdr>
        <w:top w:val="none" w:sz="0" w:space="0" w:color="auto"/>
        <w:left w:val="none" w:sz="0" w:space="0" w:color="auto"/>
        <w:bottom w:val="none" w:sz="0" w:space="0" w:color="auto"/>
        <w:right w:val="none" w:sz="0" w:space="0" w:color="auto"/>
      </w:divBdr>
    </w:div>
    <w:div w:id="191112032">
      <w:bodyDiv w:val="1"/>
      <w:marLeft w:val="0"/>
      <w:marRight w:val="0"/>
      <w:marTop w:val="0"/>
      <w:marBottom w:val="0"/>
      <w:divBdr>
        <w:top w:val="none" w:sz="0" w:space="0" w:color="auto"/>
        <w:left w:val="none" w:sz="0" w:space="0" w:color="auto"/>
        <w:bottom w:val="none" w:sz="0" w:space="0" w:color="auto"/>
        <w:right w:val="none" w:sz="0" w:space="0" w:color="auto"/>
      </w:divBdr>
    </w:div>
    <w:div w:id="196433458">
      <w:bodyDiv w:val="1"/>
      <w:marLeft w:val="0"/>
      <w:marRight w:val="0"/>
      <w:marTop w:val="0"/>
      <w:marBottom w:val="0"/>
      <w:divBdr>
        <w:top w:val="none" w:sz="0" w:space="0" w:color="auto"/>
        <w:left w:val="none" w:sz="0" w:space="0" w:color="auto"/>
        <w:bottom w:val="none" w:sz="0" w:space="0" w:color="auto"/>
        <w:right w:val="none" w:sz="0" w:space="0" w:color="auto"/>
      </w:divBdr>
    </w:div>
    <w:div w:id="1086413587">
      <w:bodyDiv w:val="1"/>
      <w:marLeft w:val="0"/>
      <w:marRight w:val="0"/>
      <w:marTop w:val="0"/>
      <w:marBottom w:val="0"/>
      <w:divBdr>
        <w:top w:val="none" w:sz="0" w:space="0" w:color="auto"/>
        <w:left w:val="none" w:sz="0" w:space="0" w:color="auto"/>
        <w:bottom w:val="none" w:sz="0" w:space="0" w:color="auto"/>
        <w:right w:val="none" w:sz="0" w:space="0" w:color="auto"/>
      </w:divBdr>
    </w:div>
    <w:div w:id="1399942656">
      <w:bodyDiv w:val="1"/>
      <w:marLeft w:val="0"/>
      <w:marRight w:val="0"/>
      <w:marTop w:val="0"/>
      <w:marBottom w:val="0"/>
      <w:divBdr>
        <w:top w:val="none" w:sz="0" w:space="0" w:color="auto"/>
        <w:left w:val="none" w:sz="0" w:space="0" w:color="auto"/>
        <w:bottom w:val="none" w:sz="0" w:space="0" w:color="auto"/>
        <w:right w:val="none" w:sz="0" w:space="0" w:color="auto"/>
      </w:divBdr>
    </w:div>
    <w:div w:id="1587500563">
      <w:bodyDiv w:val="1"/>
      <w:marLeft w:val="0"/>
      <w:marRight w:val="0"/>
      <w:marTop w:val="0"/>
      <w:marBottom w:val="0"/>
      <w:divBdr>
        <w:top w:val="none" w:sz="0" w:space="0" w:color="auto"/>
        <w:left w:val="none" w:sz="0" w:space="0" w:color="auto"/>
        <w:bottom w:val="none" w:sz="0" w:space="0" w:color="auto"/>
        <w:right w:val="none" w:sz="0" w:space="0" w:color="auto"/>
      </w:divBdr>
    </w:div>
    <w:div w:id="1817526564">
      <w:bodyDiv w:val="1"/>
      <w:marLeft w:val="0"/>
      <w:marRight w:val="0"/>
      <w:marTop w:val="0"/>
      <w:marBottom w:val="0"/>
      <w:divBdr>
        <w:top w:val="none" w:sz="0" w:space="0" w:color="auto"/>
        <w:left w:val="none" w:sz="0" w:space="0" w:color="auto"/>
        <w:bottom w:val="none" w:sz="0" w:space="0" w:color="auto"/>
        <w:right w:val="none" w:sz="0" w:space="0" w:color="auto"/>
      </w:divBdr>
    </w:div>
    <w:div w:id="2123651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microsoft.com/office/2018/08/relationships/commentsExtensible" Target="commentsExtensible.xml"/><Relationship Id="rId18" Type="http://schemas.microsoft.com/office/2011/relationships/people" Target="people.xml"/><Relationship Id="rId3" Type="http://schemas.openxmlformats.org/officeDocument/2006/relationships/settings" Target="settings.xml"/><Relationship Id="rId7" Type="http://schemas.openxmlformats.org/officeDocument/2006/relationships/image" Target="media/image3.emf"/><Relationship Id="rId12" Type="http://schemas.microsoft.com/office/2016/09/relationships/commentsIds" Target="commentsIds.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image" Target="media/image2.emf"/><Relationship Id="rId11" Type="http://schemas.microsoft.com/office/2011/relationships/commentsExtended" Target="commentsExtended.xml"/><Relationship Id="rId5" Type="http://schemas.openxmlformats.org/officeDocument/2006/relationships/image" Target="media/image1.emf"/><Relationship Id="rId15" Type="http://schemas.openxmlformats.org/officeDocument/2006/relationships/image" Target="media/image7.emf"/><Relationship Id="rId10" Type="http://schemas.openxmlformats.org/officeDocument/2006/relationships/comments" Target="comments.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810</Words>
  <Characters>4618</Characters>
  <Application>Microsoft Office Word</Application>
  <DocSecurity>0</DocSecurity>
  <Lines>38</Lines>
  <Paragraphs>10</Paragraphs>
  <ScaleCrop>false</ScaleCrop>
  <Company/>
  <LinksUpToDate>false</LinksUpToDate>
  <CharactersWithSpaces>5418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Thupten Tsering</dc:creator>
  <cp:keywords/>
  <dc:description/>
  <cp:lastModifiedBy>Julia Burnier</cp:lastModifiedBy>
  <cp:revision>3</cp:revision>
  <dcterms:created xsi:type="dcterms:W3CDTF">2025-07-05T01:17:00Z</dcterms:created>
  <dcterms:modified xsi:type="dcterms:W3CDTF">2025-07-05T01:18:00Z</dcterms:modified>
</cp:coreProperties>
</file>