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6671E" w14:textId="7D08DBBC" w:rsidR="00322636" w:rsidRPr="00010B9F" w:rsidRDefault="005E4F64" w:rsidP="00010B9F">
      <w:pPr>
        <w:spacing w:after="0" w:line="240" w:lineRule="auto"/>
        <w:jc w:val="center"/>
        <w:rPr>
          <w:rFonts w:ascii="Arial" w:hAnsi="Arial" w:cs="Arial"/>
          <w:b/>
          <w:sz w:val="40"/>
          <w:szCs w:val="40"/>
        </w:rPr>
      </w:pPr>
      <w:bookmarkStart w:id="0" w:name="_Hlk193548653"/>
      <w:r w:rsidRPr="00010B9F">
        <w:rPr>
          <w:rFonts w:ascii="Arial" w:hAnsi="Arial" w:cs="Arial"/>
          <w:b/>
          <w:sz w:val="40"/>
          <w:szCs w:val="40"/>
        </w:rPr>
        <w:t xml:space="preserve">Patterns, Drivers, and Trends of Urban Cooling Demand across </w:t>
      </w:r>
      <w:r w:rsidR="00D679EB" w:rsidRPr="00010B9F">
        <w:rPr>
          <w:rFonts w:ascii="Arial" w:hAnsi="Arial" w:cs="Arial"/>
          <w:b/>
          <w:sz w:val="40"/>
          <w:szCs w:val="40"/>
        </w:rPr>
        <w:t>Global</w:t>
      </w:r>
      <w:r w:rsidRPr="00010B9F">
        <w:rPr>
          <w:rFonts w:ascii="Arial" w:hAnsi="Arial" w:cs="Arial"/>
          <w:b/>
          <w:sz w:val="40"/>
          <w:szCs w:val="40"/>
        </w:rPr>
        <w:t xml:space="preserve"> Cities</w:t>
      </w:r>
      <w:bookmarkEnd w:id="0"/>
    </w:p>
    <w:p w14:paraId="2517E715" w14:textId="77777777" w:rsidR="005E4F64" w:rsidRDefault="005E4F64" w:rsidP="00524F1F">
      <w:pPr>
        <w:spacing w:after="0" w:line="240" w:lineRule="auto"/>
        <w:rPr>
          <w:rFonts w:ascii="Arial" w:hAnsi="Arial" w:cs="Arial"/>
          <w:b/>
          <w:bCs/>
          <w:sz w:val="24"/>
          <w:szCs w:val="24"/>
          <w:lang w:val="en-IN"/>
        </w:rPr>
      </w:pPr>
    </w:p>
    <w:p w14:paraId="12B22938" w14:textId="77777777" w:rsidR="00E810E4" w:rsidRDefault="00E810E4" w:rsidP="00E810E4">
      <w:pPr>
        <w:spacing w:line="240" w:lineRule="auto"/>
        <w:jc w:val="both"/>
        <w:rPr>
          <w:rFonts w:ascii="Arial" w:hAnsi="Arial" w:cs="Arial"/>
          <w:b/>
          <w:bCs/>
          <w:sz w:val="24"/>
          <w:szCs w:val="24"/>
        </w:rPr>
      </w:pPr>
    </w:p>
    <w:p w14:paraId="04489E10" w14:textId="42EDC824" w:rsidR="00540705" w:rsidRDefault="00E810E4" w:rsidP="009655AE">
      <w:pPr>
        <w:spacing w:after="0" w:line="240" w:lineRule="auto"/>
        <w:jc w:val="both"/>
        <w:rPr>
          <w:rFonts w:ascii="Arial" w:hAnsi="Arial" w:cs="Arial"/>
          <w:b/>
          <w:bCs/>
          <w:sz w:val="24"/>
          <w:szCs w:val="24"/>
        </w:rPr>
      </w:pPr>
      <w:r w:rsidRPr="00DF014C">
        <w:rPr>
          <w:rFonts w:ascii="Arial" w:hAnsi="Arial" w:cs="Arial"/>
          <w:b/>
          <w:bCs/>
          <w:sz w:val="24"/>
          <w:szCs w:val="24"/>
        </w:rPr>
        <w:t xml:space="preserve">Section </w:t>
      </w:r>
      <w:r>
        <w:rPr>
          <w:rFonts w:ascii="Arial" w:hAnsi="Arial" w:cs="Arial"/>
          <w:b/>
          <w:bCs/>
          <w:sz w:val="24"/>
          <w:szCs w:val="24"/>
        </w:rPr>
        <w:t>1</w:t>
      </w:r>
    </w:p>
    <w:p w14:paraId="0DA067C8" w14:textId="77777777" w:rsidR="009655AE" w:rsidRDefault="009655AE" w:rsidP="009655AE">
      <w:pPr>
        <w:spacing w:after="0" w:line="240" w:lineRule="auto"/>
        <w:jc w:val="both"/>
        <w:rPr>
          <w:rFonts w:ascii="Arial" w:hAnsi="Arial" w:cs="Arial"/>
          <w:b/>
          <w:bCs/>
          <w:sz w:val="24"/>
          <w:szCs w:val="24"/>
        </w:rPr>
      </w:pPr>
    </w:p>
    <w:p w14:paraId="3ACC2DC2" w14:textId="00D1F89F" w:rsidR="009655AE" w:rsidRPr="001032B6" w:rsidRDefault="009655AE" w:rsidP="00B44B45">
      <w:pPr>
        <w:pStyle w:val="ListParagraph"/>
        <w:numPr>
          <w:ilvl w:val="0"/>
          <w:numId w:val="9"/>
        </w:numPr>
        <w:spacing w:after="0" w:line="240" w:lineRule="auto"/>
        <w:jc w:val="both"/>
        <w:rPr>
          <w:rFonts w:ascii="Arial" w:hAnsi="Arial" w:cs="Arial"/>
          <w:b/>
          <w:bCs/>
          <w:sz w:val="28"/>
          <w:szCs w:val="28"/>
        </w:rPr>
      </w:pPr>
      <w:r w:rsidRPr="001032B6">
        <w:rPr>
          <w:rFonts w:ascii="Arial" w:hAnsi="Arial" w:cs="Arial"/>
          <w:b/>
          <w:bCs/>
          <w:sz w:val="28"/>
          <w:szCs w:val="28"/>
        </w:rPr>
        <w:t xml:space="preserve">Data sources </w:t>
      </w:r>
    </w:p>
    <w:p w14:paraId="6D7BDB2C" w14:textId="78BB28CA" w:rsidR="00310BB9" w:rsidRDefault="0054697D" w:rsidP="00D679EB">
      <w:pPr>
        <w:spacing w:line="240" w:lineRule="auto"/>
        <w:jc w:val="center"/>
        <w:rPr>
          <w:rFonts w:ascii="Arial" w:hAnsi="Arial" w:cs="Arial"/>
          <w:b/>
          <w:bCs/>
          <w:sz w:val="20"/>
          <w:szCs w:val="20"/>
        </w:rPr>
      </w:pPr>
      <w:r w:rsidRPr="00DF014C">
        <w:rPr>
          <w:rFonts w:ascii="Arial" w:eastAsia="Times New Roman" w:hAnsi="Arial" w:cs="Arial"/>
          <w:b/>
          <w:bCs/>
          <w:noProof/>
          <w:sz w:val="20"/>
          <w:szCs w:val="20"/>
          <w:lang w:eastAsia="en-IN"/>
        </w:rPr>
        <w:drawing>
          <wp:inline distT="0" distB="0" distL="0" distR="0" wp14:anchorId="4A47CEC3" wp14:editId="091C89D9">
            <wp:extent cx="5510151" cy="6408771"/>
            <wp:effectExtent l="0" t="0" r="0" b="0"/>
            <wp:docPr id="1626651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51734" name="Picture 16266517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5288" cy="6414746"/>
                    </a:xfrm>
                    <a:prstGeom prst="rect">
                      <a:avLst/>
                    </a:prstGeom>
                  </pic:spPr>
                </pic:pic>
              </a:graphicData>
            </a:graphic>
          </wp:inline>
        </w:drawing>
      </w:r>
    </w:p>
    <w:p w14:paraId="386D2E3E" w14:textId="0F202748" w:rsidR="00920755" w:rsidRDefault="00712FF1" w:rsidP="006D3BDA">
      <w:pPr>
        <w:spacing w:line="240" w:lineRule="auto"/>
        <w:jc w:val="both"/>
        <w:rPr>
          <w:rStyle w:val="Strong"/>
          <w:rFonts w:ascii="Arial" w:hAnsi="Arial" w:cs="Arial"/>
          <w:sz w:val="20"/>
          <w:szCs w:val="20"/>
        </w:rPr>
      </w:pPr>
      <w:r>
        <w:rPr>
          <w:rFonts w:ascii="Arial" w:hAnsi="Arial" w:cs="Arial"/>
          <w:b/>
          <w:bCs/>
          <w:sz w:val="20"/>
          <w:szCs w:val="20"/>
        </w:rPr>
        <w:t>Supplementary Figure 1</w:t>
      </w:r>
      <w:r w:rsidR="00F11534" w:rsidRPr="00DF014C">
        <w:rPr>
          <w:rFonts w:ascii="Arial" w:hAnsi="Arial" w:cs="Arial"/>
          <w:b/>
          <w:bCs/>
          <w:sz w:val="20"/>
          <w:szCs w:val="20"/>
        </w:rPr>
        <w:t>.</w:t>
      </w:r>
      <w:r w:rsidR="0054697D" w:rsidRPr="00DF014C">
        <w:rPr>
          <w:rFonts w:ascii="Arial" w:hAnsi="Arial" w:cs="Arial"/>
          <w:sz w:val="20"/>
          <w:szCs w:val="20"/>
        </w:rPr>
        <w:t xml:space="preserve"> Illustration highlighting city-scale</w:t>
      </w:r>
      <w:r w:rsidR="00B872BD">
        <w:rPr>
          <w:rFonts w:ascii="Arial" w:hAnsi="Arial" w:cs="Arial"/>
          <w:sz w:val="20"/>
          <w:szCs w:val="20"/>
        </w:rPr>
        <w:t xml:space="preserve"> volumetric alterations</w:t>
      </w:r>
      <w:r w:rsidR="0054697D" w:rsidRPr="00DF014C">
        <w:rPr>
          <w:rFonts w:ascii="Arial" w:hAnsi="Arial" w:cs="Arial"/>
          <w:sz w:val="20"/>
          <w:szCs w:val="20"/>
        </w:rPr>
        <w:t xml:space="preserve"> and citywide temperature differentials as indicators of UCD variations, leading to unequal heat burdens within the city. The dark red annotated section focuses on the relative roles of </w:t>
      </w:r>
      <w:r w:rsidR="00B872BD">
        <w:rPr>
          <w:rFonts w:ascii="Arial" w:hAnsi="Arial" w:cs="Arial"/>
          <w:sz w:val="20"/>
          <w:szCs w:val="20"/>
        </w:rPr>
        <w:t>city-scale growth features</w:t>
      </w:r>
      <w:r w:rsidR="0054697D" w:rsidRPr="00DF014C">
        <w:rPr>
          <w:rFonts w:ascii="Arial" w:hAnsi="Arial" w:cs="Arial"/>
          <w:sz w:val="20"/>
          <w:szCs w:val="20"/>
        </w:rPr>
        <w:t xml:space="preserve"> in UCD variations, which is the scope of this current study.</w:t>
      </w:r>
    </w:p>
    <w:p w14:paraId="2E6B1A14" w14:textId="4FB42594" w:rsidR="00DF1BD0" w:rsidRPr="001032B6" w:rsidRDefault="00DF1BD0" w:rsidP="00524F1F">
      <w:pPr>
        <w:spacing w:after="0" w:line="240" w:lineRule="auto"/>
        <w:jc w:val="both"/>
        <w:rPr>
          <w:rFonts w:ascii="Arial" w:hAnsi="Arial" w:cs="Arial"/>
          <w:b/>
          <w:bCs/>
          <w:sz w:val="24"/>
          <w:szCs w:val="24"/>
        </w:rPr>
      </w:pPr>
      <w:r w:rsidRPr="001032B6">
        <w:rPr>
          <w:rStyle w:val="Strong"/>
          <w:rFonts w:ascii="Arial" w:hAnsi="Arial" w:cs="Arial"/>
          <w:sz w:val="24"/>
          <w:szCs w:val="24"/>
        </w:rPr>
        <w:lastRenderedPageBreak/>
        <w:t xml:space="preserve">1.1 </w:t>
      </w:r>
      <w:r w:rsidRPr="001032B6">
        <w:rPr>
          <w:rFonts w:ascii="Arial" w:hAnsi="Arial" w:cs="Arial"/>
          <w:b/>
          <w:bCs/>
          <w:sz w:val="24"/>
          <w:szCs w:val="24"/>
        </w:rPr>
        <w:t xml:space="preserve">City volumetrics data </w:t>
      </w:r>
    </w:p>
    <w:p w14:paraId="616C9406" w14:textId="77777777" w:rsidR="00DF1BD0" w:rsidRDefault="00DF1BD0" w:rsidP="00524F1F">
      <w:pPr>
        <w:spacing w:after="0" w:line="240" w:lineRule="auto"/>
        <w:jc w:val="both"/>
        <w:rPr>
          <w:rFonts w:ascii="Arial" w:hAnsi="Arial" w:cs="Arial"/>
          <w:b/>
          <w:bCs/>
          <w:sz w:val="20"/>
          <w:szCs w:val="20"/>
        </w:rPr>
      </w:pPr>
    </w:p>
    <w:p w14:paraId="2DEE5C7F" w14:textId="4D127AB4" w:rsidR="00F77C17" w:rsidRPr="00AB3C17" w:rsidRDefault="009569E2" w:rsidP="00524F1F">
      <w:pPr>
        <w:spacing w:after="0" w:line="240" w:lineRule="auto"/>
        <w:jc w:val="both"/>
        <w:rPr>
          <w:rStyle w:val="Strong"/>
          <w:rFonts w:ascii="Arial" w:hAnsi="Arial" w:cs="Arial"/>
          <w:sz w:val="20"/>
          <w:szCs w:val="20"/>
        </w:rPr>
      </w:pPr>
      <w:r w:rsidRPr="00AB3C17">
        <w:rPr>
          <w:rStyle w:val="Strong"/>
          <w:rFonts w:ascii="Arial" w:hAnsi="Arial" w:cs="Arial"/>
          <w:sz w:val="20"/>
          <w:szCs w:val="20"/>
        </w:rPr>
        <w:t>1.1.1</w:t>
      </w:r>
      <w:r w:rsidR="00F77C17" w:rsidRPr="00AB3C17">
        <w:rPr>
          <w:rStyle w:val="Strong"/>
          <w:rFonts w:ascii="Arial" w:hAnsi="Arial" w:cs="Arial"/>
          <w:sz w:val="20"/>
          <w:szCs w:val="20"/>
        </w:rPr>
        <w:t xml:space="preserve"> City horizontal extent data</w:t>
      </w:r>
      <w:bookmarkStart w:id="1" w:name="_Hlk190536037"/>
      <m:oMath>
        <m:sSub>
          <m:sSubPr>
            <m:ctrlPr>
              <w:rPr>
                <w:rFonts w:ascii="Cambria Math" w:hAnsi="Cambria Math" w:cs="Arial"/>
                <w:b/>
                <w:bCs/>
                <w:i/>
                <w:sz w:val="20"/>
                <w:szCs w:val="20"/>
              </w:rPr>
            </m:ctrlPr>
          </m:sSubPr>
          <m:e>
            <m:r>
              <m:rPr>
                <m:sty m:val="bi"/>
              </m:rPr>
              <w:rPr>
                <w:rFonts w:ascii="Cambria Math" w:hAnsi="Cambria Math" w:cs="Arial"/>
                <w:sz w:val="20"/>
                <w:szCs w:val="20"/>
              </w:rPr>
              <m:t>(C</m:t>
            </m:r>
          </m:e>
          <m:sub>
            <m:r>
              <m:rPr>
                <m:sty m:val="bi"/>
              </m:rPr>
              <w:rPr>
                <w:rFonts w:ascii="Cambria Math" w:hAnsi="Cambria Math" w:cs="Arial"/>
                <w:sz w:val="20"/>
                <w:szCs w:val="20"/>
              </w:rPr>
              <m:t>H</m:t>
            </m:r>
          </m:sub>
        </m:sSub>
        <m:r>
          <m:rPr>
            <m:sty m:val="bi"/>
          </m:rPr>
          <w:rPr>
            <w:rFonts w:ascii="Cambria Math" w:hAnsi="Cambria Math" w:cs="Arial"/>
            <w:sz w:val="20"/>
            <w:szCs w:val="20"/>
          </w:rPr>
          <m:t>)</m:t>
        </m:r>
      </m:oMath>
      <w:bookmarkEnd w:id="1"/>
      <w:r w:rsidR="00F77C17" w:rsidRPr="00AB3C17">
        <w:rPr>
          <w:rStyle w:val="Strong"/>
          <w:rFonts w:ascii="Arial" w:hAnsi="Arial" w:cs="Arial"/>
          <w:sz w:val="20"/>
          <w:szCs w:val="20"/>
        </w:rPr>
        <w:t xml:space="preserve"> </w:t>
      </w:r>
      <w:r w:rsidR="009A0FC7" w:rsidRPr="00AB3C17">
        <w:rPr>
          <w:rStyle w:val="Strong"/>
          <w:rFonts w:ascii="Arial" w:hAnsi="Arial" w:cs="Arial"/>
          <w:sz w:val="20"/>
          <w:szCs w:val="20"/>
        </w:rPr>
        <w:t>and its annual growth</w:t>
      </w:r>
    </w:p>
    <w:p w14:paraId="6A8B67A3" w14:textId="72EEBC4C" w:rsidR="00A15F7F" w:rsidRPr="00D679EB" w:rsidRDefault="00A15F7F" w:rsidP="00A15F7F">
      <w:pPr>
        <w:spacing w:after="0"/>
        <w:jc w:val="both"/>
        <w:rPr>
          <w:rFonts w:ascii="Arial" w:hAnsi="Arial" w:cs="Arial"/>
          <w:sz w:val="20"/>
          <w:szCs w:val="20"/>
        </w:rPr>
      </w:pPr>
      <w:r w:rsidRPr="00D679EB">
        <w:rPr>
          <w:rFonts w:ascii="Arial" w:hAnsi="Arial" w:cs="Arial"/>
          <w:sz w:val="20"/>
          <w:szCs w:val="20"/>
        </w:rPr>
        <w:t xml:space="preserve">The dataset for the horizontal extent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H</m:t>
            </m:r>
          </m:sub>
        </m:sSub>
        <m:r>
          <w:rPr>
            <w:rFonts w:ascii="Cambria Math" w:hAnsi="Cambria Math" w:cs="Arial"/>
            <w:sz w:val="20"/>
            <w:szCs w:val="20"/>
          </w:rPr>
          <m:t>)</m:t>
        </m:r>
      </m:oMath>
      <w:r w:rsidRPr="00D679EB">
        <w:rPr>
          <w:rFonts w:ascii="Arial" w:hAnsi="Arial" w:cs="Arial"/>
          <w:sz w:val="20"/>
          <w:szCs w:val="20"/>
        </w:rPr>
        <w:t xml:space="preserve"> of built-up areas in cities was derived from the MODIS land use data (MCD12Q1), covering a study period from 2002 to 2023. All these datasets were accessed from the EOSDIS (</w:t>
      </w:r>
      <w:hyperlink r:id="rId9" w:history="1">
        <w:r w:rsidRPr="00D679EB">
          <w:rPr>
            <w:rStyle w:val="Hyperlink"/>
            <w:rFonts w:ascii="Arial" w:hAnsi="Arial" w:cs="Arial"/>
            <w:sz w:val="20"/>
            <w:szCs w:val="20"/>
          </w:rPr>
          <w:t>https://earthdata.nasa.gov/</w:t>
        </w:r>
      </w:hyperlink>
      <w:r w:rsidRPr="00D679EB">
        <w:rPr>
          <w:rFonts w:ascii="Arial" w:hAnsi="Arial" w:cs="Arial"/>
          <w:sz w:val="20"/>
          <w:szCs w:val="20"/>
        </w:rPr>
        <w:t>). The box-counting algorithm was employed to compute the fractal dimension for each urban cluster, where the minimum counting size of 0.5 km x 0.5 Km matching with the data set resolution. This approach, of using urban built-up areas as a proxy for city size followed the approach adapted by previous studies</w:t>
      </w:r>
      <w:r w:rsidRPr="00D679EB">
        <w:rPr>
          <w:rFonts w:ascii="Arial" w:hAnsi="Arial" w:cs="Arial"/>
          <w:sz w:val="20"/>
          <w:szCs w:val="20"/>
        </w:rPr>
        <w:fldChar w:fldCharType="begin" w:fldLock="1"/>
      </w:r>
      <w:r w:rsidR="00502006">
        <w:rPr>
          <w:rFonts w:ascii="Arial" w:hAnsi="Arial" w:cs="Arial"/>
          <w:sz w:val="20"/>
          <w:szCs w:val="20"/>
        </w:rPr>
        <w:instrText>ADDIN CSL_CITATION {"citationItems":[{"id":"ITEM-1","itemData":{"DOI":"10.1038/s41598-017-04242-2","ISSN":"2045-2322","PMID":"28684850","abstract":"Urban climate is determined by a variety of factors, whose knowledge can help to attenuate heat stress in the context of ongoing urbanization and climate change. We study the influence of city size and urban form on the Urban Heat Island (UHI) phenomenon in Europe and find a complex interplay between UHI intensity and city size, fractality, and anisometry. Due to correlations among these urban factors, interactions in the multi-linear regression need to be taken into account. We find that among the largest 5,000 cities, the UHI intensity increases with the logarithm of the city size and with the fractal dimension, but decreases with the logarithm of the anisometry. Typically, the size has the strongest influence, followed by the compactness, and the smallest is the influence of the degree to which the cities stretch. Accordingly, from the point of view of UHI alleviation, small, disperse, and stretched cities are preferable. However, such recommendations need to be balanced against e.g. positive agglomeration effects of large cities. Therefore, trade-offs must be made regarding local and global aims.","author":[{"dropping-particle":"","family":"Zhou","given":"Bin","non-dropping-particle":"","parse-names":false,"suffix":""},{"dropping-particle":"","family":"Rybski","given":"Diego","non-dropping-particle":"","parse-names":false,"suffix":""},{"dropping-particle":"","family":"Kropp","given":"Jürgen P.","non-dropping-particle":"","parse-names":false,"suffix":""}],"container-title":"Scientific Reports 2017 7:1","id":"ITEM-1","issue":"1","issued":{"date-parts":[["2017","7","6"]]},"page":"1-9","publisher":"Nature Publishing Group","title":"The role of city size and urban form in the surface urban heat island","type":"article-journal","volume":"7"},"uris":["http://www.mendeley.com/documents/?uuid=94eac341-c89b-3b2b-a601-5c0653180cdb"]},{"id":"ITEM-2","itemData":{"DOI":"10.1038/s43247-022-00539-x","ISSN":"2662-4435","abstract":"Warming trends in cities are influenced both by large-scale climate processes and by local-scale urbanization. However, little is known about how surface warming trends of global cities differ from those characterized by weather observations in the rural background. Here, through statistical analyses of satellite land surface temperatures (2002 to 2021), we find that the mean surface warming trend is 0.50 ± 0.20 K·decade−1 (mean ± one S.D.) in the urban core of 2000-plus city clusters worldwide, and is 29% greater than the trend for the rural background. On average, background climate change is the largest contributor explaining 0.30 ± 0.11 K·decade−1 of the urban surface warming. In city clusters in China and India, however, more than 0.23 K·decade−1 of the mean trend is attributed to urban expansion. We also find evidence of urban greening in European cities, which offsets 0.13 ± 0.034 K·decade−1 of background surface warming. The rate of surface warming in cities exceeds that in rural areas, but urban greening can partly offset enhanced urban warming that is driven by climate change and urban expansion, according to an analysis of satellite land surface temperature data in 2000 city clusters between 2002 and 2021.","author":[{"dropping-particle":"","family":"Liu","given":"Zihan","non-dropping-particle":"","parse-names":false,"suffix":""},{"dropping-particle":"","family":"Zhan","given":"Wenfeng","non-dropping-particle":"","parse-names":false,"suffix":""},{"dropping-particle":"","family":"Bechtel","given":"Benjamin","non-dropping-particle":"","parse-names":false,"suffix":""},{"dropping-particle":"","family":"Voogt","given":"James","non-dropping-particle":"","parse-names":false,"suffix":""},{"dropping-particle":"","family":"Lai","given":"Jiameng","non-dropping-particle":"","parse-names":false,"suffix":""},{"dropping-particle":"","family":"Chakraborty","given":"Tirthankar","non-dropping-particle":"","parse-names":false,"suffix":""},{"dropping-particle":"","family":"Wang","given":"Zhi Hua","non-dropping-particle":"","parse-names":false,"suffix":""},{"dropping-particle":"","family":"Li","given":"Manchun","non-dropping-particle":"","parse-names":false,"suffix":""},{"dropping-particle":"","family":"Huang","given":"Fan","non-dropping-particle":"","parse-names":false,"suffix":""},{"dropping-particle":"","family":"Lee","given":"Xuhui","non-dropping-particle":"","parse-names":false,"suffix":""}],"container-title":"Communications Earth &amp; Environment 2022 3:1","id":"ITEM-2","issue":"1","issued":{"date-parts":[["2022","9","29"]]},"page":"1-9","publisher":"Nature Publishing Group","title":"Surface warming in global cities is substantially more rapid than in rural background areas","type":"article-journal","volume":"3"},"uris":["http://www.mendeley.com/documents/?uuid=84175535-bb66-4b80-9f4c-795aa1940000"]}],"mendeley":{"formattedCitation":"&lt;sup&gt;1,2&lt;/sup&gt;","plainTextFormattedCitation":"1,2","previouslyFormattedCitation":"(1, 2)"},"properties":{"noteIndex":0},"schema":"https://github.com/citation-style-language/schema/raw/master/csl-citation.json"}</w:instrText>
      </w:r>
      <w:r w:rsidRPr="00D679EB">
        <w:rPr>
          <w:rFonts w:ascii="Arial" w:hAnsi="Arial" w:cs="Arial"/>
          <w:sz w:val="20"/>
          <w:szCs w:val="20"/>
        </w:rPr>
        <w:fldChar w:fldCharType="separate"/>
      </w:r>
      <w:r w:rsidR="00502006" w:rsidRPr="00502006">
        <w:rPr>
          <w:rFonts w:ascii="Arial" w:hAnsi="Arial" w:cs="Arial"/>
          <w:noProof/>
          <w:sz w:val="20"/>
          <w:szCs w:val="20"/>
          <w:vertAlign w:val="superscript"/>
        </w:rPr>
        <w:t>1,2</w:t>
      </w:r>
      <w:r w:rsidRPr="00D679EB">
        <w:rPr>
          <w:rFonts w:ascii="Arial" w:hAnsi="Arial" w:cs="Arial"/>
          <w:sz w:val="20"/>
          <w:szCs w:val="20"/>
        </w:rPr>
        <w:fldChar w:fldCharType="end"/>
      </w:r>
      <w:r w:rsidRPr="00D679EB">
        <w:rPr>
          <w:rFonts w:ascii="Arial" w:hAnsi="Arial" w:cs="Arial"/>
          <w:sz w:val="20"/>
          <w:szCs w:val="20"/>
        </w:rPr>
        <w:t xml:space="preserve">. Further to cross validate the lateral expansion data, GHSL built-up surface data is accessed from </w:t>
      </w:r>
      <w:hyperlink r:id="rId10" w:history="1">
        <w:r w:rsidRPr="00D679EB">
          <w:rPr>
            <w:rStyle w:val="Hyperlink"/>
            <w:rFonts w:ascii="Arial" w:hAnsi="Arial" w:cs="Arial"/>
            <w:sz w:val="20"/>
            <w:szCs w:val="20"/>
          </w:rPr>
          <w:t>https://human-settlement.emergency.copernicus.eu/index.php</w:t>
        </w:r>
      </w:hyperlink>
      <w:r w:rsidRPr="00D679EB">
        <w:rPr>
          <w:rFonts w:ascii="Arial" w:hAnsi="Arial" w:cs="Arial"/>
          <w:sz w:val="20"/>
          <w:szCs w:val="20"/>
        </w:rPr>
        <w:t xml:space="preserve"> and resampled to 1km x 1 km pixel within city boundary averaged over 2002-2023. A buffer of 5 km is followed around the average city boundary to capture the total built-up surface in </w:t>
      </w:r>
      <w:r w:rsidR="007F4858" w:rsidRPr="00AB3C17">
        <w:rPr>
          <w:rFonts w:ascii="Arial" w:hAnsi="Arial" w:cs="Arial"/>
          <w:sz w:val="20"/>
          <w:szCs w:val="20"/>
        </w:rPr>
        <w:t xml:space="preserve">urban to rural infringes in </w:t>
      </w:r>
      <w:r w:rsidRPr="00D679EB">
        <w:rPr>
          <w:rFonts w:ascii="Arial" w:hAnsi="Arial" w:cs="Arial"/>
          <w:sz w:val="20"/>
          <w:szCs w:val="20"/>
        </w:rPr>
        <w:t xml:space="preserve">the given period.  Measure of annual rise of </w:t>
      </w:r>
      <m:oMath>
        <m:sSub>
          <m:sSubPr>
            <m:ctrlPr>
              <w:rPr>
                <w:rFonts w:ascii="Cambria Math" w:hAnsi="Cambria Math" w:cs="Arial"/>
                <w:b/>
                <w:bCs/>
                <w:i/>
                <w:sz w:val="20"/>
                <w:szCs w:val="20"/>
              </w:rPr>
            </m:ctrlPr>
          </m:sSubPr>
          <m:e>
            <m:r>
              <m:rPr>
                <m:sty m:val="bi"/>
              </m:rPr>
              <w:rPr>
                <w:rFonts w:ascii="Cambria Math" w:hAnsi="Cambria Math" w:cs="Arial"/>
                <w:sz w:val="20"/>
                <w:szCs w:val="20"/>
              </w:rPr>
              <m:t xml:space="preserve"> C</m:t>
            </m:r>
          </m:e>
          <m:sub>
            <m:r>
              <m:rPr>
                <m:sty m:val="bi"/>
              </m:rPr>
              <w:rPr>
                <w:rFonts w:ascii="Cambria Math" w:hAnsi="Cambria Math" w:cs="Arial"/>
                <w:sz w:val="20"/>
                <w:szCs w:val="20"/>
              </w:rPr>
              <m:t>H</m:t>
            </m:r>
          </m:sub>
        </m:sSub>
      </m:oMath>
      <w:r w:rsidRPr="00D679EB">
        <w:rPr>
          <w:rFonts w:ascii="Arial" w:eastAsiaTheme="minorEastAsia" w:hAnsi="Arial" w:cs="Arial"/>
          <w:b/>
          <w:bCs/>
          <w:sz w:val="20"/>
          <w:szCs w:val="20"/>
        </w:rPr>
        <w:t xml:space="preserve"> </w:t>
      </w:r>
      <w:r w:rsidRPr="00D679EB">
        <w:rPr>
          <w:rFonts w:ascii="Arial" w:eastAsiaTheme="minorEastAsia" w:hAnsi="Arial" w:cs="Arial"/>
          <w:sz w:val="20"/>
          <w:szCs w:val="20"/>
        </w:rPr>
        <w:t xml:space="preserve">is further recorded to highlight the rate at which city grows out laterally. </w:t>
      </w:r>
    </w:p>
    <w:p w14:paraId="2C5F44C3" w14:textId="11AE6E0B" w:rsidR="00F77C17" w:rsidRPr="00AB3C17" w:rsidRDefault="00F77C17" w:rsidP="00524F1F">
      <w:pPr>
        <w:spacing w:after="0" w:line="240" w:lineRule="auto"/>
        <w:jc w:val="both"/>
        <w:rPr>
          <w:rFonts w:ascii="Arial" w:hAnsi="Arial" w:cs="Arial"/>
          <w:sz w:val="20"/>
          <w:szCs w:val="20"/>
        </w:rPr>
      </w:pPr>
    </w:p>
    <w:p w14:paraId="5DDDB166" w14:textId="58FA205C" w:rsidR="00F77C17" w:rsidRPr="00AB3C17" w:rsidRDefault="009569E2" w:rsidP="00524F1F">
      <w:pPr>
        <w:spacing w:after="0" w:line="240" w:lineRule="auto"/>
        <w:jc w:val="both"/>
        <w:rPr>
          <w:rStyle w:val="Strong"/>
          <w:rFonts w:ascii="Arial" w:hAnsi="Arial" w:cs="Arial"/>
          <w:sz w:val="20"/>
          <w:szCs w:val="20"/>
        </w:rPr>
      </w:pPr>
      <w:r w:rsidRPr="00AB3C17">
        <w:rPr>
          <w:rStyle w:val="Strong"/>
          <w:rFonts w:ascii="Arial" w:hAnsi="Arial" w:cs="Arial"/>
          <w:sz w:val="20"/>
          <w:szCs w:val="20"/>
        </w:rPr>
        <w:t>1.1.2</w:t>
      </w:r>
      <w:r w:rsidR="00F77C17" w:rsidRPr="00AB3C17">
        <w:rPr>
          <w:rStyle w:val="Strong"/>
          <w:rFonts w:ascii="Arial" w:hAnsi="Arial" w:cs="Arial"/>
          <w:sz w:val="20"/>
          <w:szCs w:val="20"/>
        </w:rPr>
        <w:t xml:space="preserve"> City Anisomery measure </w:t>
      </w:r>
      <m:oMath>
        <m:sSub>
          <m:sSubPr>
            <m:ctrlPr>
              <w:rPr>
                <w:rFonts w:ascii="Cambria Math" w:hAnsi="Cambria Math" w:cs="Arial"/>
                <w:b/>
                <w:bCs/>
                <w:i/>
                <w:sz w:val="20"/>
                <w:szCs w:val="20"/>
              </w:rPr>
            </m:ctrlPr>
          </m:sSubPr>
          <m:e>
            <m:r>
              <m:rPr>
                <m:sty m:val="bi"/>
              </m:rPr>
              <w:rPr>
                <w:rFonts w:ascii="Cambria Math" w:hAnsi="Cambria Math" w:cs="Arial"/>
                <w:sz w:val="20"/>
                <w:szCs w:val="20"/>
              </w:rPr>
              <m:t>(C</m:t>
            </m:r>
          </m:e>
          <m:sub>
            <m:r>
              <m:rPr>
                <m:sty m:val="bi"/>
              </m:rPr>
              <w:rPr>
                <w:rFonts w:ascii="Cambria Math" w:hAnsi="Cambria Math" w:cs="Arial"/>
                <w:sz w:val="20"/>
                <w:szCs w:val="20"/>
              </w:rPr>
              <m:t>A</m:t>
            </m:r>
          </m:sub>
        </m:sSub>
        <m:r>
          <m:rPr>
            <m:sty m:val="bi"/>
          </m:rPr>
          <w:rPr>
            <w:rFonts w:ascii="Cambria Math" w:hAnsi="Cambria Math" w:cs="Arial"/>
            <w:sz w:val="20"/>
            <w:szCs w:val="20"/>
          </w:rPr>
          <m:t>)</m:t>
        </m:r>
      </m:oMath>
    </w:p>
    <w:p w14:paraId="6B70BDBA" w14:textId="557520A7" w:rsidR="00126BDA" w:rsidRPr="00AB3C17" w:rsidRDefault="005237F0" w:rsidP="00524F1F">
      <w:pPr>
        <w:spacing w:after="0" w:line="240" w:lineRule="auto"/>
        <w:jc w:val="both"/>
        <w:rPr>
          <w:rFonts w:ascii="Arial" w:hAnsi="Arial" w:cs="Arial"/>
          <w:sz w:val="20"/>
          <w:szCs w:val="20"/>
        </w:rPr>
      </w:pPr>
      <w:r w:rsidRPr="00D679EB">
        <w:rPr>
          <w:rFonts w:ascii="Arial" w:hAnsi="Arial" w:cs="Arial"/>
          <w:sz w:val="20"/>
          <w:szCs w:val="20"/>
        </w:rPr>
        <w:t>It refers to the variation in the horizontal shape and dimensions of urban areas. It assesses how a city's geometric properties differ across the two main axes of its best-fitting bounding ellipse.</w:t>
      </w:r>
      <w:r w:rsidR="00270F03" w:rsidRPr="00AB3C17">
        <w:rPr>
          <w:rFonts w:ascii="Arial" w:hAnsi="Arial" w:cs="Arial"/>
          <w:sz w:val="20"/>
          <w:szCs w:val="20"/>
        </w:rPr>
        <w:t xml:space="preserve"> </w:t>
      </w:r>
      <w:r w:rsidRPr="00D679EB">
        <w:rPr>
          <w:rFonts w:ascii="Arial" w:hAnsi="Arial" w:cs="Arial"/>
          <w:sz w:val="20"/>
          <w:szCs w:val="20"/>
        </w:rPr>
        <w:t>To estimate C</w:t>
      </w:r>
      <w:r w:rsidRPr="00D679EB">
        <w:rPr>
          <w:rFonts w:ascii="Arial" w:hAnsi="Arial" w:cs="Arial"/>
          <w:sz w:val="20"/>
          <w:szCs w:val="20"/>
          <w:vertAlign w:val="subscript"/>
        </w:rPr>
        <w:t>A</w:t>
      </w:r>
      <w:r w:rsidRPr="00D679EB">
        <w:rPr>
          <w:rFonts w:ascii="Arial" w:hAnsi="Arial" w:cs="Arial"/>
          <w:sz w:val="20"/>
          <w:szCs w:val="20"/>
        </w:rPr>
        <w:t>, we utilized city area shapefiles from GUB shapefile provided by (</w:t>
      </w:r>
      <w:hyperlink r:id="rId11" w:history="1">
        <w:r w:rsidRPr="00D679EB">
          <w:rPr>
            <w:rStyle w:val="Hyperlink"/>
            <w:rFonts w:ascii="Arial" w:hAnsi="Arial" w:cs="Arial"/>
            <w:sz w:val="20"/>
            <w:szCs w:val="20"/>
          </w:rPr>
          <w:t>https://data-starcloud.pcl.ac.cn/iearthdata/</w:t>
        </w:r>
      </w:hyperlink>
      <w:r w:rsidRPr="00D679EB">
        <w:rPr>
          <w:rFonts w:ascii="Arial" w:hAnsi="Arial" w:cs="Arial"/>
          <w:sz w:val="20"/>
          <w:szCs w:val="20"/>
        </w:rPr>
        <w:t>), first mentioned in</w:t>
      </w:r>
      <w:r w:rsidRPr="00D679EB">
        <w:rPr>
          <w:rFonts w:ascii="Arial" w:hAnsi="Arial" w:cs="Arial"/>
          <w:sz w:val="20"/>
          <w:szCs w:val="20"/>
        </w:rPr>
        <w:fldChar w:fldCharType="begin" w:fldLock="1"/>
      </w:r>
      <w:r w:rsidR="00502006">
        <w:rPr>
          <w:rFonts w:ascii="Arial" w:hAnsi="Arial" w:cs="Arial"/>
          <w:sz w:val="20"/>
          <w:szCs w:val="20"/>
        </w:rPr>
        <w:instrText>ADDIN CSL_CITATION {"citationItems":[{"id":"ITEM-1","itemData":{"DOI":"10.1088/1748-9326/AB9BE3","ISSN":"1748-9326","abstract":"Urban boundaries, an essential property of cities, are widely used in many urban studies. However, extracting urban boundaries from satellite images is still a great challenge, especially at a global scale and a fine resolution. In this study, we developed an automatic delineation framework to generate a multi-temporal dataset of global urban boundaries (GUB) using 30 m global artificial impervious area (GAIA) data. First, we delineated an initial urban boundary by filling inner non-urban areas of each city. A kernel density estimation approach and cellular-automata based urban growth modeling were jointly used in this step. Second, we improved the initial urban boundaries around urban fringe areas, using a morphological approach by dilating and eroding the derived urban extent. We implemented this delineation on the Google Earth Engine platform and generated a 30 m resolution global urban boundary dataset in seven representative years (i.e. 1990, 1995, 2000, 2005, 2010, 2015, and 2018). Our extracted urban boundaries show a good agreement with results derived from nighttime light data and human interpretation, and they can well delineate the urban extent of cities when compared with high-resolution Google Earth images. The total area of 65 582 GUBs, each of which exceeds 1 km2, is 809 664 km2 in 2018. The impervious surface areas account for approximately 60% of the total. From 1990 to 2018, the proportion of impervious areas in delineated boundaries increased from 53% to 60%, suggesting a compact urban growth over the past decades. We found that the United States has the highest per capita urban area (i.e. more than 900 m2) among the top 10 most urbanized nations in 2018. This dataset provides a physical boundary of urban areas that can be used to study the impact of urbanization on food security, biodiversity, climate change, and urban health. The GUB dataset can be accessed from http://data.ess.tsinghua.edu.cn.","author":[{"dropping-particle":"","family":"Li","given":"Xuecao","non-dropping-particle":"","parse-names":false,"suffix":""},{"dropping-particle":"","family":"Gong","given":"Peng","non-dropping-particle":"","parse-names":false,"suffix":""},{"dropping-particle":"","family":"Zhou","given":"Yuyu","non-dropping-particle":"","parse-names":false,"suffix":""},{"dropping-particle":"","family":"Wang","given":"Jie","non-dropping-particle":"","parse-names":false,"suffix":""},{"dropping-particle":"","family":"Bai","given":"Yuqi","non-dropping-particle":"","parse-names":false,"suffix":""},{"dropping-particle":"","family":"Chen","given":"Bin","non-dropping-particle":"","parse-names":false,"suffix":""},{"dropping-particle":"","family":"Hu","given":"Tengyun","non-dropping-particle":"","parse-names":false,"suffix":""},{"dropping-particle":"","family":"Xiao","given":"Yixiong","non-dropping-particle":"","parse-names":false,"suffix":""},{"dropping-particle":"","family":"Xu","given":"Bing","non-dropping-particle":"","parse-names":false,"suffix":""},{"dropping-particle":"","family":"Yang","given":"Jun","non-dropping-particle":"","parse-names":false,"suffix":""},{"dropping-particle":"","family":"Liu","given":"Xiaoping","non-dropping-particle":"","parse-names":false,"suffix":""},{"dropping-particle":"","family":"Cai","given":"Wenjia","non-dropping-particle":"","parse-names":false,"suffix":""},{"dropping-particle":"","family":"Huang","given":"Huabing","non-dropping-particle":"","parse-names":false,"suffix":""},{"dropping-particle":"","family":"Wu","given":"Tinghai","non-dropping-particle":"","parse-names":false,"suffix":""},{"dropping-particle":"","family":"Wang","given":"Xi","non-dropping-particle":"","parse-names":false,"suffix":""},{"dropping-particle":"","family":"Lin","given":"Peng","non-dropping-particle":"","parse-names":false,"suffix":""},{"dropping-particle":"","family":"Li","given":"Xun","non-dropping-particle":"","parse-names":false,"suffix":""},{"dropping-particle":"","family":"Chen","given":"Jin","non-dropping-particle":"","parse-names":false,"suffix":""},{"dropping-particle":"","family":"He","given":"Chunyang","non-dropping-particle":"","parse-names":false,"suffix":""},{"dropping-particle":"","family":"Li","given":"Xia","non-dropping-particle":"","parse-names":false,"suffix":""},{"dropping-particle":"","family":"Yu","given":"Le","non-dropping-particle":"","parse-names":false,"suffix":""},{"dropping-particle":"","family":"Clinton","given":"Nicholas","non-dropping-particle":"","parse-names":false,"suffix":""},{"dropping-particle":"","family":"Zhu","given":"Zhiliang","non-dropping-particle":"","parse-names":false,"suffix":""}],"container-title":"Environmental Research Letters","id":"ITEM-1","issue":"9","issued":{"date-parts":[["2020","8","24"]]},"page":"094044","publisher":"IOP Publishing","title":"Mapping global urban boundaries from the global artificial impervious area (GAIA) data","type":"article-journal","volume":"15"},"uris":["http://www.mendeley.com/documents/?uuid=28d8d66d-0895-32b6-90a6-185756c006ee"]}],"mendeley":{"formattedCitation":"&lt;sup&gt;3&lt;/sup&gt;","plainTextFormattedCitation":"3","previouslyFormattedCitation":"(3)"},"properties":{"noteIndex":0},"schema":"https://github.com/citation-style-language/schema/raw/master/csl-citation.json"}</w:instrText>
      </w:r>
      <w:r w:rsidRPr="00D679EB">
        <w:rPr>
          <w:rFonts w:ascii="Arial" w:hAnsi="Arial" w:cs="Arial"/>
          <w:sz w:val="20"/>
          <w:szCs w:val="20"/>
        </w:rPr>
        <w:fldChar w:fldCharType="separate"/>
      </w:r>
      <w:r w:rsidR="00502006" w:rsidRPr="00502006">
        <w:rPr>
          <w:rFonts w:ascii="Arial" w:hAnsi="Arial" w:cs="Arial"/>
          <w:noProof/>
          <w:sz w:val="20"/>
          <w:szCs w:val="20"/>
          <w:vertAlign w:val="superscript"/>
        </w:rPr>
        <w:t>3</w:t>
      </w:r>
      <w:r w:rsidRPr="00D679EB">
        <w:rPr>
          <w:rFonts w:ascii="Arial" w:hAnsi="Arial" w:cs="Arial"/>
          <w:sz w:val="20"/>
          <w:szCs w:val="20"/>
        </w:rPr>
        <w:fldChar w:fldCharType="end"/>
      </w:r>
      <w:r w:rsidRPr="00D679EB">
        <w:rPr>
          <w:rFonts w:ascii="Arial" w:hAnsi="Arial" w:cs="Arial"/>
          <w:sz w:val="20"/>
          <w:szCs w:val="20"/>
        </w:rPr>
        <w:t>, along with city urban boundaries provided by Sethi et al. 2024</w:t>
      </w:r>
      <w:r w:rsidRPr="00D679EB">
        <w:rPr>
          <w:rFonts w:ascii="Arial" w:hAnsi="Arial" w:cs="Arial"/>
          <w:sz w:val="20"/>
          <w:szCs w:val="20"/>
        </w:rPr>
        <w:fldChar w:fldCharType="begin" w:fldLock="1"/>
      </w:r>
      <w:r w:rsidR="00502006">
        <w:rPr>
          <w:rFonts w:ascii="Arial" w:hAnsi="Arial" w:cs="Arial"/>
          <w:sz w:val="20"/>
          <w:szCs w:val="20"/>
        </w:rPr>
        <w:instrText>ADDIN CSL_CITATION {"citationItems":[{"id":"ITEM-1","itemData":{"DOI":"10.1038/s44284-024-00074-0","ISSN":"2731-9997","abstract":"Cities are vulnerable to the compounding effects of both climate change and urbanization. Here we show that urbanization alone has led to an overall 60% enhancement in warming in Indian cities, with eastern Tier-II cities leading the way. Such a difference in the urban contribution to warming over cities across India calls for a differential approach to combat urban warming effectively. This study looks at nighttime land surface temperature in Indian cities to see how much they have warmed. It finds that urbanization has driven 60% additional warming in cities, with medium-sized cities influencing the most.","author":[{"dropping-particle":"","family":"Sethi","given":"Soumya Satyakanta","non-dropping-particle":"","parse-names":false,"suffix":""},{"dropping-particle":"","family":"Vinoj","given":"V.","non-dropping-particle":"","parse-names":false,"suffix":""}],"container-title":"Nature Cities 2024 1:6","id":"ITEM-1","issue":"6","issued":{"date-parts":[["2024","5","15"]]},"page":"402-405","publisher":"Nature Publishing Group","title":"Urbanization and regional climate change-linked warming of Indian cities","type":"article-journal","volume":"1"},"uris":["http://www.mendeley.com/documents/?uuid=067591e1-8d48-4f85-8361-b5cfc8447f35"]}],"mendeley":{"formattedCitation":"&lt;sup&gt;4&lt;/sup&gt;","plainTextFormattedCitation":"4","previouslyFormattedCitation":"(4)"},"properties":{"noteIndex":0},"schema":"https://github.com/citation-style-language/schema/raw/master/csl-citation.json"}</w:instrText>
      </w:r>
      <w:r w:rsidRPr="00D679EB">
        <w:rPr>
          <w:rFonts w:ascii="Arial" w:hAnsi="Arial" w:cs="Arial"/>
          <w:sz w:val="20"/>
          <w:szCs w:val="20"/>
        </w:rPr>
        <w:fldChar w:fldCharType="separate"/>
      </w:r>
      <w:r w:rsidR="00502006" w:rsidRPr="00502006">
        <w:rPr>
          <w:rFonts w:ascii="Arial" w:hAnsi="Arial" w:cs="Arial"/>
          <w:noProof/>
          <w:sz w:val="20"/>
          <w:szCs w:val="20"/>
          <w:vertAlign w:val="superscript"/>
        </w:rPr>
        <w:t>4</w:t>
      </w:r>
      <w:r w:rsidRPr="00D679EB">
        <w:rPr>
          <w:rFonts w:ascii="Arial" w:hAnsi="Arial" w:cs="Arial"/>
          <w:sz w:val="20"/>
          <w:szCs w:val="20"/>
        </w:rPr>
        <w:fldChar w:fldCharType="end"/>
      </w:r>
      <w:r w:rsidRPr="00D679EB">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A</m:t>
            </m:r>
          </m:sub>
        </m:sSub>
      </m:oMath>
      <w:r w:rsidRPr="00D679EB">
        <w:rPr>
          <w:rFonts w:ascii="Arial" w:hAnsi="Arial" w:cs="Arial"/>
          <w:sz w:val="20"/>
          <w:szCs w:val="20"/>
        </w:rPr>
        <w:t xml:space="preserve"> is defined as the ratio of the city's maximum Feret’s diameter to its minimum Feret’s diameter </w:t>
      </w:r>
      <w:r w:rsidRPr="00D679EB">
        <w:rPr>
          <w:rFonts w:ascii="Arial" w:hAnsi="Arial" w:cs="Arial"/>
          <w:sz w:val="20"/>
          <w:szCs w:val="20"/>
        </w:rPr>
        <w:fldChar w:fldCharType="begin" w:fldLock="1"/>
      </w:r>
      <w:r w:rsidR="00502006">
        <w:rPr>
          <w:rFonts w:ascii="Arial" w:hAnsi="Arial" w:cs="Arial"/>
          <w:sz w:val="20"/>
          <w:szCs w:val="20"/>
        </w:rPr>
        <w:instrText>ADDIN CSL_CITATION {"citationItems":[{"id":"ITEM-1","itemData":{"DOI":"10.1016/J.COMPENVURBSYS.2011.05.008","ISSN":"0198-9715","abstract":"The relationships between the size, scale, shape, and dimension of urban settlements are basic problems remained to be further resolved, and this paper provides an available perspective for understanding these problems. Based on the standard circle, the relations between the fractal dimension of urban boundary and the compactness ratios of urban shape were derived from a geometric measure relation in a simple way. The compactness ratios proved to be the exponential functions of the reciprocal of the boundary dimension. The results can be generalized and applied to the common indices of shape including circularity ratio, ellipticity index, and form ratio, which are defined by urban area, perimeter, or Feret's diameter. The mathematical models are empirically verified by the remote sensing data of China's 31 mega-cities in 1990 and 2000 and lend support to the assumption that urban boundaries are pre-fractals rather than real fractals. A conclusion can be drawn that there exist certain functional relations between the shape indices and the boundary dimension, and within certain range of scales, the fractal parameters can be indirectly estimated by the ratios of size measurements to reflect the features of urban shapes. © 2011 Elsevier Ltd.","author":[{"dropping-particle":"","family":"Chen","given":"Yanguang","non-dropping-particle":"","parse-names":false,"suffix":""}],"container-title":"Computers, Environment and Urban Systems","id":"ITEM-1","issue":"6","issued":{"date-parts":[["2011","11","1"]]},"page":"442-451","publisher":"Pergamon","title":"Derivation of the functional relations between fractal dimension of and shape indices of urban form","type":"article-journal","volume":"35"},"uris":["http://www.mendeley.com/documents/?uuid=cb147973-e2fa-3fd9-986d-b0a27ef64a17"]},{"id":"ITEM-2","itemData":{"DOI":"10.1016/J.CHAOS.2021.111653","ISSN":"0960-0779","abstract":"A standard scientific study comprises two processes: one is to describe how a system works, and the other is to understand why the system works in this way. In order to understand the principle of urban growth, a number of shape indexes are proposed to describe the size and shape of cities. However, the comparability of a shape index is often influenced by the resolution of remote sensing images or digital maps because the calculated values depend on spatial measurement scales. This paper is devoted to exploring the scaling property in classical shape indexes with mathematical methods. Two typical regular fractals, Koch's island and Vicsek's figure, are employed to illustrate the property of scale dependence of many shape indexes. A set of formula are derived from the geometric measure relation to associate the fractal dimension for boundary lines with shape indexes. Based on the ideas of fractals, two main problems are solved in this work. First, several different correlated shape indexes such as circularity ratios and compactness ratios are normalized and unified by substituting Feret's diameter for the major axis of urban figure. Second, three levels of scaling in shape indexes are revealed, and shape indexes are classified into three groups. The significance of this study lies in two aspects. One is helpful for realizing the deep structure of urban form, and the other is useful for clarifying the spheres of application of different types of shape indexes.","author":[{"dropping-particle":"","family":"Chen","given":"Yanguang","non-dropping-particle":"","parse-names":false,"suffix":""}],"container-title":"Chaos, Solitons &amp; Fractals","id":"ITEM-2","issued":{"date-parts":[["2022","1","1"]]},"page":"111653","publisher":"Pergamon","title":"Normalizing and classifying shape indexes of cities by ideas from fractals","type":"article-journal","volume":"154"},"uris":["http://www.mendeley.com/documents/?uuid=ee324d9b-07ae-308d-a050-e9f02b8615ce"]},{"id":"ITEM-3","itemData":{"DOI":"10.1038/s41598-017-04242-2","ISSN":"2045-2322","PMID":"28684850","abstract":"Urban climate is determined by a variety of factors, whose knowledge can help to attenuate heat stress in the context of ongoing urbanization and climate change. We study the influence of city size and urban form on the Urban Heat Island (UHI) phenomenon in Europe and find a complex interplay between UHI intensity and city size, fractality, and anisometry. Due to correlations among these urban factors, interactions in the multi-linear regression need to be taken into account. We find that among the largest 5,000 cities, the UHI intensity increases with the logarithm of the city size and with the fractal dimension, but decreases with the logarithm of the anisometry. Typically, the size has the strongest influence, followed by the compactness, and the smallest is the influence of the degree to which the cities stretch. Accordingly, from the point of view of UHI alleviation, small, disperse, and stretched cities are preferable. However, such recommendations need to be balanced against e.g. positive agglomeration effects of large cities. Therefore, trade-offs must be made regarding local and global aims.","author":[{"dropping-particle":"","family":"Zhou","given":"Bin","non-dropping-particle":"","parse-names":false,"suffix":""},{"dropping-particle":"","family":"Rybski","given":"Diego","non-dropping-particle":"","parse-names":false,"suffix":""},{"dropping-particle":"","family":"Kropp","given":"Jürgen P.","non-dropping-particle":"","parse-names":false,"suffix":""}],"container-title":"Scientific Reports 2017 7:1","id":"ITEM-3","issue":"1","issued":{"date-parts":[["2017","7","6"]]},"page":"1-9","publisher":"Nature Publishing Group","title":"The role of city size and urban form in the surface urban heat island","type":"article-journal","volume":"7"},"uris":["http://www.mendeley.com/documents/?uuid=94eac341-c89b-3b2b-a601-5c0653180cdb"]}],"mendeley":{"formattedCitation":"&lt;sup&gt;1,5,6&lt;/sup&gt;","plainTextFormattedCitation":"1,5,6","previouslyFormattedCitation":"(1, 5, 6)"},"properties":{"noteIndex":0},"schema":"https://github.com/citation-style-language/schema/raw/master/csl-citation.json"}</w:instrText>
      </w:r>
      <w:r w:rsidRPr="00D679EB">
        <w:rPr>
          <w:rFonts w:ascii="Arial" w:hAnsi="Arial" w:cs="Arial"/>
          <w:sz w:val="20"/>
          <w:szCs w:val="20"/>
        </w:rPr>
        <w:fldChar w:fldCharType="separate"/>
      </w:r>
      <w:r w:rsidR="00502006" w:rsidRPr="00502006">
        <w:rPr>
          <w:rFonts w:ascii="Arial" w:hAnsi="Arial" w:cs="Arial"/>
          <w:noProof/>
          <w:sz w:val="20"/>
          <w:szCs w:val="20"/>
          <w:vertAlign w:val="superscript"/>
        </w:rPr>
        <w:t>1,5,6</w:t>
      </w:r>
      <w:r w:rsidRPr="00D679EB">
        <w:rPr>
          <w:rFonts w:ascii="Arial" w:hAnsi="Arial" w:cs="Arial"/>
          <w:sz w:val="20"/>
          <w:szCs w:val="20"/>
        </w:rPr>
        <w:fldChar w:fldCharType="end"/>
      </w:r>
      <w:r w:rsidRPr="00D679EB">
        <w:rPr>
          <w:rFonts w:ascii="Arial" w:hAnsi="Arial" w:cs="Arial"/>
          <w:sz w:val="20"/>
          <w:szCs w:val="20"/>
        </w:rPr>
        <w:t>. Feret’s diameter represents the distance between two parallel tangents to an object along a specific direction.</w:t>
      </w:r>
      <w:r w:rsidR="00270F03" w:rsidRPr="00AB3C17">
        <w:rPr>
          <w:rFonts w:ascii="Arial" w:hAnsi="Arial" w:cs="Arial"/>
          <w:sz w:val="20"/>
          <w:szCs w:val="20"/>
        </w:rPr>
        <w:t xml:space="preserve"> </w:t>
      </w:r>
      <w:r w:rsidR="00126BDA" w:rsidRPr="00AB3C17">
        <w:rPr>
          <w:rFonts w:ascii="Arial" w:hAnsi="Arial" w:cs="Arial"/>
          <w:sz w:val="20"/>
          <w:szCs w:val="20"/>
        </w:rPr>
        <w:t>This anisometry measure also reflects the long-term lateral expansion pattern of a city. For instance, a value close to one indicates monocentric radial growth, while values greater than one suggest linear expansion in a particular direction</w:t>
      </w:r>
      <w:r w:rsidR="00F20DFD" w:rsidRPr="00D679EB">
        <w:rPr>
          <w:rFonts w:ascii="Arial" w:hAnsi="Arial" w:cs="Arial"/>
          <w:sz w:val="20"/>
          <w:szCs w:val="20"/>
        </w:rPr>
        <w:fldChar w:fldCharType="begin" w:fldLock="1"/>
      </w:r>
      <w:r w:rsidR="00502006">
        <w:rPr>
          <w:rFonts w:ascii="Arial" w:hAnsi="Arial" w:cs="Arial"/>
          <w:sz w:val="20"/>
          <w:szCs w:val="20"/>
        </w:rPr>
        <w:instrText>ADDIN CSL_CITATION {"citationItems":[{"id":"ITEM-1","itemData":{"DOI":"10.1073/PNAS.0610172104/SUPPL_FILE/INDEX.HTML","ISSN":"00278424","PMID":"17438298","abstract":"Humanity has just crossed a major landmark in its history with the majority of people now living in cities. Cities have long been known to be society's predominant engine of innovation and wealth creation, yet they are also its main source of crime, pollution, and disease. The inexorable trend toward urbanization worldwide presents an urgent challenge for developing a predictive, quantitative theory of urban organization and sustainable development. Here we present empirical evidence indicating that the processes relating urbanization to economic development and knowledge creation are very general, being shared by all cities belonging to the same urban system and sustained across different nations and times. Many diverse properties of cities from patent production and personal income to electrical cable length are shown to be power law functions of population size with scaling exponents, β, that fall into distinct universality classes. Quantities reflecting wealth creation and innovation have β ≈ = 1.2 &gt; 1 (increasing returns), whereas those accounting for infrastructure display β ≈0.8 &lt; 1 (economies of scale). We predict that the pace of social life in the city increases with population size, in quantitative agreement with data, and we discuss how cities are similar to, and differ from, biological organisms, for which β &lt; 1. Finally, we explore possible consequences of these scaling relations by deriving growth equations, which quantify the dramatic difference between growth fueled by innovation versus that driven by economies of scale. This difference suggests that, as population grows, major innovation cycles must be generated at a continually accelerating rate to sustain growth and avoid stagnation or collapse. © 2007 by The National Academy of Sciences of the USA.","author":[{"dropping-particle":"","family":"Bettencourt","given":"Luís M.A.","non-dropping-particle":"","parse-names":false,"suffix":""},{"dropping-particle":"","family":"Lobo","given":"José","non-dropping-particle":"","parse-names":false,"suffix":""},{"dropping-particle":"","family":"Helbing","given":"Dirk","non-dropping-particle":"","parse-names":false,"suffix":""},{"dropping-particle":"","family":"Kühnert","given":"Christian","non-dropping-particle":"","parse-names":false,"suffix":""},{"dropping-particle":"","family":"West","given":"Geoffrey B.","non-dropping-particle":"","parse-names":false,"suffix":""}],"container-title":"Proceedings of the National Academy of Sciences of the United States of America","id":"ITEM-1","issue":"17","issued":{"date-parts":[["2007","4","24"]]},"page":"7301-7306","publisher":"National Academy of Sciences","title":"Growth, innovation, scaling, and the pace of life in cities","type":"article-journal","volume":"104"},"uris":["http://www.mendeley.com/documents/?uuid=49ef882b-afdb-37e3-a0a8-e23b2d87ce1f"]},{"id":"ITEM-2","itemData":{"DOI":"10.1126/SCIENCE.1235823/SUPPL_FILE/BETTENCOURT.SM.PDF","ISSN":"10959203","PMID":"23788793","abstract":"Despite the increasing importance of cities in human societies, our ability to understand them scientifically and manage them in practice has remained limited. The greatest difficulties to any scientific approach to cities have resulted from their many interdependent facets, as social, economic, infrastructural, and spatial complex systems that exist in similar but changing forms over a huge range of scales. Here, I show how all cities may evolve according to a small set of basic principles that operate locally. A theoretical framework was developed to predict the average social, spatial, and infrastructural properties of cities as a set of scaling relations that apply to all urban systems. Confirmation of these predictions was observed for thousands of cities worldwide, from many urban systems at different levels of development. Measures of urban efficiency, capturing the balance between socioeconomic outputs and infrastructural costs, were shown to be independent of city size and might be a useful means to evaluate urban planning strategies.","author":[{"dropping-particle":"","family":"Bettencourt","given":"Luís M.A.","non-dropping-particle":"","parse-names":false,"suffix":""}],"container-title":"Science","id":"ITEM-2","issue":"6139","issued":{"date-parts":[["2013","6","21"]]},"page":"1438-1441","publisher":"American Association for the Advancement of Science","title":"The origins of scaling in cities","type":"article-journal","volume":"340"},"uris":["http://www.mendeley.com/documents/?uuid=097fd042-4cf3-384e-bd53-04e809b3c6a6"]}],"mendeley":{"formattedCitation":"&lt;sup&gt;7,8&lt;/sup&gt;","plainTextFormattedCitation":"7,8","previouslyFormattedCitation":"(7, 8)"},"properties":{"noteIndex":0},"schema":"https://github.com/citation-style-language/schema/raw/master/csl-citation.json"}</w:instrText>
      </w:r>
      <w:r w:rsidR="00F20DFD" w:rsidRPr="00D679EB">
        <w:rPr>
          <w:rFonts w:ascii="Arial" w:hAnsi="Arial" w:cs="Arial"/>
          <w:sz w:val="20"/>
          <w:szCs w:val="20"/>
        </w:rPr>
        <w:fldChar w:fldCharType="separate"/>
      </w:r>
      <w:r w:rsidR="00502006" w:rsidRPr="00502006">
        <w:rPr>
          <w:rFonts w:ascii="Arial" w:hAnsi="Arial" w:cs="Arial"/>
          <w:noProof/>
          <w:sz w:val="20"/>
          <w:szCs w:val="20"/>
          <w:vertAlign w:val="superscript"/>
        </w:rPr>
        <w:t>7,8</w:t>
      </w:r>
      <w:r w:rsidR="00F20DFD" w:rsidRPr="00D679EB">
        <w:rPr>
          <w:rFonts w:ascii="Arial" w:hAnsi="Arial" w:cs="Arial"/>
          <w:sz w:val="20"/>
          <w:szCs w:val="20"/>
        </w:rPr>
        <w:fldChar w:fldCharType="end"/>
      </w:r>
      <w:r w:rsidR="00126BDA" w:rsidRPr="00AB3C17">
        <w:rPr>
          <w:rFonts w:ascii="Arial" w:hAnsi="Arial" w:cs="Arial"/>
          <w:sz w:val="20"/>
          <w:szCs w:val="20"/>
        </w:rPr>
        <w:t>.</w:t>
      </w:r>
    </w:p>
    <w:p w14:paraId="18E4901F" w14:textId="77777777" w:rsidR="006E6114" w:rsidRPr="00AB3C17" w:rsidRDefault="006E6114" w:rsidP="00524F1F">
      <w:pPr>
        <w:spacing w:after="0" w:line="240" w:lineRule="auto"/>
        <w:jc w:val="both"/>
        <w:rPr>
          <w:rFonts w:ascii="Arial" w:hAnsi="Arial" w:cs="Arial"/>
          <w:sz w:val="20"/>
          <w:szCs w:val="20"/>
        </w:rPr>
      </w:pPr>
    </w:p>
    <w:p w14:paraId="1058888C" w14:textId="0EB84284" w:rsidR="00F77C17" w:rsidRPr="00AB3C17" w:rsidRDefault="009569E2" w:rsidP="00524F1F">
      <w:pPr>
        <w:spacing w:after="0" w:line="240" w:lineRule="auto"/>
        <w:jc w:val="both"/>
        <w:rPr>
          <w:rStyle w:val="Strong"/>
          <w:rFonts w:ascii="Arial" w:hAnsi="Arial" w:cs="Arial"/>
          <w:sz w:val="20"/>
          <w:szCs w:val="20"/>
        </w:rPr>
      </w:pPr>
      <w:r w:rsidRPr="00AB3C17">
        <w:rPr>
          <w:rStyle w:val="Strong"/>
          <w:rFonts w:ascii="Arial" w:hAnsi="Arial" w:cs="Arial"/>
          <w:sz w:val="20"/>
          <w:szCs w:val="20"/>
        </w:rPr>
        <w:t>1.1.3</w:t>
      </w:r>
      <w:r w:rsidR="00F77C17" w:rsidRPr="00AB3C17">
        <w:rPr>
          <w:rStyle w:val="Strong"/>
          <w:rFonts w:ascii="Arial" w:hAnsi="Arial" w:cs="Arial"/>
          <w:sz w:val="20"/>
          <w:szCs w:val="20"/>
        </w:rPr>
        <w:t xml:space="preserve"> City imperviousness ratio</w:t>
      </w:r>
      <m:oMath>
        <m:sSub>
          <m:sSubPr>
            <m:ctrlPr>
              <w:rPr>
                <w:rFonts w:ascii="Cambria Math" w:hAnsi="Cambria Math" w:cs="Arial"/>
                <w:b/>
                <w:bCs/>
                <w:i/>
                <w:sz w:val="20"/>
                <w:szCs w:val="20"/>
              </w:rPr>
            </m:ctrlPr>
          </m:sSubPr>
          <m:e>
            <m:r>
              <m:rPr>
                <m:sty m:val="bi"/>
              </m:rPr>
              <w:rPr>
                <w:rFonts w:ascii="Cambria Math" w:hAnsi="Cambria Math" w:cs="Arial"/>
                <w:sz w:val="20"/>
                <w:szCs w:val="20"/>
              </w:rPr>
              <m:t xml:space="preserve"> (C</m:t>
            </m:r>
          </m:e>
          <m:sub>
            <m:r>
              <m:rPr>
                <m:sty m:val="bi"/>
              </m:rPr>
              <w:rPr>
                <w:rFonts w:ascii="Cambria Math" w:hAnsi="Cambria Math" w:cs="Arial"/>
                <w:sz w:val="20"/>
                <w:szCs w:val="20"/>
              </w:rPr>
              <m:t>IR</m:t>
            </m:r>
          </m:sub>
        </m:sSub>
        <m:r>
          <m:rPr>
            <m:sty m:val="bi"/>
          </m:rPr>
          <w:rPr>
            <w:rFonts w:ascii="Cambria Math" w:hAnsi="Cambria Math" w:cs="Arial"/>
            <w:sz w:val="20"/>
            <w:szCs w:val="20"/>
          </w:rPr>
          <m:t>)</m:t>
        </m:r>
      </m:oMath>
      <w:r w:rsidR="00F77C17" w:rsidRPr="00AB3C17">
        <w:rPr>
          <w:rStyle w:val="Strong"/>
          <w:rFonts w:ascii="Arial" w:hAnsi="Arial" w:cs="Arial"/>
          <w:sz w:val="20"/>
          <w:szCs w:val="20"/>
        </w:rPr>
        <w:t xml:space="preserve"> </w:t>
      </w:r>
    </w:p>
    <w:p w14:paraId="2F7B136A" w14:textId="09727905" w:rsidR="00F77C17" w:rsidRPr="00AB3C17" w:rsidRDefault="00F77C17" w:rsidP="00524F1F">
      <w:pPr>
        <w:spacing w:after="0" w:line="240" w:lineRule="auto"/>
        <w:jc w:val="both"/>
        <w:rPr>
          <w:rFonts w:ascii="Arial" w:hAnsi="Arial" w:cs="Arial"/>
          <w:sz w:val="20"/>
          <w:szCs w:val="20"/>
        </w:rPr>
      </w:pPr>
      <w:r w:rsidRPr="00AB3C17">
        <w:rPr>
          <w:rFonts w:ascii="Arial" w:hAnsi="Arial" w:cs="Arial"/>
          <w:sz w:val="20"/>
          <w:szCs w:val="20"/>
        </w:rPr>
        <w:t xml:space="preserve">The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H</m:t>
            </m:r>
          </m:sub>
        </m:sSub>
        <m:r>
          <w:rPr>
            <w:rFonts w:ascii="Cambria Math" w:hAnsi="Cambria Math" w:cs="Arial"/>
            <w:sz w:val="20"/>
            <w:szCs w:val="20"/>
          </w:rPr>
          <m:t>)</m:t>
        </m:r>
      </m:oMath>
      <w:r w:rsidRPr="00AB3C17">
        <w:rPr>
          <w:rFonts w:ascii="Arial" w:hAnsi="Arial" w:cs="Arial"/>
          <w:sz w:val="20"/>
          <w:szCs w:val="20"/>
        </w:rPr>
        <w:t xml:space="preserve"> measures the overall urban extent and built-up area coverage for a city, but all the urban built landcovers are not consisting of impervious surfaces or actual buildings.  In this context, we define the urban imperviousness ratio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IR</m:t>
            </m:r>
          </m:sub>
        </m:sSub>
        <m:r>
          <w:rPr>
            <w:rFonts w:ascii="Cambria Math" w:hAnsi="Cambria Math" w:cs="Arial"/>
            <w:sz w:val="20"/>
            <w:szCs w:val="20"/>
          </w:rPr>
          <m:t>)</m:t>
        </m:r>
      </m:oMath>
      <w:r w:rsidRPr="00AB3C17">
        <w:rPr>
          <w:rFonts w:ascii="Arial" w:hAnsi="Arial" w:cs="Arial"/>
          <w:sz w:val="20"/>
          <w:szCs w:val="20"/>
        </w:rPr>
        <w:t xml:space="preserve"> as the actual built ground coverage relative to the overall urban land cover for a specific urban neighborhood. This ratio reflects the share of the area covered by buildings and paved surfaces in relation to the density of buildings within the urban core (typically a 5 km radius from the city centroid).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IR</m:t>
            </m:r>
          </m:sub>
        </m:sSub>
        <m:r>
          <w:rPr>
            <w:rFonts w:ascii="Cambria Math" w:hAnsi="Cambria Math" w:cs="Arial"/>
            <w:sz w:val="20"/>
            <w:szCs w:val="20"/>
          </w:rPr>
          <m:t>)</m:t>
        </m:r>
      </m:oMath>
      <w:r w:rsidRPr="00AB3C17">
        <w:rPr>
          <w:rFonts w:ascii="Arial" w:hAnsi="Arial" w:cs="Arial"/>
          <w:sz w:val="20"/>
          <w:szCs w:val="20"/>
        </w:rPr>
        <w:t xml:space="preserve"> serves as a proxy for city core imperviousness by incorporating both building and paved surface coverage. For this purpose, Google-Open Buildings V3 Polygons data set (</w:t>
      </w:r>
      <w:hyperlink r:id="rId12" w:history="1">
        <w:r w:rsidRPr="00AB3C17">
          <w:rPr>
            <w:rStyle w:val="Hyperlink"/>
            <w:rFonts w:ascii="Arial" w:hAnsi="Arial" w:cs="Arial"/>
            <w:sz w:val="20"/>
            <w:szCs w:val="20"/>
          </w:rPr>
          <w:t>https://sites.research.google/gr/open-buildings/</w:t>
        </w:r>
      </w:hyperlink>
      <w:r w:rsidRPr="00AB3C17">
        <w:rPr>
          <w:rFonts w:ascii="Arial" w:hAnsi="Arial" w:cs="Arial"/>
          <w:sz w:val="20"/>
          <w:szCs w:val="20"/>
        </w:rPr>
        <w:t>) is used</w:t>
      </w:r>
      <w:r w:rsidRPr="00AB3C17">
        <w:rPr>
          <w:rFonts w:ascii="Arial" w:hAnsi="Arial" w:cs="Arial"/>
          <w:sz w:val="20"/>
          <w:szCs w:val="20"/>
        </w:rPr>
        <w:fldChar w:fldCharType="begin" w:fldLock="1"/>
      </w:r>
      <w:r w:rsidR="00502006">
        <w:rPr>
          <w:rFonts w:ascii="Arial" w:hAnsi="Arial" w:cs="Arial"/>
          <w:sz w:val="20"/>
          <w:szCs w:val="20"/>
        </w:rPr>
        <w:instrText>ADDIN CSL_CITATION {"citationItems":[{"id":"ITEM-1","itemData":{"abstract":"Identifying the locations and footprints of buildings is vital for many practical and scientific purposes. Such information can be particularly useful in developing regions where alternative data sources may be scarce. In this work, we describe a model training pipeline for detecting buildings across the entire continent of Africa, using 50 cm satellite imagery. Starting with the U-Net model, widely used in satellite image analysis, we study variations in architecture, loss functions, regularization, pre-training, self-training and post-processing that increase instance segmentation performance. Experiments were carried out using a dataset of 100k satellite images across Africa containing 1.75M manually labelled building instances, and further datasets for pre-training and self-training. We report novel methods for improving performance of building detection with this type of model, including the use of mixup (mAP +0.12) and self-training with soft KL loss (mAP +0.06). The resulting pipeline obtains good results even on a wide variety of challenging rural and urban contexts, and was used to create the Open Buildings dataset of 516M Africa-wide detected footprints.","author":[{"dropping-particle":"","family":"Sirko","given":"Wojciech","non-dropping-particle":"","parse-names":false,"suffix":""},{"dropping-particle":"","family":"Kashubin","given":"Sergii","non-dropping-particle":"","parse-names":false,"suffix":""},{"dropping-particle":"","family":"Ritter","given":"Marvin","non-dropping-particle":"","parse-names":false,"suffix":""},{"dropping-particle":"","family":"Annkah","given":"Abigail","non-dropping-particle":"","parse-names":false,"suffix":""},{"dropping-particle":"","family":"Bouchareb","given":"Yasser Salah Eddine","non-dropping-particle":"","parse-names":false,"suffix":""},{"dropping-particle":"","family":"Dauphin","given":"Yann","non-dropping-particle":"","parse-names":false,"suffix":""},{"dropping-particle":"","family":"Keysers","given":"Daniel","non-dropping-particle":"","parse-names":false,"suffix":""},{"dropping-particle":"","family":"Neumann","given":"Maxim","non-dropping-particle":"","parse-names":false,"suffix":""},{"dropping-particle":"","family":"Cisse","given":"Moustapha","non-dropping-particle":"","parse-names":false,"suffix":""},{"dropping-particle":"","family":"Quinn","given":"John","non-dropping-particle":"","parse-names":false,"suffix":""}],"id":"ITEM-1","issued":{"date-parts":[["2021","7","26"]]},"title":"Continental-Scale Building Detection from High Resolution Satellite Imagery","type":"article-journal"},"uris":["http://www.mendeley.com/documents/?uuid=e3b53374-7fe0-34b5-91a9-a6b07d5bfe95"]},{"id":"ITEM-2","itemData":{"URL":"https://developers.google.com/earth-engine/datasets/catalog/GOOGLE_Research_open-buildings_v3_polygons","accessed":{"date-parts":[["2024","9","25"]]},"id":"ITEM-2","issued":{"date-parts":[["0"]]},"title":"Open Buildings V3 Polygons  |  Earth Engine Data Catalog  |  Google for Developers","type":"webpage"},"uris":["http://www.mendeley.com/documents/?uuid=37119b4e-3146-3632-a4c7-a4825651fb2d"]}],"mendeley":{"formattedCitation":"&lt;sup&gt;9,10&lt;/sup&gt;","plainTextFormattedCitation":"9,10","previouslyFormattedCitation":"(9, 10)"},"properties":{"noteIndex":0},"schema":"https://github.com/citation-style-language/schema/raw/master/csl-citation.json"}</w:instrText>
      </w:r>
      <w:r w:rsidRPr="00AB3C17">
        <w:rPr>
          <w:rFonts w:ascii="Arial" w:hAnsi="Arial" w:cs="Arial"/>
          <w:sz w:val="20"/>
          <w:szCs w:val="20"/>
        </w:rPr>
        <w:fldChar w:fldCharType="separate"/>
      </w:r>
      <w:r w:rsidR="00502006" w:rsidRPr="00502006">
        <w:rPr>
          <w:rFonts w:ascii="Arial" w:hAnsi="Arial" w:cs="Arial"/>
          <w:noProof/>
          <w:sz w:val="20"/>
          <w:szCs w:val="20"/>
          <w:vertAlign w:val="superscript"/>
        </w:rPr>
        <w:t>9,10</w:t>
      </w:r>
      <w:r w:rsidRPr="00AB3C17">
        <w:rPr>
          <w:rFonts w:ascii="Arial" w:hAnsi="Arial" w:cs="Arial"/>
          <w:sz w:val="20"/>
          <w:szCs w:val="20"/>
        </w:rPr>
        <w:fldChar w:fldCharType="end"/>
      </w:r>
      <w:r w:rsidRPr="00AB3C17">
        <w:rPr>
          <w:rFonts w:ascii="Arial" w:hAnsi="Arial" w:cs="Arial"/>
          <w:sz w:val="20"/>
          <w:szCs w:val="20"/>
        </w:rPr>
        <w:t xml:space="preserve">. This estimation also provides insights into the density and horizontal extent of built-up areas within the city core. </w:t>
      </w:r>
    </w:p>
    <w:p w14:paraId="27EFF609" w14:textId="77777777" w:rsidR="00CA3834" w:rsidRPr="00AB3C17" w:rsidRDefault="00CA3834" w:rsidP="00524F1F">
      <w:pPr>
        <w:spacing w:after="0" w:line="240" w:lineRule="auto"/>
        <w:jc w:val="both"/>
        <w:rPr>
          <w:rFonts w:ascii="Arial" w:hAnsi="Arial" w:cs="Arial"/>
          <w:sz w:val="20"/>
          <w:szCs w:val="20"/>
        </w:rPr>
      </w:pPr>
    </w:p>
    <w:p w14:paraId="15F22C42" w14:textId="4DDC744E" w:rsidR="00F63FD1" w:rsidRPr="00AB3C17" w:rsidRDefault="00F63FD1" w:rsidP="00524F1F">
      <w:pPr>
        <w:spacing w:after="0" w:line="240" w:lineRule="auto"/>
        <w:jc w:val="both"/>
        <w:rPr>
          <w:rFonts w:ascii="Arial" w:hAnsi="Arial" w:cs="Arial"/>
          <w:sz w:val="20"/>
          <w:szCs w:val="20"/>
        </w:rPr>
      </w:pPr>
      <w:r w:rsidRPr="00AB3C17">
        <w:rPr>
          <w:rStyle w:val="Strong"/>
          <w:rFonts w:ascii="Arial" w:hAnsi="Arial" w:cs="Arial"/>
          <w:sz w:val="20"/>
          <w:szCs w:val="20"/>
        </w:rPr>
        <w:t>1.1.4</w:t>
      </w:r>
      <w:r w:rsidRPr="00AB3C17">
        <w:rPr>
          <w:rFonts w:ascii="Arial" w:hAnsi="Arial" w:cs="Arial"/>
          <w:b/>
          <w:bCs/>
          <w:sz w:val="20"/>
          <w:szCs w:val="20"/>
        </w:rPr>
        <w:t xml:space="preserve"> City vertical extent data </w:t>
      </w:r>
      <m:oMath>
        <m:sSub>
          <m:sSubPr>
            <m:ctrlPr>
              <w:rPr>
                <w:rFonts w:ascii="Cambria Math" w:hAnsi="Cambria Math" w:cs="Arial"/>
                <w:b/>
                <w:bCs/>
                <w:i/>
                <w:sz w:val="20"/>
                <w:szCs w:val="20"/>
              </w:rPr>
            </m:ctrlPr>
          </m:sSubPr>
          <m:e>
            <m:r>
              <m:rPr>
                <m:sty m:val="bi"/>
              </m:rPr>
              <w:rPr>
                <w:rFonts w:ascii="Cambria Math" w:hAnsi="Cambria Math" w:cs="Arial"/>
                <w:sz w:val="20"/>
                <w:szCs w:val="20"/>
              </w:rPr>
              <m:t>(C</m:t>
            </m:r>
          </m:e>
          <m:sub>
            <m:r>
              <m:rPr>
                <m:sty m:val="bi"/>
              </m:rPr>
              <w:rPr>
                <w:rFonts w:ascii="Cambria Math" w:hAnsi="Cambria Math" w:cs="Arial"/>
                <w:sz w:val="20"/>
                <w:szCs w:val="20"/>
              </w:rPr>
              <m:t>V</m:t>
            </m:r>
          </m:sub>
        </m:sSub>
        <m:r>
          <m:rPr>
            <m:sty m:val="bi"/>
          </m:rPr>
          <w:rPr>
            <w:rFonts w:ascii="Cambria Math" w:hAnsi="Cambria Math" w:cs="Arial"/>
            <w:sz w:val="20"/>
            <w:szCs w:val="20"/>
          </w:rPr>
          <m:t>)</m:t>
        </m:r>
      </m:oMath>
      <w:r w:rsidR="00DA3ECC" w:rsidRPr="00AB3C17">
        <w:rPr>
          <w:rFonts w:ascii="Arial" w:eastAsiaTheme="minorEastAsia" w:hAnsi="Arial" w:cs="Arial"/>
          <w:b/>
          <w:sz w:val="20"/>
          <w:szCs w:val="20"/>
        </w:rPr>
        <w:t xml:space="preserve"> and its annual growth</w:t>
      </w:r>
    </w:p>
    <w:p w14:paraId="5C939341" w14:textId="0CEFD19E" w:rsidR="00291BE1" w:rsidRDefault="00F63FD1" w:rsidP="00524F1F">
      <w:pPr>
        <w:spacing w:after="0" w:line="240" w:lineRule="auto"/>
        <w:jc w:val="both"/>
        <w:rPr>
          <w:rFonts w:ascii="Arial" w:hAnsi="Arial" w:cs="Arial"/>
          <w:sz w:val="20"/>
          <w:szCs w:val="20"/>
        </w:rPr>
      </w:pPr>
      <w:r w:rsidRPr="00AB3C17">
        <w:rPr>
          <w:rFonts w:ascii="Arial" w:hAnsi="Arial" w:cs="Arial"/>
          <w:sz w:val="20"/>
          <w:szCs w:val="20"/>
        </w:rPr>
        <w:t xml:space="preserve">The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V</m:t>
            </m:r>
          </m:sub>
        </m:sSub>
      </m:oMath>
      <w:r w:rsidRPr="00AB3C17">
        <w:rPr>
          <w:rFonts w:ascii="Arial" w:hAnsi="Arial" w:cs="Arial"/>
          <w:sz w:val="20"/>
          <w:szCs w:val="20"/>
        </w:rPr>
        <w:t xml:space="preserve"> metric measures the vertical rise distribution of buildings within the average urban extent of cities and is a key parameter for assessing volumetric urban growth in association with urban horizontal extent (C</w:t>
      </w:r>
      <w:r w:rsidRPr="00AB3C17">
        <w:rPr>
          <w:rFonts w:ascii="Arial" w:hAnsi="Arial" w:cs="Arial"/>
          <w:sz w:val="20"/>
          <w:szCs w:val="20"/>
          <w:vertAlign w:val="subscript"/>
        </w:rPr>
        <w:t>BU</w:t>
      </w:r>
      <w:r w:rsidRPr="00AB3C17">
        <w:rPr>
          <w:rFonts w:ascii="Arial" w:hAnsi="Arial" w:cs="Arial"/>
          <w:sz w:val="20"/>
          <w:szCs w:val="20"/>
        </w:rPr>
        <w:t>). The GHS Built-Up Height (R2023) dataset (</w:t>
      </w:r>
      <w:hyperlink r:id="rId13" w:history="1">
        <w:r w:rsidRPr="00AB3C17">
          <w:rPr>
            <w:rStyle w:val="Hyperlink"/>
            <w:rFonts w:ascii="Arial" w:hAnsi="Arial" w:cs="Arial"/>
            <w:sz w:val="20"/>
            <w:szCs w:val="20"/>
          </w:rPr>
          <w:t>https://human-settlement.emergency.copernicus.eu/index.php</w:t>
        </w:r>
      </w:hyperlink>
      <w:r w:rsidRPr="00AB3C17">
        <w:rPr>
          <w:rFonts w:ascii="Arial" w:hAnsi="Arial" w:cs="Arial"/>
          <w:sz w:val="20"/>
          <w:szCs w:val="20"/>
        </w:rPr>
        <w:t xml:space="preserve">) from the Global Human Settlement Layer (GHSL) </w:t>
      </w:r>
      <w:r w:rsidRPr="00AB3C17">
        <w:rPr>
          <w:rFonts w:ascii="Arial" w:hAnsi="Arial" w:cs="Arial"/>
          <w:sz w:val="20"/>
          <w:szCs w:val="20"/>
        </w:rPr>
        <w:fldChar w:fldCharType="begin" w:fldLock="1"/>
      </w:r>
      <w:r w:rsidR="00502006">
        <w:rPr>
          <w:rFonts w:ascii="Arial" w:hAnsi="Arial" w:cs="Arial"/>
          <w:sz w:val="20"/>
          <w:szCs w:val="20"/>
        </w:rPr>
        <w:instrText>ADDIN CSL_CITATION {"citationItems":[{"id":"ITEM-1","itemData":{"URL":"https://human-settlement.emergency.copernicus.eu/index.php","accessed":{"date-parts":[["2024","9","28"]]},"id":"ITEM-1","issued":{"date-parts":[["0"]]},"title":"Global Human Settlement - GHSL Homepage - European Commission","type":"webpage"},"uris":["http://www.mendeley.com/documents/?uuid=6c01f421-33d8-35e1-af37-d6649b4a8c90"]}],"mendeley":{"formattedCitation":"&lt;sup&gt;11&lt;/sup&gt;","plainTextFormattedCitation":"11","previouslyFormattedCitation":"(11)"},"properties":{"noteIndex":0},"schema":"https://github.com/citation-style-language/schema/raw/master/csl-citation.json"}</w:instrText>
      </w:r>
      <w:r w:rsidRPr="00AB3C17">
        <w:rPr>
          <w:rFonts w:ascii="Arial" w:hAnsi="Arial" w:cs="Arial"/>
          <w:sz w:val="20"/>
          <w:szCs w:val="20"/>
        </w:rPr>
        <w:fldChar w:fldCharType="separate"/>
      </w:r>
      <w:r w:rsidR="00502006" w:rsidRPr="00502006">
        <w:rPr>
          <w:rFonts w:ascii="Arial" w:hAnsi="Arial" w:cs="Arial"/>
          <w:noProof/>
          <w:sz w:val="20"/>
          <w:szCs w:val="20"/>
          <w:vertAlign w:val="superscript"/>
        </w:rPr>
        <w:t>11</w:t>
      </w:r>
      <w:r w:rsidRPr="00AB3C17">
        <w:rPr>
          <w:rFonts w:ascii="Arial" w:hAnsi="Arial" w:cs="Arial"/>
          <w:sz w:val="20"/>
          <w:szCs w:val="20"/>
        </w:rPr>
        <w:fldChar w:fldCharType="end"/>
      </w:r>
      <w:r w:rsidRPr="00AB3C17">
        <w:rPr>
          <w:rFonts w:ascii="Arial" w:hAnsi="Arial" w:cs="Arial"/>
          <w:sz w:val="20"/>
          <w:szCs w:val="20"/>
        </w:rPr>
        <w:t xml:space="preserve"> were used , which includes the average </w:t>
      </w:r>
      <w:r w:rsidR="00F646F8" w:rsidRPr="00AB3C17">
        <w:rPr>
          <w:rFonts w:ascii="Arial" w:hAnsi="Arial" w:cs="Arial"/>
          <w:sz w:val="20"/>
          <w:szCs w:val="20"/>
        </w:rPr>
        <w:t xml:space="preserve">net </w:t>
      </w:r>
      <w:r w:rsidRPr="00AB3C17">
        <w:rPr>
          <w:rFonts w:ascii="Arial" w:hAnsi="Arial" w:cs="Arial"/>
          <w:sz w:val="20"/>
          <w:szCs w:val="20"/>
        </w:rPr>
        <w:t xml:space="preserve">building height. The spatial raster dataset represents building heights derived from global digital elevation models (ALOS AW3D30 and SRTM30) and refined using shadow markers from Sentinel-2 imagery (2018 composite). Linear regression techniques were applied to filter and update the extracted heights for accurate spatial distribution. Four sub-features: i.e.,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V(0-25)</m:t>
            </m:r>
          </m:sub>
        </m:sSub>
      </m:oMath>
      <w:r w:rsidRPr="00AB3C17">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V(25-50)</m:t>
            </m:r>
          </m:sub>
        </m:sSub>
      </m:oMath>
      <w:r w:rsidRPr="00AB3C17">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V(50-75)</m:t>
            </m:r>
          </m:sub>
        </m:sSub>
      </m:oMath>
      <w:r w:rsidRPr="00AB3C17">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V(75-100)</m:t>
            </m:r>
          </m:sub>
        </m:sSub>
      </m:oMath>
      <w:r w:rsidRPr="00AB3C17">
        <w:rPr>
          <w:rFonts w:ascii="Arial" w:hAnsi="Arial" w:cs="Arial"/>
          <w:sz w:val="20"/>
          <w:szCs w:val="20"/>
        </w:rPr>
        <w:t xml:space="preserve"> were used to analyses the distribution of city vertical rise</w:t>
      </w:r>
      <w:r w:rsidR="009B76B8" w:rsidRPr="00AB3C17">
        <w:rPr>
          <w:rFonts w:ascii="Arial" w:hAnsi="Arial" w:cs="Arial"/>
          <w:sz w:val="20"/>
          <w:szCs w:val="20"/>
        </w:rPr>
        <w:t xml:space="preserve"> thresholds</w:t>
      </w:r>
      <w:r w:rsidRPr="00AB3C17">
        <w:rPr>
          <w:rFonts w:ascii="Arial" w:hAnsi="Arial" w:cs="Arial"/>
          <w:sz w:val="20"/>
          <w:szCs w:val="20"/>
        </w:rPr>
        <w:t xml:space="preserve"> based on the percentile shares, representing the 0th to 25th, 25th to 50th, 50th to 75th, and 75th to 100th percentiles, respectively.</w:t>
      </w:r>
      <w:r w:rsidR="00F646F8" w:rsidRPr="00D679EB">
        <w:rPr>
          <w:rFonts w:ascii="Arial" w:hAnsi="Arial" w:cs="Arial"/>
          <w:sz w:val="20"/>
          <w:szCs w:val="20"/>
        </w:rPr>
        <w:t xml:space="preserve"> When </w:t>
      </w:r>
      <w:r w:rsidR="00F646F8" w:rsidRPr="00AB3C17">
        <w:rPr>
          <w:rFonts w:ascii="Arial" w:hAnsi="Arial" w:cs="Arial"/>
          <w:sz w:val="20"/>
          <w:szCs w:val="20"/>
        </w:rPr>
        <w:t>analyzing</w:t>
      </w:r>
      <w:r w:rsidR="00F646F8" w:rsidRPr="00D679EB">
        <w:rPr>
          <w:rFonts w:ascii="Arial" w:hAnsi="Arial" w:cs="Arial"/>
          <w:sz w:val="20"/>
          <w:szCs w:val="20"/>
        </w:rPr>
        <w:t xml:space="preserve"> the vertical rise of cities, data is often organized into percentiles to understand the distribution of building heights rather than taking averages within the city-lateral extent</w:t>
      </w:r>
      <w:r w:rsidR="00F646F8" w:rsidRPr="00D679EB">
        <w:rPr>
          <w:rFonts w:ascii="Arial" w:hAnsi="Arial" w:cs="Arial"/>
          <w:sz w:val="20"/>
          <w:szCs w:val="20"/>
        </w:rPr>
        <w:fldChar w:fldCharType="begin" w:fldLock="1"/>
      </w:r>
      <w:r w:rsidR="00502006">
        <w:rPr>
          <w:rFonts w:ascii="Arial" w:hAnsi="Arial" w:cs="Arial"/>
          <w:sz w:val="20"/>
          <w:szCs w:val="20"/>
        </w:rPr>
        <w:instrText xml:space="preserve">ADDIN CSL_CITATION {"citationItems":[{"id":"ITEM-1","itemData":{"DOI":"10.1073/PNAS.2214813119/SUPPL_FILE/PNAS.2214813119.SAPP.PDF","ISSN":"10916490","PMID":"36343227","abstract":"Information on urban built-up infrastructure is essential to understand the role of cities in shaping environmental, economic, and social outcomes. The lack of data on built-up heights over large areas has limited our ability to characterize urban infrastructure and its spatial variations across the world. Here, we developed a global atlas of urban built-up heights circa 2015 at 500-m resolution from the Sentinel-1 Ground Range Detected satellite data. Results show extreme gaps in per capita urban built-up infrastructure in the Global South compared with the global average, and even larger gaps compared with the average levels in the Global North. Per capita urban built-up infrastructures in some countries in the Global North are more than 30 times higher than those in the Global South. The results also show that the built-up infrastructure in 45 countries in the Global North combined, with </w:instrText>
      </w:r>
      <w:r w:rsidR="00502006">
        <w:rPr>
          <w:rFonts w:ascii="Cambria Math" w:hAnsi="Cambria Math" w:cs="Cambria Math"/>
          <w:sz w:val="20"/>
          <w:szCs w:val="20"/>
        </w:rPr>
        <w:instrText>∼</w:instrText>
      </w:r>
      <w:r w:rsidR="00502006">
        <w:rPr>
          <w:rFonts w:ascii="Arial" w:hAnsi="Arial" w:cs="Arial"/>
          <w:sz w:val="20"/>
          <w:szCs w:val="20"/>
        </w:rPr>
        <w:instrText xml:space="preserve">16% of the global population, is roughly equivalent to that of 114 countries in the Global South, with </w:instrText>
      </w:r>
      <w:r w:rsidR="00502006">
        <w:rPr>
          <w:rFonts w:ascii="Cambria Math" w:hAnsi="Cambria Math" w:cs="Cambria Math"/>
          <w:sz w:val="20"/>
          <w:szCs w:val="20"/>
        </w:rPr>
        <w:instrText>∼</w:instrText>
      </w:r>
      <w:r w:rsidR="00502006">
        <w:rPr>
          <w:rFonts w:ascii="Arial" w:hAnsi="Arial" w:cs="Arial"/>
          <w:sz w:val="20"/>
          <w:szCs w:val="20"/>
        </w:rPr>
        <w:instrText>74% of the global population. The inequality in urban built-up infrastructure, as measured by an inequality index, is large in most countries, but the largest in the Global South compared with the Global North. Our analysis reveals the scale of infrastructure demand in the Global South that is required in order to meet sustainable development goals.","author":[{"dropping-particle":"","family":"Zhou","given":"Yuyu","non-dropping-particle":"","parse-names":false,"suffix":""},{"dropping-particle":"","family":"Li","given":"Xuecao","non-dropping-particle":"","parse-names":false,"suffix":""},{"dropping-particle":"","family":"Chen","given":"Wei","non-dropping-particle":"","parse-names":false,"suffix":""},{"dropping-particle":"","family":"Meng","given":"Lin","non-dropping-particle":"","parse-names":false,"suffix":""},{"dropping-particle":"","family":"Wu","given":"Qiusheng","non-dropping-particle":"","parse-names":false,"suffix":""},{"dropping-particle":"","family":"Gong","given":"Peng","non-dropping-particle":"","parse-names":false,"suffix":""},{"dropping-particle":"","family":"Seto","given":"Karen C.","non-dropping-particle":"","parse-names":false,"suffix":""}],"container-title":"Proceedings of the National Academy of Sciences of the United States of America","id":"ITEM-1","issue":"46","issued":{"date-parts":[["2022","11","15"]]},"page":"e2214813119","publisher":"National Academy of Sciences","title":"Satellite mapping of urban built-up heights reveals extreme infrastructure gaps and inequalities in the Global South","type":"article-journal","volume":"119"},"uris":["http://www.mendeley.com/documents/?uuid=ad78c3df-de7a-44e0-9299-f1a577edfc38"]}],"mendeley":{"formattedCitation":"&lt;sup&gt;12&lt;/sup&gt;","plainTextFormattedCitation":"12","previouslyFormattedCitation":"(12)"},"properties":{"noteIndex":0},"schema":"https://github.com/citation-style-language/schema/raw/master/csl-citation.json"}</w:instrText>
      </w:r>
      <w:r w:rsidR="00F646F8" w:rsidRPr="00D679EB">
        <w:rPr>
          <w:rFonts w:ascii="Arial" w:hAnsi="Arial" w:cs="Arial"/>
          <w:sz w:val="20"/>
          <w:szCs w:val="20"/>
        </w:rPr>
        <w:fldChar w:fldCharType="separate"/>
      </w:r>
      <w:r w:rsidR="00502006" w:rsidRPr="00502006">
        <w:rPr>
          <w:rFonts w:ascii="Arial" w:hAnsi="Arial" w:cs="Arial"/>
          <w:noProof/>
          <w:sz w:val="20"/>
          <w:szCs w:val="20"/>
          <w:vertAlign w:val="superscript"/>
        </w:rPr>
        <w:t>12</w:t>
      </w:r>
      <w:r w:rsidR="00F646F8" w:rsidRPr="00D679EB">
        <w:rPr>
          <w:rFonts w:ascii="Arial" w:hAnsi="Arial" w:cs="Arial"/>
          <w:sz w:val="20"/>
          <w:szCs w:val="20"/>
        </w:rPr>
        <w:fldChar w:fldCharType="end"/>
      </w:r>
      <w:r w:rsidR="00F646F8" w:rsidRPr="00D679EB">
        <w:rPr>
          <w:rFonts w:ascii="Arial" w:hAnsi="Arial" w:cs="Arial"/>
          <w:sz w:val="20"/>
          <w:szCs w:val="20"/>
        </w:rPr>
        <w:t>.</w:t>
      </w:r>
    </w:p>
    <w:p w14:paraId="47151700" w14:textId="77777777" w:rsidR="006D3BDA" w:rsidRPr="00AB3C17" w:rsidRDefault="006D3BDA" w:rsidP="00524F1F">
      <w:pPr>
        <w:spacing w:after="0" w:line="240" w:lineRule="auto"/>
        <w:jc w:val="both"/>
        <w:rPr>
          <w:rFonts w:ascii="Arial" w:hAnsi="Arial" w:cs="Arial"/>
          <w:sz w:val="20"/>
          <w:szCs w:val="20"/>
        </w:rPr>
      </w:pPr>
    </w:p>
    <w:p w14:paraId="17BEDDB6" w14:textId="1D66B093" w:rsidR="00291BE1" w:rsidRPr="00AB3C17" w:rsidRDefault="00291BE1" w:rsidP="00291BE1">
      <w:pPr>
        <w:spacing w:after="0" w:line="240" w:lineRule="auto"/>
        <w:jc w:val="both"/>
        <w:rPr>
          <w:rFonts w:ascii="Arial" w:hAnsi="Arial" w:cs="Arial"/>
          <w:b/>
          <w:bCs/>
          <w:sz w:val="20"/>
          <w:szCs w:val="20"/>
        </w:rPr>
      </w:pPr>
      <w:r w:rsidRPr="00AB3C17">
        <w:rPr>
          <w:rStyle w:val="Strong"/>
          <w:rFonts w:ascii="Arial" w:hAnsi="Arial" w:cs="Arial"/>
          <w:sz w:val="20"/>
          <w:szCs w:val="20"/>
        </w:rPr>
        <w:t>1.1.5</w:t>
      </w:r>
      <w:r w:rsidRPr="00AB3C17">
        <w:rPr>
          <w:rFonts w:ascii="Arial" w:hAnsi="Arial" w:cs="Arial"/>
          <w:b/>
          <w:bCs/>
          <w:sz w:val="20"/>
          <w:szCs w:val="20"/>
        </w:rPr>
        <w:t xml:space="preserve"> Population Rise data </w:t>
      </w:r>
      <m:oMath>
        <m:sSub>
          <m:sSubPr>
            <m:ctrlPr>
              <w:rPr>
                <w:rFonts w:ascii="Cambria Math" w:hAnsi="Cambria Math" w:cs="Arial"/>
                <w:b/>
                <w:bCs/>
                <w:i/>
                <w:sz w:val="20"/>
                <w:szCs w:val="20"/>
              </w:rPr>
            </m:ctrlPr>
          </m:sSubPr>
          <m:e>
            <m:r>
              <m:rPr>
                <m:sty m:val="bi"/>
              </m:rPr>
              <w:rPr>
                <w:rFonts w:ascii="Cambria Math" w:hAnsi="Cambria Math" w:cs="Arial"/>
                <w:sz w:val="20"/>
                <w:szCs w:val="20"/>
              </w:rPr>
              <m:t>(C</m:t>
            </m:r>
          </m:e>
          <m:sub>
            <m:r>
              <m:rPr>
                <m:sty m:val="bi"/>
              </m:rPr>
              <w:rPr>
                <w:rFonts w:ascii="Cambria Math" w:hAnsi="Cambria Math" w:cs="Arial"/>
                <w:sz w:val="20"/>
                <w:szCs w:val="20"/>
              </w:rPr>
              <m:t>P</m:t>
            </m:r>
          </m:sub>
        </m:sSub>
        <m:r>
          <m:rPr>
            <m:sty m:val="bi"/>
          </m:rPr>
          <w:rPr>
            <w:rFonts w:ascii="Cambria Math" w:hAnsi="Cambria Math" w:cs="Arial"/>
            <w:sz w:val="20"/>
            <w:szCs w:val="20"/>
          </w:rPr>
          <m:t>)</m:t>
        </m:r>
      </m:oMath>
    </w:p>
    <w:p w14:paraId="104C5C12" w14:textId="368E610A" w:rsidR="00291BE1" w:rsidRPr="00DF014C" w:rsidRDefault="00291BE1" w:rsidP="00291BE1">
      <w:pPr>
        <w:spacing w:after="0" w:line="240" w:lineRule="auto"/>
        <w:jc w:val="both"/>
        <w:rPr>
          <w:rFonts w:ascii="Arial" w:hAnsi="Arial" w:cs="Arial"/>
          <w:b/>
          <w:bCs/>
          <w:sz w:val="20"/>
          <w:szCs w:val="20"/>
        </w:rPr>
      </w:pPr>
      <w:r w:rsidRPr="00AB3C17">
        <w:rPr>
          <w:rFonts w:ascii="Arial" w:hAnsi="Arial" w:cs="Arial"/>
          <w:sz w:val="20"/>
          <w:szCs w:val="20"/>
        </w:rPr>
        <w:t>The population dataset for the period 2002-2023 was sourced from the Oak Ridge National Laboratory dataset (</w:t>
      </w:r>
      <w:hyperlink r:id="rId14" w:history="1">
        <w:r w:rsidRPr="00AB3C17">
          <w:rPr>
            <w:rStyle w:val="Hyperlink"/>
            <w:rFonts w:ascii="Arial" w:hAnsi="Arial" w:cs="Arial"/>
            <w:sz w:val="20"/>
            <w:szCs w:val="20"/>
          </w:rPr>
          <w:t>https://landscan.ornl.gov/</w:t>
        </w:r>
      </w:hyperlink>
      <w:r w:rsidRPr="00AB3C17">
        <w:rPr>
          <w:rFonts w:ascii="Arial" w:hAnsi="Arial" w:cs="Arial"/>
          <w:sz w:val="20"/>
          <w:szCs w:val="20"/>
        </w:rPr>
        <w:t>). These datasets, original</w:t>
      </w:r>
      <w:r w:rsidR="00DA3ECC" w:rsidRPr="00AB3C17">
        <w:rPr>
          <w:rFonts w:ascii="Arial" w:hAnsi="Arial" w:cs="Arial"/>
          <w:sz w:val="20"/>
          <w:szCs w:val="20"/>
        </w:rPr>
        <w:t xml:space="preserve">ly is in </w:t>
      </w:r>
      <w:r w:rsidRPr="00AB3C17">
        <w:rPr>
          <w:rFonts w:ascii="Arial" w:hAnsi="Arial" w:cs="Arial"/>
          <w:sz w:val="20"/>
          <w:szCs w:val="20"/>
        </w:rPr>
        <w:t>1 km</w:t>
      </w:r>
      <w:r w:rsidR="00DA3ECC" w:rsidRPr="00AB3C17">
        <w:rPr>
          <w:rFonts w:ascii="Arial" w:hAnsi="Arial" w:cs="Arial"/>
          <w:sz w:val="20"/>
          <w:szCs w:val="20"/>
        </w:rPr>
        <w:t xml:space="preserve"> resolution</w:t>
      </w:r>
      <w:r w:rsidRPr="00AB3C17">
        <w:rPr>
          <w:rFonts w:ascii="Arial" w:hAnsi="Arial" w:cs="Arial"/>
          <w:sz w:val="20"/>
          <w:szCs w:val="20"/>
        </w:rPr>
        <w:t xml:space="preserve">, </w:t>
      </w:r>
      <w:r w:rsidR="00DA3ECC" w:rsidRPr="00AB3C17">
        <w:rPr>
          <w:rFonts w:ascii="Arial" w:hAnsi="Arial" w:cs="Arial"/>
          <w:sz w:val="20"/>
          <w:szCs w:val="20"/>
        </w:rPr>
        <w:t xml:space="preserve">and also used </w:t>
      </w:r>
      <w:r w:rsidRPr="00AB3C17">
        <w:rPr>
          <w:rFonts w:ascii="Arial" w:hAnsi="Arial" w:cs="Arial"/>
          <w:sz w:val="20"/>
          <w:szCs w:val="20"/>
        </w:rPr>
        <w:t xml:space="preserve">for the further analysis </w:t>
      </w:r>
      <w:r w:rsidR="00DA3ECC" w:rsidRPr="00AB3C17">
        <w:rPr>
          <w:rFonts w:ascii="Arial" w:hAnsi="Arial" w:cs="Arial"/>
          <w:sz w:val="20"/>
          <w:szCs w:val="20"/>
        </w:rPr>
        <w:t xml:space="preserve">in population weighted cooling degree days estimation </w:t>
      </w:r>
      <w:r w:rsidRPr="00AB3C17">
        <w:rPr>
          <w:rFonts w:ascii="Arial" w:hAnsi="Arial" w:cs="Arial"/>
          <w:sz w:val="20"/>
          <w:szCs w:val="20"/>
        </w:rPr>
        <w:t xml:space="preserve">in subsequent section. Population variations for each city were then calculated by averaging the population estimates across all grid cells within the defined boundaries of each city horizontal extent. For tracking the population </w:t>
      </w:r>
      <w:r w:rsidRPr="00AB3C17">
        <w:rPr>
          <w:rFonts w:ascii="Arial" w:hAnsi="Arial" w:cs="Arial"/>
          <w:sz w:val="20"/>
          <w:szCs w:val="20"/>
        </w:rPr>
        <w:lastRenderedPageBreak/>
        <w:t>density growth trend the simple exponential relation, i.e. -P(t)</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0</m:t>
            </m:r>
          </m:sub>
        </m:sSub>
        <m:sSup>
          <m:sSupPr>
            <m:ctrlPr>
              <w:rPr>
                <w:rFonts w:ascii="Cambria Math" w:hAnsi="Cambria Math" w:cs="Arial"/>
                <w:sz w:val="20"/>
                <w:szCs w:val="20"/>
              </w:rPr>
            </m:ctrlPr>
          </m:sSupPr>
          <m:e>
            <m:r>
              <w:rPr>
                <w:rFonts w:ascii="Cambria Math" w:hAnsi="Cambria Math" w:cs="Arial"/>
                <w:sz w:val="20"/>
                <w:szCs w:val="20"/>
              </w:rPr>
              <m:t>e</m:t>
            </m:r>
          </m:e>
          <m:sup>
            <m:r>
              <w:rPr>
                <w:rFonts w:ascii="Cambria Math" w:hAnsi="Cambria Math" w:cs="Arial"/>
                <w:sz w:val="20"/>
                <w:szCs w:val="20"/>
              </w:rPr>
              <m:t>r.t</m:t>
            </m:r>
          </m:sup>
        </m:sSup>
      </m:oMath>
      <w:r w:rsidRPr="00AB3C17">
        <w:rPr>
          <w:rFonts w:ascii="Arial" w:hAnsi="Arial" w:cs="Arial"/>
          <w:sz w:val="20"/>
          <w:szCs w:val="20"/>
        </w:rPr>
        <w:t xml:space="preserve"> , is adapted here, where r is the growth rate expressed in percentage. Under the C</w:t>
      </w:r>
      <w:r w:rsidRPr="00AB3C17">
        <w:rPr>
          <w:rFonts w:ascii="Arial" w:hAnsi="Arial" w:cs="Arial"/>
          <w:sz w:val="20"/>
          <w:szCs w:val="20"/>
          <w:vertAlign w:val="subscript"/>
        </w:rPr>
        <w:t>p</w:t>
      </w:r>
      <w:r w:rsidRPr="00AB3C17">
        <w:rPr>
          <w:rFonts w:ascii="Arial" w:hAnsi="Arial" w:cs="Arial"/>
          <w:sz w:val="20"/>
          <w:szCs w:val="20"/>
        </w:rPr>
        <w:t xml:space="preserve"> features C</w:t>
      </w:r>
      <w:r w:rsidRPr="00AB3C17">
        <w:rPr>
          <w:rFonts w:ascii="Arial" w:hAnsi="Arial" w:cs="Arial"/>
          <w:sz w:val="20"/>
          <w:szCs w:val="20"/>
          <w:vertAlign w:val="subscript"/>
        </w:rPr>
        <w:t>P(t)</w:t>
      </w:r>
      <w:r w:rsidRPr="00AB3C17">
        <w:rPr>
          <w:rFonts w:ascii="Arial" w:hAnsi="Arial" w:cs="Arial"/>
          <w:sz w:val="20"/>
          <w:szCs w:val="20"/>
        </w:rPr>
        <w:t xml:space="preserve"> is the current 2023 population density (number of people per square kilometer) value and C</w:t>
      </w:r>
      <w:r w:rsidRPr="00AB3C17">
        <w:rPr>
          <w:rFonts w:ascii="Arial" w:hAnsi="Arial" w:cs="Arial"/>
          <w:sz w:val="20"/>
          <w:szCs w:val="20"/>
          <w:vertAlign w:val="subscript"/>
        </w:rPr>
        <w:t>P(r)</w:t>
      </w:r>
      <w:r w:rsidRPr="00AB3C17">
        <w:rPr>
          <w:rFonts w:ascii="Arial" w:hAnsi="Arial" w:cs="Arial"/>
          <w:sz w:val="20"/>
          <w:szCs w:val="20"/>
        </w:rPr>
        <w:t xml:space="preserve"> represents the population rise trend per annum. </w:t>
      </w:r>
      <w:r w:rsidRPr="00DF014C">
        <w:rPr>
          <w:rFonts w:ascii="Arial" w:hAnsi="Arial" w:cs="Arial"/>
          <w:b/>
          <w:bCs/>
          <w:sz w:val="20"/>
          <w:szCs w:val="20"/>
        </w:rPr>
        <w:t xml:space="preserve"> </w:t>
      </w:r>
    </w:p>
    <w:p w14:paraId="1061EC9C" w14:textId="77777777" w:rsidR="00291BE1" w:rsidRDefault="00291BE1" w:rsidP="00524F1F">
      <w:pPr>
        <w:spacing w:after="0" w:line="240" w:lineRule="auto"/>
        <w:jc w:val="both"/>
        <w:rPr>
          <w:rFonts w:ascii="Arial" w:hAnsi="Arial" w:cs="Arial"/>
          <w:sz w:val="20"/>
          <w:szCs w:val="20"/>
        </w:rPr>
      </w:pPr>
    </w:p>
    <w:p w14:paraId="69A5F989" w14:textId="110DA969" w:rsidR="00780BAA" w:rsidRDefault="00712FF1" w:rsidP="00524F1F">
      <w:pPr>
        <w:spacing w:after="0" w:line="240" w:lineRule="auto"/>
        <w:jc w:val="both"/>
        <w:rPr>
          <w:rFonts w:ascii="Arial" w:hAnsi="Arial" w:cs="Arial"/>
          <w:sz w:val="20"/>
          <w:szCs w:val="20"/>
        </w:rPr>
      </w:pPr>
      <w:r>
        <w:rPr>
          <w:rFonts w:ascii="Arial" w:hAnsi="Arial" w:cs="Arial"/>
          <w:b/>
          <w:bCs/>
          <w:sz w:val="20"/>
          <w:szCs w:val="20"/>
        </w:rPr>
        <w:t xml:space="preserve">Supplementary Table </w:t>
      </w:r>
      <w:r w:rsidR="005C4CDA">
        <w:rPr>
          <w:rFonts w:ascii="Arial" w:hAnsi="Arial" w:cs="Arial"/>
          <w:b/>
          <w:bCs/>
          <w:sz w:val="20"/>
          <w:szCs w:val="20"/>
        </w:rPr>
        <w:t>1</w:t>
      </w:r>
      <w:r w:rsidR="000E4614" w:rsidRPr="00D679EB">
        <w:rPr>
          <w:rFonts w:ascii="Arial" w:hAnsi="Arial" w:cs="Arial"/>
          <w:b/>
          <w:bCs/>
          <w:sz w:val="20"/>
          <w:szCs w:val="20"/>
        </w:rPr>
        <w:t xml:space="preserve">. </w:t>
      </w:r>
      <w:r w:rsidR="000E4614" w:rsidRPr="00D679EB">
        <w:rPr>
          <w:rFonts w:ascii="Arial" w:hAnsi="Arial" w:cs="Arial"/>
          <w:sz w:val="20"/>
          <w:szCs w:val="20"/>
        </w:rPr>
        <w:t xml:space="preserve">Final list of independent built urbanization features and their relative weights </w:t>
      </w:r>
      <w:r w:rsidR="000A7C2F">
        <w:rPr>
          <w:rFonts w:ascii="Arial" w:hAnsi="Arial" w:cs="Arial"/>
          <w:sz w:val="20"/>
          <w:szCs w:val="20"/>
        </w:rPr>
        <w:t>while</w:t>
      </w:r>
      <w:r w:rsidR="000E4614" w:rsidRPr="00D679EB">
        <w:rPr>
          <w:rFonts w:ascii="Arial" w:hAnsi="Arial" w:cs="Arial"/>
          <w:sz w:val="20"/>
          <w:szCs w:val="20"/>
        </w:rPr>
        <w:t xml:space="preserve"> classifying Indian and global cities</w:t>
      </w:r>
    </w:p>
    <w:p w14:paraId="787A2B78" w14:textId="77777777" w:rsidR="000A7C2F" w:rsidRPr="00D679EB" w:rsidRDefault="000A7C2F" w:rsidP="00524F1F">
      <w:pPr>
        <w:spacing w:after="0" w:line="240" w:lineRule="auto"/>
        <w:jc w:val="both"/>
        <w:rPr>
          <w:rStyle w:val="Strong"/>
          <w:rFonts w:ascii="Arial" w:hAnsi="Arial" w:cs="Arial"/>
          <w:b w:val="0"/>
          <w:bCs w:val="0"/>
          <w:sz w:val="20"/>
          <w:szCs w:val="20"/>
          <w:lang w:val="en-IN"/>
        </w:rPr>
      </w:pPr>
    </w:p>
    <w:tbl>
      <w:tblPr>
        <w:tblStyle w:val="PlainTable2"/>
        <w:tblW w:w="5000" w:type="pct"/>
        <w:tblLook w:val="04A0" w:firstRow="1" w:lastRow="0" w:firstColumn="1" w:lastColumn="0" w:noHBand="0" w:noVBand="1"/>
      </w:tblPr>
      <w:tblGrid>
        <w:gridCol w:w="765"/>
        <w:gridCol w:w="1278"/>
        <w:gridCol w:w="4569"/>
        <w:gridCol w:w="2414"/>
      </w:tblGrid>
      <w:tr w:rsidR="000A7C2F" w:rsidRPr="005E1CC8" w14:paraId="260C756B" w14:textId="77777777" w:rsidTr="00D679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1F62E346" w14:textId="77777777" w:rsidR="000A7C2F" w:rsidRPr="00D679EB" w:rsidRDefault="000A7C2F" w:rsidP="000A7C2F">
            <w:pPr>
              <w:spacing w:after="0" w:line="240" w:lineRule="auto"/>
              <w:jc w:val="center"/>
              <w:rPr>
                <w:rFonts w:ascii="Arial" w:eastAsia="Times New Roman" w:hAnsi="Arial" w:cs="Arial"/>
                <w:b w:val="0"/>
                <w:bCs w:val="0"/>
                <w:color w:val="000000"/>
                <w:lang w:val="en-IN" w:eastAsia="en-IN" w:bidi="bn-IN"/>
              </w:rPr>
            </w:pPr>
            <w:r w:rsidRPr="00D679EB">
              <w:rPr>
                <w:rFonts w:ascii="Arial" w:eastAsia="Times New Roman" w:hAnsi="Arial" w:cs="Arial"/>
                <w:color w:val="000000"/>
                <w:sz w:val="22"/>
                <w:szCs w:val="22"/>
                <w:lang w:val="en-IN" w:eastAsia="en-IN" w:bidi="bn-IN"/>
              </w:rPr>
              <w:t>Sl. No.</w:t>
            </w:r>
          </w:p>
        </w:tc>
        <w:tc>
          <w:tcPr>
            <w:tcW w:w="3239" w:type="pct"/>
            <w:gridSpan w:val="2"/>
            <w:vAlign w:val="center"/>
          </w:tcPr>
          <w:p w14:paraId="2FB5BA7D" w14:textId="502B82BA" w:rsidR="000A7C2F" w:rsidRPr="00D679EB" w:rsidRDefault="000A7C2F" w:rsidP="000A7C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n-IN" w:eastAsia="en-IN" w:bidi="bn-IN"/>
              </w:rPr>
            </w:pPr>
            <w:r w:rsidRPr="00D679EB">
              <w:rPr>
                <w:rFonts w:ascii="Arial" w:eastAsia="Times New Roman" w:hAnsi="Arial" w:cs="Arial"/>
                <w:color w:val="000000"/>
                <w:sz w:val="22"/>
                <w:szCs w:val="22"/>
                <w:lang w:val="en-IN" w:eastAsia="en-IN" w:bidi="bn-IN"/>
              </w:rPr>
              <w:t xml:space="preserve">Features of </w:t>
            </w:r>
            <w:r w:rsidRPr="005E1CC8">
              <w:rPr>
                <w:rFonts w:ascii="Arial" w:hAnsi="Arial" w:cs="Arial"/>
                <w:lang w:val="en-IN"/>
              </w:rPr>
              <w:t>city urban growth</w:t>
            </w:r>
          </w:p>
        </w:tc>
        <w:tc>
          <w:tcPr>
            <w:tcW w:w="1337" w:type="pct"/>
            <w:vAlign w:val="center"/>
          </w:tcPr>
          <w:p w14:paraId="30B59A28" w14:textId="5F09F991" w:rsidR="003354F4" w:rsidRPr="00D679EB" w:rsidRDefault="003354F4" w:rsidP="000A7C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n-IN" w:eastAsia="en-IN" w:bidi="bn-IN"/>
              </w:rPr>
            </w:pPr>
            <w:r w:rsidRPr="00D679EB">
              <w:rPr>
                <w:rFonts w:ascii="Arial" w:eastAsia="Times New Roman" w:hAnsi="Arial" w:cs="Arial"/>
                <w:color w:val="000000"/>
                <w:sz w:val="22"/>
                <w:szCs w:val="22"/>
                <w:lang w:val="en-IN" w:eastAsia="en-IN" w:bidi="bn-IN"/>
              </w:rPr>
              <w:t xml:space="preserve">Adjusted </w:t>
            </w:r>
            <w:r w:rsidR="000A7C2F" w:rsidRPr="00D679EB">
              <w:rPr>
                <w:rFonts w:ascii="Arial" w:eastAsia="Times New Roman" w:hAnsi="Arial" w:cs="Arial"/>
                <w:color w:val="000000"/>
                <w:sz w:val="22"/>
                <w:szCs w:val="22"/>
                <w:lang w:val="en-IN" w:eastAsia="en-IN" w:bidi="bn-IN"/>
              </w:rPr>
              <w:t xml:space="preserve">Weightage while </w:t>
            </w:r>
          </w:p>
          <w:p w14:paraId="69C020E1" w14:textId="1CB8114F" w:rsidR="000A7C2F" w:rsidRPr="00D679EB" w:rsidRDefault="003354F4" w:rsidP="000A7C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n-IN" w:eastAsia="en-IN" w:bidi="bn-IN"/>
              </w:rPr>
            </w:pPr>
            <w:r w:rsidRPr="00D679EB">
              <w:rPr>
                <w:rFonts w:ascii="Arial" w:eastAsia="Times New Roman" w:hAnsi="Arial" w:cs="Arial"/>
                <w:color w:val="000000"/>
                <w:sz w:val="22"/>
                <w:szCs w:val="22"/>
                <w:lang w:val="en-IN" w:eastAsia="en-IN" w:bidi="bn-IN"/>
              </w:rPr>
              <w:t>k-means clustering</w:t>
            </w:r>
          </w:p>
        </w:tc>
      </w:tr>
      <w:tr w:rsidR="000A7C2F" w:rsidRPr="005E1CC8" w14:paraId="5F6926DB" w14:textId="77777777" w:rsidTr="00D679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47015E9D" w14:textId="77777777" w:rsidR="000A7C2F" w:rsidRPr="00D679EB" w:rsidRDefault="000A7C2F" w:rsidP="000A7C2F">
            <w:pPr>
              <w:spacing w:after="0" w:line="240" w:lineRule="auto"/>
              <w:jc w:val="center"/>
              <w:rPr>
                <w:rFonts w:ascii="Arial" w:eastAsia="Times New Roman" w:hAnsi="Arial" w:cs="Arial"/>
                <w:b w:val="0"/>
                <w:bCs w:val="0"/>
                <w:color w:val="000000"/>
                <w:lang w:val="en-IN" w:eastAsia="en-IN" w:bidi="bn-IN"/>
              </w:rPr>
            </w:pPr>
            <w:r w:rsidRPr="00D679EB">
              <w:rPr>
                <w:rFonts w:ascii="Arial" w:eastAsia="Times New Roman" w:hAnsi="Arial" w:cs="Arial"/>
                <w:color w:val="000000"/>
                <w:sz w:val="22"/>
                <w:szCs w:val="22"/>
                <w:lang w:val="en-IN" w:eastAsia="en-IN" w:bidi="bn-IN"/>
              </w:rPr>
              <w:t>1</w:t>
            </w:r>
          </w:p>
        </w:tc>
        <w:tc>
          <w:tcPr>
            <w:tcW w:w="708" w:type="pct"/>
            <w:vAlign w:val="center"/>
          </w:tcPr>
          <w:p w14:paraId="1A979796" w14:textId="08E505C3" w:rsidR="000A7C2F" w:rsidRPr="00837E5D" w:rsidRDefault="00000000"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lang w:val="en-IN" w:eastAsia="en-IN" w:bidi="bn-IN"/>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A</m:t>
                    </m:r>
                  </m:sub>
                </m:sSub>
              </m:oMath>
            </m:oMathPara>
          </w:p>
        </w:tc>
        <w:tc>
          <w:tcPr>
            <w:tcW w:w="2531" w:type="pct"/>
            <w:vAlign w:val="center"/>
            <w:hideMark/>
          </w:tcPr>
          <w:p w14:paraId="449F1435"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IN" w:eastAsia="en-IN" w:bidi="bn-IN"/>
              </w:rPr>
            </w:pPr>
            <w:r w:rsidRPr="00837E5D">
              <w:rPr>
                <w:rFonts w:ascii="Arial" w:eastAsia="Times New Roman" w:hAnsi="Arial" w:cs="Arial"/>
                <w:color w:val="000000"/>
                <w:lang w:val="en-IN" w:eastAsia="en-IN" w:bidi="bn-IN"/>
              </w:rPr>
              <w:t>City Anisometry</w:t>
            </w:r>
          </w:p>
        </w:tc>
        <w:tc>
          <w:tcPr>
            <w:tcW w:w="1337" w:type="pct"/>
            <w:vAlign w:val="center"/>
          </w:tcPr>
          <w:p w14:paraId="25D7105E"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IN" w:eastAsia="en-IN" w:bidi="bn-IN"/>
              </w:rPr>
            </w:pPr>
            <w:r w:rsidRPr="00837E5D">
              <w:rPr>
                <w:rFonts w:ascii="Arial" w:eastAsia="Times New Roman" w:hAnsi="Arial" w:cs="Arial"/>
                <w:color w:val="000000"/>
                <w:lang w:val="en-IN" w:eastAsia="en-IN" w:bidi="bn-IN"/>
              </w:rPr>
              <w:t>2</w:t>
            </w:r>
          </w:p>
        </w:tc>
      </w:tr>
      <w:tr w:rsidR="000A7C2F" w:rsidRPr="005E1CC8" w14:paraId="749084D2" w14:textId="77777777" w:rsidTr="00D679EB">
        <w:trPr>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60049A84" w14:textId="77777777" w:rsidR="000A7C2F" w:rsidRPr="00D679EB" w:rsidRDefault="000A7C2F" w:rsidP="000A7C2F">
            <w:pPr>
              <w:spacing w:after="0" w:line="240" w:lineRule="auto"/>
              <w:jc w:val="center"/>
              <w:rPr>
                <w:rFonts w:ascii="Arial" w:eastAsia="Times New Roman" w:hAnsi="Arial" w:cs="Arial"/>
                <w:b w:val="0"/>
                <w:bCs w:val="0"/>
                <w:color w:val="000000"/>
                <w:lang w:val="en-IN" w:eastAsia="en-IN" w:bidi="bn-IN"/>
              </w:rPr>
            </w:pPr>
            <w:r w:rsidRPr="00D679EB">
              <w:rPr>
                <w:rFonts w:ascii="Arial" w:eastAsia="Times New Roman" w:hAnsi="Arial" w:cs="Arial"/>
                <w:color w:val="000000"/>
                <w:sz w:val="22"/>
                <w:szCs w:val="22"/>
                <w:lang w:val="en-IN" w:eastAsia="en-IN" w:bidi="bn-IN"/>
              </w:rPr>
              <w:t>2</w:t>
            </w:r>
          </w:p>
        </w:tc>
        <w:tc>
          <w:tcPr>
            <w:tcW w:w="708" w:type="pct"/>
            <w:vMerge w:val="restart"/>
            <w:vAlign w:val="center"/>
          </w:tcPr>
          <w:p w14:paraId="2BA89691" w14:textId="6D7F0708" w:rsidR="000A7C2F" w:rsidRPr="00837E5D" w:rsidRDefault="00000000"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lang w:val="en-IN" w:eastAsia="en-IN" w:bidi="bn-IN"/>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H</m:t>
                    </m:r>
                  </m:sub>
                </m:sSub>
              </m:oMath>
            </m:oMathPara>
          </w:p>
        </w:tc>
        <w:tc>
          <w:tcPr>
            <w:tcW w:w="2531" w:type="pct"/>
            <w:vAlign w:val="center"/>
            <w:hideMark/>
          </w:tcPr>
          <w:p w14:paraId="7DA4FFA1" w14:textId="77777777"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IN" w:eastAsia="en-IN" w:bidi="bn-IN"/>
              </w:rPr>
            </w:pPr>
            <w:r w:rsidRPr="00837E5D">
              <w:rPr>
                <w:rFonts w:ascii="Arial" w:eastAsia="Times New Roman" w:hAnsi="Arial" w:cs="Arial"/>
                <w:color w:val="000000"/>
                <w:lang w:val="en-IN" w:eastAsia="en-IN" w:bidi="bn-IN"/>
              </w:rPr>
              <w:t>City Area_2023</w:t>
            </w:r>
            <w:r w:rsidRPr="00837E5D">
              <w:rPr>
                <w:rFonts w:ascii="Arial" w:eastAsia="Times New Roman" w:hAnsi="Arial" w:cs="Arial"/>
                <w:color w:val="000000"/>
                <w:lang w:val="en-IN" w:eastAsia="en-IN" w:bidi="bn-IN"/>
              </w:rPr>
              <w:br/>
              <w:t>(Sq. Km)</w:t>
            </w:r>
          </w:p>
        </w:tc>
        <w:tc>
          <w:tcPr>
            <w:tcW w:w="1337" w:type="pct"/>
            <w:vAlign w:val="center"/>
          </w:tcPr>
          <w:p w14:paraId="3DEFC437" w14:textId="77777777"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IN" w:eastAsia="en-IN" w:bidi="bn-IN"/>
              </w:rPr>
            </w:pPr>
            <w:r w:rsidRPr="00837E5D">
              <w:rPr>
                <w:rFonts w:ascii="Arial" w:eastAsia="Times New Roman" w:hAnsi="Arial" w:cs="Arial"/>
                <w:color w:val="000000"/>
                <w:lang w:val="en-IN" w:eastAsia="en-IN" w:bidi="bn-IN"/>
              </w:rPr>
              <w:t>3</w:t>
            </w:r>
          </w:p>
        </w:tc>
      </w:tr>
      <w:tr w:rsidR="000A7C2F" w:rsidRPr="005E1CC8" w14:paraId="6DC5A88A" w14:textId="77777777" w:rsidTr="00D679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67445B41" w14:textId="77777777" w:rsidR="000A7C2F" w:rsidRPr="00D679EB" w:rsidRDefault="000A7C2F" w:rsidP="000A7C2F">
            <w:pPr>
              <w:spacing w:after="0" w:line="240" w:lineRule="auto"/>
              <w:jc w:val="center"/>
              <w:rPr>
                <w:rFonts w:ascii="Arial" w:eastAsia="Times New Roman" w:hAnsi="Arial" w:cs="Arial"/>
                <w:b w:val="0"/>
                <w:bCs w:val="0"/>
                <w:color w:val="000000"/>
                <w:lang w:val="en-IN" w:eastAsia="en-IN" w:bidi="bn-IN"/>
              </w:rPr>
            </w:pPr>
            <w:r w:rsidRPr="00D679EB">
              <w:rPr>
                <w:rFonts w:ascii="Arial" w:eastAsia="Times New Roman" w:hAnsi="Arial" w:cs="Arial"/>
                <w:color w:val="000000"/>
                <w:sz w:val="22"/>
                <w:szCs w:val="22"/>
                <w:lang w:val="en-IN" w:eastAsia="en-IN" w:bidi="bn-IN"/>
              </w:rPr>
              <w:t>3</w:t>
            </w:r>
          </w:p>
        </w:tc>
        <w:tc>
          <w:tcPr>
            <w:tcW w:w="708" w:type="pct"/>
            <w:vMerge/>
            <w:vAlign w:val="center"/>
          </w:tcPr>
          <w:p w14:paraId="446DCD44"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lang w:val="en-IN" w:eastAsia="en-IN" w:bidi="bn-IN"/>
              </w:rPr>
            </w:pPr>
          </w:p>
        </w:tc>
        <w:tc>
          <w:tcPr>
            <w:tcW w:w="2531" w:type="pct"/>
            <w:vAlign w:val="center"/>
            <w:hideMark/>
          </w:tcPr>
          <w:p w14:paraId="43687ED2"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IN" w:eastAsia="en-IN" w:bidi="bn-IN"/>
              </w:rPr>
            </w:pPr>
            <w:r w:rsidRPr="00837E5D">
              <w:rPr>
                <w:rFonts w:ascii="Arial" w:eastAsia="Times New Roman" w:hAnsi="Arial" w:cs="Arial"/>
                <w:color w:val="1F4E79" w:themeColor="accent5" w:themeShade="80"/>
                <w:lang w:val="en-IN" w:eastAsia="en-IN" w:bidi="bn-IN"/>
              </w:rPr>
              <w:t>Annual rise (%) in City Horizontal Extent</w:t>
            </w:r>
          </w:p>
        </w:tc>
        <w:tc>
          <w:tcPr>
            <w:tcW w:w="1337" w:type="pct"/>
            <w:vAlign w:val="center"/>
          </w:tcPr>
          <w:p w14:paraId="1AD62551"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IN" w:eastAsia="en-IN" w:bidi="bn-IN"/>
              </w:rPr>
            </w:pPr>
            <w:r w:rsidRPr="00837E5D">
              <w:rPr>
                <w:rFonts w:ascii="Arial" w:eastAsia="Times New Roman" w:hAnsi="Arial" w:cs="Arial"/>
                <w:color w:val="000000"/>
                <w:lang w:val="en-IN" w:eastAsia="en-IN" w:bidi="bn-IN"/>
              </w:rPr>
              <w:t>0.5</w:t>
            </w:r>
          </w:p>
        </w:tc>
      </w:tr>
      <w:tr w:rsidR="000A7C2F" w:rsidRPr="005E1CC8" w14:paraId="1565A578" w14:textId="77777777" w:rsidTr="00D679EB">
        <w:trPr>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52DF9FEE" w14:textId="77777777" w:rsidR="000A7C2F" w:rsidRPr="00D679EB" w:rsidRDefault="000A7C2F" w:rsidP="000A7C2F">
            <w:pPr>
              <w:spacing w:after="0" w:line="240" w:lineRule="auto"/>
              <w:jc w:val="center"/>
              <w:rPr>
                <w:rFonts w:ascii="Arial" w:eastAsia="Times New Roman" w:hAnsi="Arial" w:cs="Arial"/>
                <w:b w:val="0"/>
                <w:bCs w:val="0"/>
                <w:color w:val="000000"/>
                <w:lang w:val="en-IN" w:eastAsia="en-IN" w:bidi="bn-IN"/>
              </w:rPr>
            </w:pPr>
            <w:r w:rsidRPr="00D679EB">
              <w:rPr>
                <w:rFonts w:ascii="Arial" w:eastAsia="Times New Roman" w:hAnsi="Arial" w:cs="Arial"/>
                <w:color w:val="000000"/>
                <w:sz w:val="22"/>
                <w:szCs w:val="22"/>
                <w:lang w:val="en-IN" w:eastAsia="en-IN" w:bidi="bn-IN"/>
              </w:rPr>
              <w:t>4</w:t>
            </w:r>
          </w:p>
        </w:tc>
        <w:tc>
          <w:tcPr>
            <w:tcW w:w="708" w:type="pct"/>
            <w:vMerge w:val="restart"/>
            <w:vAlign w:val="center"/>
          </w:tcPr>
          <w:p w14:paraId="68075995" w14:textId="1656464C" w:rsidR="000A7C2F" w:rsidRPr="00837E5D" w:rsidRDefault="00000000"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lang w:val="en-IN" w:eastAsia="en-IN" w:bidi="bn-IN"/>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P</m:t>
                    </m:r>
                  </m:sub>
                </m:sSub>
              </m:oMath>
            </m:oMathPara>
          </w:p>
        </w:tc>
        <w:tc>
          <w:tcPr>
            <w:tcW w:w="2531" w:type="pct"/>
            <w:vAlign w:val="center"/>
            <w:hideMark/>
          </w:tcPr>
          <w:p w14:paraId="7D048716" w14:textId="3B717E25"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IN" w:eastAsia="en-IN" w:bidi="bn-IN"/>
              </w:rPr>
            </w:pPr>
            <w:r w:rsidRPr="00837E5D">
              <w:rPr>
                <w:rFonts w:ascii="Arial" w:eastAsia="Times New Roman" w:hAnsi="Arial" w:cs="Arial"/>
                <w:color w:val="000000"/>
                <w:lang w:val="en-IN" w:eastAsia="en-IN" w:bidi="bn-IN"/>
              </w:rPr>
              <w:t>Average Population density (2002-2023 period)</w:t>
            </w:r>
            <w:r w:rsidRPr="00837E5D">
              <w:rPr>
                <w:rFonts w:ascii="Arial" w:eastAsia="Times New Roman" w:hAnsi="Arial" w:cs="Arial"/>
                <w:color w:val="000000"/>
                <w:lang w:val="en-IN" w:eastAsia="en-IN" w:bidi="bn-IN"/>
              </w:rPr>
              <w:br/>
              <w:t>( ppl/Sq. Km)</w:t>
            </w:r>
          </w:p>
        </w:tc>
        <w:tc>
          <w:tcPr>
            <w:tcW w:w="1337" w:type="pct"/>
            <w:vAlign w:val="center"/>
          </w:tcPr>
          <w:p w14:paraId="31BF4EA7" w14:textId="77777777"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IN" w:eastAsia="en-IN" w:bidi="bn-IN"/>
              </w:rPr>
            </w:pPr>
            <w:r w:rsidRPr="00837E5D">
              <w:rPr>
                <w:rFonts w:ascii="Arial" w:eastAsia="Times New Roman" w:hAnsi="Arial" w:cs="Arial"/>
                <w:color w:val="000000"/>
                <w:lang w:val="en-IN" w:eastAsia="en-IN" w:bidi="bn-IN"/>
              </w:rPr>
              <w:t>3</w:t>
            </w:r>
          </w:p>
        </w:tc>
      </w:tr>
      <w:tr w:rsidR="000A7C2F" w:rsidRPr="005E1CC8" w14:paraId="6DE52D22" w14:textId="77777777" w:rsidTr="00D679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7789B259" w14:textId="77777777" w:rsidR="000A7C2F" w:rsidRPr="00D679EB" w:rsidRDefault="000A7C2F" w:rsidP="000A7C2F">
            <w:pPr>
              <w:spacing w:after="0" w:line="240" w:lineRule="auto"/>
              <w:jc w:val="center"/>
              <w:rPr>
                <w:rFonts w:ascii="Arial" w:eastAsia="Times New Roman" w:hAnsi="Arial" w:cs="Arial"/>
                <w:b w:val="0"/>
                <w:bCs w:val="0"/>
                <w:color w:val="000000"/>
                <w:lang w:val="en-IN" w:eastAsia="en-IN" w:bidi="bn-IN"/>
              </w:rPr>
            </w:pPr>
            <w:r w:rsidRPr="00D679EB">
              <w:rPr>
                <w:rFonts w:ascii="Arial" w:eastAsia="Times New Roman" w:hAnsi="Arial" w:cs="Arial"/>
                <w:color w:val="000000"/>
                <w:sz w:val="22"/>
                <w:szCs w:val="22"/>
                <w:lang w:val="en-IN" w:eastAsia="en-IN" w:bidi="bn-IN"/>
              </w:rPr>
              <w:t>5</w:t>
            </w:r>
          </w:p>
        </w:tc>
        <w:tc>
          <w:tcPr>
            <w:tcW w:w="708" w:type="pct"/>
            <w:vMerge/>
            <w:vAlign w:val="center"/>
          </w:tcPr>
          <w:p w14:paraId="788C04A7"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lang w:val="en-IN" w:eastAsia="en-IN" w:bidi="bn-IN"/>
              </w:rPr>
            </w:pPr>
          </w:p>
        </w:tc>
        <w:tc>
          <w:tcPr>
            <w:tcW w:w="2531" w:type="pct"/>
            <w:vAlign w:val="center"/>
            <w:hideMark/>
          </w:tcPr>
          <w:p w14:paraId="2E9B727B"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IN" w:eastAsia="en-IN" w:bidi="bn-IN"/>
              </w:rPr>
            </w:pPr>
            <w:r w:rsidRPr="00837E5D">
              <w:rPr>
                <w:rFonts w:ascii="Arial" w:eastAsia="Times New Roman" w:hAnsi="Arial" w:cs="Arial"/>
                <w:color w:val="000000"/>
                <w:lang w:val="en-IN" w:eastAsia="en-IN" w:bidi="bn-IN"/>
              </w:rPr>
              <w:t>Annual rise (%) in Population</w:t>
            </w:r>
          </w:p>
        </w:tc>
        <w:tc>
          <w:tcPr>
            <w:tcW w:w="1337" w:type="pct"/>
            <w:vAlign w:val="center"/>
          </w:tcPr>
          <w:p w14:paraId="1C839D3F"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IN" w:eastAsia="en-IN" w:bidi="bn-IN"/>
              </w:rPr>
            </w:pPr>
            <w:r w:rsidRPr="00837E5D">
              <w:rPr>
                <w:rFonts w:ascii="Arial" w:eastAsia="Times New Roman" w:hAnsi="Arial" w:cs="Arial"/>
                <w:color w:val="000000"/>
                <w:lang w:val="en-IN" w:eastAsia="en-IN" w:bidi="bn-IN"/>
              </w:rPr>
              <w:t>0.5</w:t>
            </w:r>
          </w:p>
        </w:tc>
      </w:tr>
      <w:tr w:rsidR="000A7C2F" w:rsidRPr="005E1CC8" w14:paraId="37A7B2F6" w14:textId="77777777" w:rsidTr="00D679EB">
        <w:trPr>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0C016EA3" w14:textId="77777777" w:rsidR="000A7C2F" w:rsidRPr="00D679EB" w:rsidRDefault="000A7C2F" w:rsidP="000A7C2F">
            <w:pPr>
              <w:spacing w:after="0" w:line="240" w:lineRule="auto"/>
              <w:jc w:val="center"/>
              <w:rPr>
                <w:rFonts w:ascii="Arial" w:eastAsia="Times New Roman" w:hAnsi="Arial" w:cs="Arial"/>
                <w:b w:val="0"/>
                <w:bCs w:val="0"/>
                <w:lang w:val="en-IN" w:eastAsia="en-IN" w:bidi="bn-IN"/>
              </w:rPr>
            </w:pPr>
            <w:r w:rsidRPr="00D679EB">
              <w:rPr>
                <w:rFonts w:ascii="Arial" w:eastAsia="Times New Roman" w:hAnsi="Arial" w:cs="Arial"/>
                <w:sz w:val="22"/>
                <w:szCs w:val="22"/>
                <w:lang w:val="en-IN" w:eastAsia="en-IN" w:bidi="bn-IN"/>
              </w:rPr>
              <w:t>6</w:t>
            </w:r>
          </w:p>
        </w:tc>
        <w:tc>
          <w:tcPr>
            <w:tcW w:w="708" w:type="pct"/>
            <w:vAlign w:val="center"/>
          </w:tcPr>
          <w:p w14:paraId="2DFE19B0" w14:textId="1EB4A3AF" w:rsidR="000A7C2F" w:rsidRPr="00837E5D" w:rsidRDefault="00000000"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lang w:val="en-IN" w:eastAsia="en-IN" w:bidi="bn-IN"/>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IR</m:t>
                    </m:r>
                  </m:sub>
                </m:sSub>
              </m:oMath>
            </m:oMathPara>
          </w:p>
        </w:tc>
        <w:tc>
          <w:tcPr>
            <w:tcW w:w="2531" w:type="pct"/>
            <w:vAlign w:val="center"/>
            <w:hideMark/>
          </w:tcPr>
          <w:p w14:paraId="082C50CE" w14:textId="77777777"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4E79" w:themeColor="accent5" w:themeShade="80"/>
                <w:lang w:val="en-IN" w:eastAsia="en-IN" w:bidi="bn-IN"/>
              </w:rPr>
            </w:pPr>
            <w:r w:rsidRPr="00837E5D">
              <w:rPr>
                <w:rFonts w:ascii="Arial" w:eastAsia="Times New Roman" w:hAnsi="Arial" w:cs="Arial"/>
                <w:color w:val="1F4E79" w:themeColor="accent5" w:themeShade="80"/>
                <w:lang w:val="en-IN" w:eastAsia="en-IN" w:bidi="bn-IN"/>
              </w:rPr>
              <w:t>Built-ground coverage (%) in city urban-core of 5km</w:t>
            </w:r>
          </w:p>
        </w:tc>
        <w:tc>
          <w:tcPr>
            <w:tcW w:w="1337" w:type="pct"/>
            <w:vAlign w:val="center"/>
          </w:tcPr>
          <w:p w14:paraId="2724967A" w14:textId="77777777"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IN" w:eastAsia="en-IN" w:bidi="bn-IN"/>
              </w:rPr>
            </w:pPr>
            <w:r w:rsidRPr="00837E5D">
              <w:rPr>
                <w:rFonts w:ascii="Arial" w:eastAsia="Times New Roman" w:hAnsi="Arial" w:cs="Arial"/>
                <w:lang w:val="en-IN" w:eastAsia="en-IN" w:bidi="bn-IN"/>
              </w:rPr>
              <w:t>2</w:t>
            </w:r>
          </w:p>
        </w:tc>
      </w:tr>
      <w:tr w:rsidR="000A7C2F" w:rsidRPr="005E1CC8" w14:paraId="0985648E" w14:textId="77777777" w:rsidTr="00D679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37896720" w14:textId="77777777" w:rsidR="000A7C2F" w:rsidRPr="00D679EB" w:rsidRDefault="000A7C2F" w:rsidP="000A7C2F">
            <w:pPr>
              <w:spacing w:after="0" w:line="240" w:lineRule="auto"/>
              <w:jc w:val="center"/>
              <w:rPr>
                <w:rFonts w:ascii="Arial" w:eastAsia="Times New Roman" w:hAnsi="Arial" w:cs="Arial"/>
                <w:b w:val="0"/>
                <w:bCs w:val="0"/>
                <w:lang w:val="en-IN" w:eastAsia="en-IN" w:bidi="bn-IN"/>
              </w:rPr>
            </w:pPr>
            <w:r w:rsidRPr="00D679EB">
              <w:rPr>
                <w:rFonts w:ascii="Arial" w:eastAsia="Times New Roman" w:hAnsi="Arial" w:cs="Arial"/>
                <w:sz w:val="22"/>
                <w:szCs w:val="22"/>
                <w:lang w:val="en-IN" w:eastAsia="en-IN" w:bidi="bn-IN"/>
              </w:rPr>
              <w:t>7</w:t>
            </w:r>
          </w:p>
        </w:tc>
        <w:tc>
          <w:tcPr>
            <w:tcW w:w="708" w:type="pct"/>
            <w:vMerge w:val="restart"/>
            <w:vAlign w:val="center"/>
          </w:tcPr>
          <w:p w14:paraId="2D4615B6" w14:textId="2C6EB3D2" w:rsidR="000A7C2F" w:rsidRPr="00837E5D" w:rsidRDefault="00000000"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en-IN" w:eastAsia="en-IN" w:bidi="bn-IN"/>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V</m:t>
                    </m:r>
                  </m:sub>
                </m:sSub>
              </m:oMath>
            </m:oMathPara>
          </w:p>
        </w:tc>
        <w:tc>
          <w:tcPr>
            <w:tcW w:w="2531" w:type="pct"/>
            <w:vAlign w:val="center"/>
            <w:hideMark/>
          </w:tcPr>
          <w:p w14:paraId="74BBADD9" w14:textId="0C012045"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IN" w:eastAsia="en-IN" w:bidi="bn-IN"/>
              </w:rPr>
            </w:pPr>
            <w:r w:rsidRPr="00837E5D">
              <w:rPr>
                <w:rFonts w:ascii="Arial" w:eastAsia="Times New Roman" w:hAnsi="Arial" w:cs="Arial"/>
                <w:lang w:val="en-IN" w:eastAsia="en-IN" w:bidi="bn-IN"/>
              </w:rPr>
              <w:t>Threshold vertical rise in meter</w:t>
            </w:r>
            <w:r w:rsidRPr="00837E5D">
              <w:rPr>
                <w:rFonts w:ascii="Arial" w:eastAsia="Times New Roman" w:hAnsi="Arial" w:cs="Arial"/>
                <w:lang w:val="en-IN" w:eastAsia="en-IN" w:bidi="bn-IN"/>
              </w:rPr>
              <w:br/>
              <w:t xml:space="preserve"> (0-25 percentile)</w:t>
            </w:r>
          </w:p>
        </w:tc>
        <w:tc>
          <w:tcPr>
            <w:tcW w:w="1337" w:type="pct"/>
            <w:vAlign w:val="center"/>
          </w:tcPr>
          <w:p w14:paraId="5F0949A7"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IN" w:eastAsia="en-IN" w:bidi="bn-IN"/>
              </w:rPr>
            </w:pPr>
            <w:r w:rsidRPr="00837E5D">
              <w:rPr>
                <w:rFonts w:ascii="Arial" w:eastAsia="Times New Roman" w:hAnsi="Arial" w:cs="Arial"/>
                <w:lang w:val="en-IN" w:eastAsia="en-IN" w:bidi="bn-IN"/>
              </w:rPr>
              <w:t>1</w:t>
            </w:r>
          </w:p>
        </w:tc>
      </w:tr>
      <w:tr w:rsidR="000A7C2F" w:rsidRPr="005E1CC8" w14:paraId="6B949148" w14:textId="77777777" w:rsidTr="00D679EB">
        <w:trPr>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5D6F4C84" w14:textId="77777777" w:rsidR="000A7C2F" w:rsidRPr="00D679EB" w:rsidRDefault="000A7C2F" w:rsidP="000A7C2F">
            <w:pPr>
              <w:spacing w:after="0" w:line="240" w:lineRule="auto"/>
              <w:jc w:val="center"/>
              <w:rPr>
                <w:rFonts w:ascii="Arial" w:eastAsia="Times New Roman" w:hAnsi="Arial" w:cs="Arial"/>
                <w:b w:val="0"/>
                <w:bCs w:val="0"/>
                <w:lang w:val="en-IN" w:eastAsia="en-IN" w:bidi="bn-IN"/>
              </w:rPr>
            </w:pPr>
            <w:r w:rsidRPr="00D679EB">
              <w:rPr>
                <w:rFonts w:ascii="Arial" w:eastAsia="Times New Roman" w:hAnsi="Arial" w:cs="Arial"/>
                <w:sz w:val="22"/>
                <w:szCs w:val="22"/>
                <w:lang w:val="en-IN" w:eastAsia="en-IN" w:bidi="bn-IN"/>
              </w:rPr>
              <w:t>8</w:t>
            </w:r>
          </w:p>
        </w:tc>
        <w:tc>
          <w:tcPr>
            <w:tcW w:w="708" w:type="pct"/>
            <w:vMerge/>
            <w:vAlign w:val="center"/>
          </w:tcPr>
          <w:p w14:paraId="11D745E1" w14:textId="77777777"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IN" w:eastAsia="en-IN" w:bidi="bn-IN"/>
              </w:rPr>
            </w:pPr>
          </w:p>
        </w:tc>
        <w:tc>
          <w:tcPr>
            <w:tcW w:w="2531" w:type="pct"/>
            <w:vAlign w:val="center"/>
            <w:hideMark/>
          </w:tcPr>
          <w:p w14:paraId="0AA07C71" w14:textId="223FADD7"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IN" w:eastAsia="en-IN" w:bidi="bn-IN"/>
              </w:rPr>
            </w:pPr>
            <w:r w:rsidRPr="00837E5D">
              <w:rPr>
                <w:rFonts w:ascii="Arial" w:eastAsia="Times New Roman" w:hAnsi="Arial" w:cs="Arial"/>
                <w:lang w:val="en-IN" w:eastAsia="en-IN" w:bidi="bn-IN"/>
              </w:rPr>
              <w:t xml:space="preserve">Threshold vertical rise </w:t>
            </w:r>
            <w:r w:rsidR="000D45AE" w:rsidRPr="00837E5D">
              <w:rPr>
                <w:rFonts w:ascii="Arial" w:eastAsia="Times New Roman" w:hAnsi="Arial" w:cs="Arial"/>
                <w:lang w:val="en-IN" w:eastAsia="en-IN" w:bidi="bn-IN"/>
              </w:rPr>
              <w:t xml:space="preserve">within </w:t>
            </w:r>
            <w:r w:rsidRPr="00837E5D">
              <w:rPr>
                <w:rFonts w:ascii="Arial" w:eastAsia="Times New Roman" w:hAnsi="Arial" w:cs="Arial"/>
                <w:lang w:val="en-IN" w:eastAsia="en-IN" w:bidi="bn-IN"/>
              </w:rPr>
              <w:br/>
              <w:t>(25-50 percentile)</w:t>
            </w:r>
          </w:p>
        </w:tc>
        <w:tc>
          <w:tcPr>
            <w:tcW w:w="1337" w:type="pct"/>
            <w:vAlign w:val="center"/>
          </w:tcPr>
          <w:p w14:paraId="49D2BB44" w14:textId="77777777"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IN" w:eastAsia="en-IN" w:bidi="bn-IN"/>
              </w:rPr>
            </w:pPr>
            <w:r w:rsidRPr="00837E5D">
              <w:rPr>
                <w:rFonts w:ascii="Arial" w:eastAsia="Times New Roman" w:hAnsi="Arial" w:cs="Arial"/>
                <w:lang w:val="en-IN" w:eastAsia="en-IN" w:bidi="bn-IN"/>
              </w:rPr>
              <w:t>2</w:t>
            </w:r>
          </w:p>
        </w:tc>
      </w:tr>
      <w:tr w:rsidR="000A7C2F" w:rsidRPr="005E1CC8" w14:paraId="5FADB7B2" w14:textId="77777777" w:rsidTr="00D679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3D965EB5" w14:textId="77777777" w:rsidR="000A7C2F" w:rsidRPr="00D679EB" w:rsidRDefault="000A7C2F" w:rsidP="000A7C2F">
            <w:pPr>
              <w:spacing w:after="0" w:line="240" w:lineRule="auto"/>
              <w:jc w:val="center"/>
              <w:rPr>
                <w:rFonts w:ascii="Arial" w:eastAsia="Times New Roman" w:hAnsi="Arial" w:cs="Arial"/>
                <w:b w:val="0"/>
                <w:bCs w:val="0"/>
                <w:lang w:val="en-IN" w:eastAsia="en-IN" w:bidi="bn-IN"/>
              </w:rPr>
            </w:pPr>
            <w:r w:rsidRPr="00D679EB">
              <w:rPr>
                <w:rFonts w:ascii="Arial" w:eastAsia="Times New Roman" w:hAnsi="Arial" w:cs="Arial"/>
                <w:sz w:val="22"/>
                <w:szCs w:val="22"/>
                <w:lang w:val="en-IN" w:eastAsia="en-IN" w:bidi="bn-IN"/>
              </w:rPr>
              <w:t>9</w:t>
            </w:r>
          </w:p>
        </w:tc>
        <w:tc>
          <w:tcPr>
            <w:tcW w:w="708" w:type="pct"/>
            <w:vMerge/>
            <w:vAlign w:val="center"/>
          </w:tcPr>
          <w:p w14:paraId="4CBC20CB"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IN" w:eastAsia="en-IN" w:bidi="bn-IN"/>
              </w:rPr>
            </w:pPr>
          </w:p>
        </w:tc>
        <w:tc>
          <w:tcPr>
            <w:tcW w:w="2531" w:type="pct"/>
            <w:vAlign w:val="center"/>
            <w:hideMark/>
          </w:tcPr>
          <w:p w14:paraId="6842D9D2" w14:textId="7FFCE279"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IN" w:eastAsia="en-IN" w:bidi="bn-IN"/>
              </w:rPr>
            </w:pPr>
            <w:r w:rsidRPr="00837E5D">
              <w:rPr>
                <w:rFonts w:ascii="Arial" w:eastAsia="Times New Roman" w:hAnsi="Arial" w:cs="Arial"/>
                <w:lang w:val="en-IN" w:eastAsia="en-IN" w:bidi="bn-IN"/>
              </w:rPr>
              <w:t>Threshold vertical rise in meter</w:t>
            </w:r>
            <w:r w:rsidRPr="00837E5D">
              <w:rPr>
                <w:rFonts w:ascii="Arial" w:eastAsia="Times New Roman" w:hAnsi="Arial" w:cs="Arial"/>
                <w:lang w:val="en-IN" w:eastAsia="en-IN" w:bidi="bn-IN"/>
              </w:rPr>
              <w:br/>
              <w:t>(50-75 percentile)</w:t>
            </w:r>
          </w:p>
        </w:tc>
        <w:tc>
          <w:tcPr>
            <w:tcW w:w="1337" w:type="pct"/>
            <w:vAlign w:val="center"/>
          </w:tcPr>
          <w:p w14:paraId="67AB3177"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IN" w:eastAsia="en-IN" w:bidi="bn-IN"/>
              </w:rPr>
            </w:pPr>
            <w:r w:rsidRPr="00837E5D">
              <w:rPr>
                <w:rFonts w:ascii="Arial" w:eastAsia="Times New Roman" w:hAnsi="Arial" w:cs="Arial"/>
                <w:lang w:val="en-IN" w:eastAsia="en-IN" w:bidi="bn-IN"/>
              </w:rPr>
              <w:t>2</w:t>
            </w:r>
          </w:p>
        </w:tc>
      </w:tr>
      <w:tr w:rsidR="000A7C2F" w:rsidRPr="005E1CC8" w14:paraId="453F1847" w14:textId="77777777" w:rsidTr="00D679EB">
        <w:trPr>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266D033A" w14:textId="77777777" w:rsidR="000A7C2F" w:rsidRPr="00D679EB" w:rsidRDefault="000A7C2F" w:rsidP="000A7C2F">
            <w:pPr>
              <w:spacing w:after="0" w:line="240" w:lineRule="auto"/>
              <w:jc w:val="center"/>
              <w:rPr>
                <w:rFonts w:ascii="Arial" w:eastAsia="Times New Roman" w:hAnsi="Arial" w:cs="Arial"/>
                <w:b w:val="0"/>
                <w:bCs w:val="0"/>
                <w:lang w:val="en-IN" w:eastAsia="en-IN" w:bidi="bn-IN"/>
              </w:rPr>
            </w:pPr>
            <w:r w:rsidRPr="00D679EB">
              <w:rPr>
                <w:rFonts w:ascii="Arial" w:eastAsia="Times New Roman" w:hAnsi="Arial" w:cs="Arial"/>
                <w:sz w:val="22"/>
                <w:szCs w:val="22"/>
                <w:lang w:val="en-IN" w:eastAsia="en-IN" w:bidi="bn-IN"/>
              </w:rPr>
              <w:t>10</w:t>
            </w:r>
          </w:p>
        </w:tc>
        <w:tc>
          <w:tcPr>
            <w:tcW w:w="708" w:type="pct"/>
            <w:vMerge/>
            <w:vAlign w:val="center"/>
          </w:tcPr>
          <w:p w14:paraId="3F21A090" w14:textId="77777777"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IN" w:eastAsia="en-IN" w:bidi="bn-IN"/>
              </w:rPr>
            </w:pPr>
          </w:p>
        </w:tc>
        <w:tc>
          <w:tcPr>
            <w:tcW w:w="2531" w:type="pct"/>
            <w:vAlign w:val="center"/>
            <w:hideMark/>
          </w:tcPr>
          <w:p w14:paraId="08197BA6" w14:textId="23894634"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IN" w:eastAsia="en-IN" w:bidi="bn-IN"/>
              </w:rPr>
            </w:pPr>
            <w:r w:rsidRPr="00837E5D">
              <w:rPr>
                <w:rFonts w:ascii="Arial" w:eastAsia="Times New Roman" w:hAnsi="Arial" w:cs="Arial"/>
                <w:lang w:val="en-IN" w:eastAsia="en-IN" w:bidi="bn-IN"/>
              </w:rPr>
              <w:t>Threshold vertical rise in meter</w:t>
            </w:r>
            <w:r w:rsidRPr="00837E5D">
              <w:rPr>
                <w:rFonts w:ascii="Arial" w:eastAsia="Times New Roman" w:hAnsi="Arial" w:cs="Arial"/>
                <w:lang w:val="en-IN" w:eastAsia="en-IN" w:bidi="bn-IN"/>
              </w:rPr>
              <w:br/>
              <w:t>(75-100 percentile)</w:t>
            </w:r>
          </w:p>
        </w:tc>
        <w:tc>
          <w:tcPr>
            <w:tcW w:w="1337" w:type="pct"/>
            <w:vAlign w:val="center"/>
          </w:tcPr>
          <w:p w14:paraId="54A93FC8" w14:textId="77777777" w:rsidR="000A7C2F" w:rsidRPr="00837E5D"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IN" w:eastAsia="en-IN" w:bidi="bn-IN"/>
              </w:rPr>
            </w:pPr>
            <w:r w:rsidRPr="00837E5D">
              <w:rPr>
                <w:rFonts w:ascii="Arial" w:eastAsia="Times New Roman" w:hAnsi="Arial" w:cs="Arial"/>
                <w:lang w:val="en-IN" w:eastAsia="en-IN" w:bidi="bn-IN"/>
              </w:rPr>
              <w:t>1</w:t>
            </w:r>
          </w:p>
        </w:tc>
      </w:tr>
      <w:tr w:rsidR="000A7C2F" w:rsidRPr="005E1CC8" w14:paraId="20294D20" w14:textId="77777777" w:rsidTr="00D679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138BBDF4" w14:textId="07F43020" w:rsidR="000A7C2F" w:rsidRPr="00D679EB" w:rsidRDefault="000A7C2F" w:rsidP="000A7C2F">
            <w:pPr>
              <w:spacing w:after="0" w:line="240" w:lineRule="auto"/>
              <w:jc w:val="center"/>
              <w:rPr>
                <w:rFonts w:ascii="Arial" w:eastAsia="Times New Roman" w:hAnsi="Arial" w:cs="Arial"/>
                <w:lang w:val="en-IN" w:eastAsia="en-IN" w:bidi="bn-IN"/>
              </w:rPr>
            </w:pPr>
            <w:r w:rsidRPr="00D679EB">
              <w:rPr>
                <w:rFonts w:ascii="Arial" w:eastAsia="Times New Roman" w:hAnsi="Arial" w:cs="Arial"/>
                <w:sz w:val="22"/>
                <w:szCs w:val="22"/>
                <w:lang w:val="en-IN" w:eastAsia="en-IN" w:bidi="bn-IN"/>
              </w:rPr>
              <w:t>11</w:t>
            </w:r>
          </w:p>
        </w:tc>
        <w:tc>
          <w:tcPr>
            <w:tcW w:w="708" w:type="pct"/>
            <w:vAlign w:val="center"/>
          </w:tcPr>
          <w:p w14:paraId="7303071D" w14:textId="77777777"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IN" w:eastAsia="en-IN" w:bidi="bn-IN"/>
              </w:rPr>
            </w:pPr>
          </w:p>
        </w:tc>
        <w:tc>
          <w:tcPr>
            <w:tcW w:w="2531" w:type="pct"/>
            <w:vAlign w:val="center"/>
          </w:tcPr>
          <w:p w14:paraId="5634DCB1" w14:textId="627AF843" w:rsidR="000A7C2F" w:rsidRPr="00837E5D"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IN" w:eastAsia="en-IN" w:bidi="bn-IN"/>
              </w:rPr>
            </w:pPr>
            <w:r w:rsidRPr="00837E5D">
              <w:rPr>
                <w:rFonts w:ascii="Arial" w:eastAsia="Times New Roman" w:hAnsi="Arial" w:cs="Arial"/>
                <w:lang w:val="en-IN" w:eastAsia="en-IN" w:bidi="bn-IN"/>
              </w:rPr>
              <w:t>Daytime LST rise</w:t>
            </w:r>
          </w:p>
        </w:tc>
        <w:tc>
          <w:tcPr>
            <w:tcW w:w="1337" w:type="pct"/>
            <w:vAlign w:val="center"/>
          </w:tcPr>
          <w:p w14:paraId="45036790" w14:textId="7E96B87C" w:rsidR="000A7C2F" w:rsidRPr="00837E5D" w:rsidRDefault="00A052A7"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IN" w:eastAsia="en-IN" w:bidi="bn-IN"/>
              </w:rPr>
            </w:pPr>
            <w:r w:rsidRPr="00837E5D">
              <w:rPr>
                <w:rFonts w:ascii="Arial" w:eastAsia="Times New Roman" w:hAnsi="Arial" w:cs="Arial"/>
                <w:lang w:val="en-IN" w:eastAsia="en-IN" w:bidi="bn-IN"/>
              </w:rPr>
              <w:t>0.5</w:t>
            </w:r>
          </w:p>
        </w:tc>
      </w:tr>
      <w:tr w:rsidR="000A7C2F" w:rsidRPr="005E1CC8" w14:paraId="62DD40B8" w14:textId="77777777" w:rsidTr="00D679EB">
        <w:trPr>
          <w:trHeight w:val="227"/>
        </w:trPr>
        <w:tc>
          <w:tcPr>
            <w:cnfStyle w:val="001000000000" w:firstRow="0" w:lastRow="0" w:firstColumn="1" w:lastColumn="0" w:oddVBand="0" w:evenVBand="0" w:oddHBand="0" w:evenHBand="0" w:firstRowFirstColumn="0" w:firstRowLastColumn="0" w:lastRowFirstColumn="0" w:lastRowLastColumn="0"/>
            <w:tcW w:w="424" w:type="pct"/>
            <w:vAlign w:val="center"/>
          </w:tcPr>
          <w:p w14:paraId="3C470F61" w14:textId="15DCB73E" w:rsidR="000A7C2F" w:rsidRPr="00D679EB" w:rsidRDefault="000A7C2F" w:rsidP="000A7C2F">
            <w:pPr>
              <w:spacing w:after="0" w:line="240" w:lineRule="auto"/>
              <w:jc w:val="center"/>
              <w:rPr>
                <w:rFonts w:ascii="Arial" w:eastAsia="Times New Roman" w:hAnsi="Arial" w:cs="Arial"/>
                <w:lang w:val="en-IN" w:eastAsia="en-IN" w:bidi="bn-IN"/>
              </w:rPr>
            </w:pPr>
            <w:r w:rsidRPr="00D679EB">
              <w:rPr>
                <w:rFonts w:ascii="Arial" w:eastAsia="Times New Roman" w:hAnsi="Arial" w:cs="Arial"/>
                <w:sz w:val="22"/>
                <w:szCs w:val="22"/>
                <w:lang w:val="en-IN" w:eastAsia="en-IN" w:bidi="bn-IN"/>
              </w:rPr>
              <w:t>12</w:t>
            </w:r>
          </w:p>
        </w:tc>
        <w:tc>
          <w:tcPr>
            <w:tcW w:w="708" w:type="pct"/>
            <w:vAlign w:val="center"/>
          </w:tcPr>
          <w:p w14:paraId="0D25BF4D" w14:textId="77777777" w:rsidR="000A7C2F" w:rsidRPr="00D679EB"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IN" w:eastAsia="en-IN" w:bidi="bn-IN"/>
              </w:rPr>
            </w:pPr>
          </w:p>
        </w:tc>
        <w:tc>
          <w:tcPr>
            <w:tcW w:w="2531" w:type="pct"/>
            <w:vAlign w:val="center"/>
          </w:tcPr>
          <w:p w14:paraId="7C28B640" w14:textId="2D6FFE2E" w:rsidR="000A7C2F" w:rsidRPr="00D679EB"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IN" w:eastAsia="en-IN" w:bidi="bn-IN"/>
              </w:rPr>
            </w:pPr>
            <w:r w:rsidRPr="00D679EB">
              <w:rPr>
                <w:rFonts w:ascii="Arial" w:eastAsia="Times New Roman" w:hAnsi="Arial" w:cs="Arial"/>
                <w:sz w:val="22"/>
                <w:szCs w:val="22"/>
                <w:lang w:val="en-IN" w:eastAsia="en-IN" w:bidi="bn-IN"/>
              </w:rPr>
              <w:t>Nighttime LST rise</w:t>
            </w:r>
          </w:p>
        </w:tc>
        <w:tc>
          <w:tcPr>
            <w:tcW w:w="1337" w:type="pct"/>
            <w:vAlign w:val="center"/>
          </w:tcPr>
          <w:p w14:paraId="40E4A7D1" w14:textId="1DEF4A99" w:rsidR="000A7C2F" w:rsidRPr="00D679EB" w:rsidRDefault="00A052A7"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IN" w:eastAsia="en-IN" w:bidi="bn-IN"/>
              </w:rPr>
            </w:pPr>
            <w:r w:rsidRPr="005E1CC8">
              <w:rPr>
                <w:rFonts w:ascii="Arial" w:eastAsia="Times New Roman" w:hAnsi="Arial" w:cs="Arial"/>
                <w:lang w:val="en-IN" w:eastAsia="en-IN" w:bidi="bn-IN"/>
              </w:rPr>
              <w:t>0.5</w:t>
            </w:r>
          </w:p>
        </w:tc>
      </w:tr>
      <w:tr w:rsidR="000A7C2F" w:rsidRPr="005E1CC8" w14:paraId="67FFBFD6" w14:textId="77777777" w:rsidTr="00D679EB">
        <w:trPr>
          <w:gridAfter w:val="1"/>
          <w:cnfStyle w:val="000000100000" w:firstRow="0" w:lastRow="0" w:firstColumn="0" w:lastColumn="0" w:oddVBand="0" w:evenVBand="0" w:oddHBand="1" w:evenHBand="0" w:firstRowFirstColumn="0" w:firstRowLastColumn="0" w:lastRowFirstColumn="0" w:lastRowLastColumn="0"/>
          <w:wAfter w:w="1337" w:type="pct"/>
          <w:trHeight w:val="227"/>
        </w:trPr>
        <w:tc>
          <w:tcPr>
            <w:cnfStyle w:val="001000000000" w:firstRow="0" w:lastRow="0" w:firstColumn="1" w:lastColumn="0" w:oddVBand="0" w:evenVBand="0" w:oddHBand="0" w:evenHBand="0" w:firstRowFirstColumn="0" w:firstRowLastColumn="0" w:lastRowFirstColumn="0" w:lastRowLastColumn="0"/>
            <w:tcW w:w="1132" w:type="pct"/>
            <w:gridSpan w:val="2"/>
            <w:vMerge w:val="restart"/>
            <w:vAlign w:val="center"/>
          </w:tcPr>
          <w:p w14:paraId="4CCC687B" w14:textId="0935582C" w:rsidR="000A7C2F" w:rsidRPr="00D679EB" w:rsidRDefault="000A7C2F" w:rsidP="000A7C2F">
            <w:pPr>
              <w:spacing w:after="0" w:line="240" w:lineRule="auto"/>
              <w:jc w:val="center"/>
              <w:rPr>
                <w:rFonts w:ascii="Arial" w:eastAsia="Times New Roman" w:hAnsi="Arial" w:cs="Arial"/>
                <w:lang w:val="en-IN" w:eastAsia="en-IN" w:bidi="bn-IN"/>
              </w:rPr>
            </w:pPr>
            <w:r w:rsidRPr="00D679EB">
              <w:rPr>
                <w:rFonts w:ascii="Arial" w:eastAsia="Times New Roman" w:hAnsi="Arial" w:cs="Arial"/>
                <w:sz w:val="22"/>
                <w:szCs w:val="22"/>
                <w:lang w:val="en-IN" w:eastAsia="en-IN" w:bidi="bn-IN"/>
              </w:rPr>
              <w:t>Legend</w:t>
            </w:r>
          </w:p>
        </w:tc>
        <w:tc>
          <w:tcPr>
            <w:tcW w:w="2531" w:type="pct"/>
            <w:vAlign w:val="center"/>
          </w:tcPr>
          <w:p w14:paraId="58D1111F" w14:textId="531007F9" w:rsidR="000A7C2F" w:rsidRPr="00D679EB" w:rsidRDefault="000A7C2F" w:rsidP="000A7C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IN" w:eastAsia="en-IN" w:bidi="bn-IN"/>
              </w:rPr>
            </w:pPr>
            <w:r w:rsidRPr="00D679EB">
              <w:rPr>
                <w:rFonts w:ascii="Arial" w:eastAsia="Times New Roman" w:hAnsi="Arial" w:cs="Arial"/>
                <w:sz w:val="22"/>
                <w:szCs w:val="22"/>
                <w:lang w:val="en-IN" w:eastAsia="en-IN" w:bidi="bn-IN"/>
              </w:rPr>
              <w:t>Primary features</w:t>
            </w:r>
          </w:p>
        </w:tc>
      </w:tr>
      <w:tr w:rsidR="000A7C2F" w:rsidRPr="005E1CC8" w14:paraId="242A7C8F" w14:textId="77777777" w:rsidTr="00D679EB">
        <w:trPr>
          <w:gridAfter w:val="1"/>
          <w:wAfter w:w="1337" w:type="pct"/>
          <w:trHeight w:val="227"/>
        </w:trPr>
        <w:tc>
          <w:tcPr>
            <w:cnfStyle w:val="001000000000" w:firstRow="0" w:lastRow="0" w:firstColumn="1" w:lastColumn="0" w:oddVBand="0" w:evenVBand="0" w:oddHBand="0" w:evenHBand="0" w:firstRowFirstColumn="0" w:firstRowLastColumn="0" w:lastRowFirstColumn="0" w:lastRowLastColumn="0"/>
            <w:tcW w:w="1132" w:type="pct"/>
            <w:gridSpan w:val="2"/>
            <w:vMerge/>
            <w:vAlign w:val="center"/>
          </w:tcPr>
          <w:p w14:paraId="79AA7F13" w14:textId="77777777" w:rsidR="000A7C2F" w:rsidRPr="00D679EB" w:rsidRDefault="000A7C2F" w:rsidP="000A7C2F">
            <w:pPr>
              <w:spacing w:after="0" w:line="240" w:lineRule="auto"/>
              <w:jc w:val="center"/>
              <w:rPr>
                <w:rFonts w:ascii="Arial" w:eastAsia="Times New Roman" w:hAnsi="Arial" w:cs="Arial"/>
                <w:lang w:val="en-IN" w:eastAsia="en-IN" w:bidi="bn-IN"/>
              </w:rPr>
            </w:pPr>
          </w:p>
        </w:tc>
        <w:tc>
          <w:tcPr>
            <w:tcW w:w="2531" w:type="pct"/>
            <w:vAlign w:val="center"/>
          </w:tcPr>
          <w:p w14:paraId="1CD9F956" w14:textId="290EC3AF" w:rsidR="000A7C2F" w:rsidRPr="00D679EB" w:rsidRDefault="000A7C2F" w:rsidP="000A7C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IN" w:eastAsia="en-IN" w:bidi="bn-IN"/>
              </w:rPr>
            </w:pPr>
            <w:r w:rsidRPr="00D679EB">
              <w:rPr>
                <w:rFonts w:ascii="Arial" w:eastAsia="Times New Roman" w:hAnsi="Arial" w:cs="Arial"/>
                <w:color w:val="1F4E79" w:themeColor="accent5" w:themeShade="80"/>
                <w:sz w:val="22"/>
                <w:szCs w:val="22"/>
                <w:lang w:val="en-IN" w:eastAsia="en-IN" w:bidi="bn-IN"/>
              </w:rPr>
              <w:t>Secondary features</w:t>
            </w:r>
          </w:p>
        </w:tc>
      </w:tr>
    </w:tbl>
    <w:p w14:paraId="5EEF90D3" w14:textId="77777777" w:rsidR="000A7C2F" w:rsidRDefault="000A7C2F" w:rsidP="00524F1F">
      <w:pPr>
        <w:spacing w:after="0" w:line="240" w:lineRule="auto"/>
        <w:jc w:val="both"/>
        <w:rPr>
          <w:rStyle w:val="Strong"/>
          <w:rFonts w:ascii="Arial" w:hAnsi="Arial" w:cs="Arial"/>
          <w:sz w:val="20"/>
          <w:szCs w:val="20"/>
        </w:rPr>
      </w:pPr>
    </w:p>
    <w:p w14:paraId="7EB89A76" w14:textId="0790C1E3" w:rsidR="00CC7982" w:rsidRPr="00524F1F" w:rsidRDefault="00CC7982" w:rsidP="00524F1F">
      <w:pPr>
        <w:spacing w:after="0" w:line="240" w:lineRule="auto"/>
        <w:jc w:val="both"/>
        <w:rPr>
          <w:rFonts w:ascii="Arial" w:hAnsi="Arial" w:cs="Arial"/>
          <w:b/>
          <w:bCs/>
          <w:sz w:val="20"/>
          <w:szCs w:val="20"/>
        </w:rPr>
      </w:pPr>
      <w:r w:rsidRPr="00CC7982">
        <w:rPr>
          <w:rStyle w:val="Strong"/>
          <w:rFonts w:ascii="Arial" w:hAnsi="Arial" w:cs="Arial"/>
          <w:sz w:val="20"/>
          <w:szCs w:val="20"/>
        </w:rPr>
        <w:t>1.1.</w:t>
      </w:r>
      <w:r>
        <w:rPr>
          <w:rStyle w:val="Strong"/>
          <w:rFonts w:ascii="Arial" w:hAnsi="Arial" w:cs="Arial"/>
          <w:sz w:val="20"/>
          <w:szCs w:val="20"/>
        </w:rPr>
        <w:t>6</w:t>
      </w:r>
      <w:r w:rsidRPr="00CC7982">
        <w:rPr>
          <w:rStyle w:val="Strong"/>
          <w:rFonts w:ascii="Arial" w:hAnsi="Arial" w:cs="Arial"/>
          <w:sz w:val="20"/>
          <w:szCs w:val="20"/>
        </w:rPr>
        <w:t xml:space="preserve"> </w:t>
      </w:r>
      <w:r w:rsidRPr="00524F1F">
        <w:rPr>
          <w:rFonts w:ascii="Arial" w:hAnsi="Arial" w:cs="Arial"/>
          <w:b/>
          <w:bCs/>
          <w:sz w:val="20"/>
          <w:szCs w:val="20"/>
        </w:rPr>
        <w:t xml:space="preserve">Updating the city profiling with their surface warming trends </w:t>
      </w:r>
    </w:p>
    <w:p w14:paraId="0B0A94DC" w14:textId="7A0C94C4" w:rsidR="00CC7982" w:rsidRPr="00D679EB" w:rsidRDefault="00106D83" w:rsidP="00524F1F">
      <w:pPr>
        <w:spacing w:after="0" w:line="240" w:lineRule="auto"/>
        <w:jc w:val="both"/>
        <w:rPr>
          <w:rFonts w:ascii="Arial" w:hAnsi="Arial" w:cs="Arial"/>
          <w:color w:val="EE0000"/>
          <w:sz w:val="20"/>
          <w:szCs w:val="20"/>
        </w:rPr>
      </w:pPr>
      <w:bookmarkStart w:id="2" w:name="_Hlk191632530"/>
      <w:r>
        <w:rPr>
          <w:rFonts w:ascii="Arial" w:hAnsi="Arial" w:cs="Arial"/>
          <w:sz w:val="20"/>
          <w:szCs w:val="20"/>
        </w:rPr>
        <w:t>T</w:t>
      </w:r>
      <w:r w:rsidR="00CC7982" w:rsidRPr="00524F1F">
        <w:rPr>
          <w:rFonts w:ascii="Arial" w:hAnsi="Arial" w:cs="Arial"/>
          <w:sz w:val="20"/>
          <w:szCs w:val="20"/>
        </w:rPr>
        <w:t>he city profiling is completed solely based on the features of volumetric growth feature</w:t>
      </w:r>
      <w:r>
        <w:rPr>
          <w:rFonts w:ascii="Arial" w:hAnsi="Arial" w:cs="Arial"/>
          <w:sz w:val="20"/>
          <w:szCs w:val="20"/>
        </w:rPr>
        <w:t xml:space="preserve">s as explained in table S1 </w:t>
      </w:r>
      <w:r w:rsidR="00E810E4">
        <w:rPr>
          <w:rFonts w:ascii="Arial" w:hAnsi="Arial" w:cs="Arial"/>
          <w:sz w:val="20"/>
          <w:szCs w:val="20"/>
        </w:rPr>
        <w:t xml:space="preserve">and </w:t>
      </w:r>
      <w:r w:rsidR="00E810E4" w:rsidRPr="00524F1F">
        <w:rPr>
          <w:rFonts w:ascii="Arial" w:hAnsi="Arial" w:cs="Arial"/>
          <w:sz w:val="20"/>
          <w:szCs w:val="20"/>
        </w:rPr>
        <w:t>surface</w:t>
      </w:r>
      <w:r w:rsidR="00CC7982" w:rsidRPr="00524F1F">
        <w:rPr>
          <w:rFonts w:ascii="Arial" w:hAnsi="Arial" w:cs="Arial"/>
          <w:sz w:val="20"/>
          <w:szCs w:val="20"/>
        </w:rPr>
        <w:t xml:space="preserve"> warming trends</w:t>
      </w:r>
      <w:bookmarkEnd w:id="2"/>
      <w:r w:rsidR="00CC7982" w:rsidRPr="00524F1F">
        <w:rPr>
          <w:rFonts w:ascii="Arial" w:hAnsi="Arial" w:cs="Arial"/>
          <w:sz w:val="20"/>
          <w:szCs w:val="20"/>
        </w:rPr>
        <w:t>.</w:t>
      </w:r>
      <w:r w:rsidR="00B7439C">
        <w:rPr>
          <w:rFonts w:ascii="Arial" w:hAnsi="Arial" w:cs="Arial"/>
          <w:color w:val="EE0000"/>
          <w:sz w:val="20"/>
          <w:szCs w:val="20"/>
        </w:rPr>
        <w:t xml:space="preserve"> </w:t>
      </w:r>
      <w:r w:rsidR="00CC7982" w:rsidRPr="00524F1F">
        <w:rPr>
          <w:rFonts w:ascii="Arial" w:hAnsi="Arial" w:cs="Arial"/>
          <w:sz w:val="20"/>
          <w:szCs w:val="20"/>
        </w:rPr>
        <w:t>MODIS datasets (2002–2023) were primarily used for this section of study where</w:t>
      </w:r>
      <w:r w:rsidR="006C0EFE">
        <w:rPr>
          <w:rFonts w:ascii="Arial" w:hAnsi="Arial" w:cs="Arial"/>
          <w:sz w:val="20"/>
          <w:szCs w:val="20"/>
        </w:rPr>
        <w:t xml:space="preserve"> land surface temperature</w:t>
      </w:r>
      <w:r w:rsidR="00CC7982" w:rsidRPr="00524F1F">
        <w:rPr>
          <w:rFonts w:ascii="Arial" w:hAnsi="Arial" w:cs="Arial"/>
          <w:sz w:val="20"/>
          <w:szCs w:val="20"/>
        </w:rPr>
        <w:t xml:space="preserve"> (MYD11A2, Aqua LST) datasets were mapped along the city extents for past two decades to record the warming trend. These datasets were accessed from the EOSDIS (</w:t>
      </w:r>
      <w:hyperlink r:id="rId15" w:history="1">
        <w:r w:rsidR="00CC7982" w:rsidRPr="00524F1F">
          <w:rPr>
            <w:rStyle w:val="Hyperlink"/>
            <w:rFonts w:ascii="Arial" w:hAnsi="Arial" w:cs="Arial"/>
            <w:sz w:val="20"/>
            <w:szCs w:val="20"/>
          </w:rPr>
          <w:t>https://earthdata.nasa.gov/</w:t>
        </w:r>
      </w:hyperlink>
      <w:r w:rsidR="00CC7982" w:rsidRPr="00524F1F">
        <w:rPr>
          <w:rStyle w:val="Hyperlink"/>
          <w:rFonts w:ascii="Arial" w:hAnsi="Arial" w:cs="Arial"/>
          <w:sz w:val="20"/>
          <w:szCs w:val="20"/>
        </w:rPr>
        <w:t>)</w:t>
      </w:r>
      <w:r w:rsidR="00CC7982" w:rsidRPr="00524F1F">
        <w:rPr>
          <w:rFonts w:ascii="Arial" w:hAnsi="Arial" w:cs="Arial"/>
          <w:sz w:val="20"/>
          <w:szCs w:val="20"/>
        </w:rPr>
        <w:t xml:space="preserve">, while majority of the analysis was done in Google Earth Engine platform. The LST dataset includes two overpasses per day (at ~01:30 am and ~13:30 pm local solar time). The spatial resolution of the LST data is 1 km, and thus, the rest of the volumetric growth feature data were resampled to 1km to match the resolution of the LST data using the nearest neighborhood method. </w:t>
      </w:r>
    </w:p>
    <w:p w14:paraId="7632E093" w14:textId="77777777" w:rsidR="009C46A4" w:rsidRDefault="009C46A4" w:rsidP="00524F1F">
      <w:pPr>
        <w:spacing w:after="0" w:line="240" w:lineRule="auto"/>
        <w:jc w:val="both"/>
        <w:rPr>
          <w:rFonts w:ascii="Arial" w:hAnsi="Arial" w:cs="Arial"/>
          <w:b/>
          <w:bCs/>
          <w:sz w:val="20"/>
          <w:szCs w:val="20"/>
        </w:rPr>
      </w:pPr>
    </w:p>
    <w:p w14:paraId="2334655B" w14:textId="77777777" w:rsidR="009C46A4" w:rsidRDefault="009C46A4" w:rsidP="00524F1F">
      <w:pPr>
        <w:spacing w:after="0" w:line="240" w:lineRule="auto"/>
        <w:jc w:val="both"/>
        <w:rPr>
          <w:rFonts w:ascii="Arial" w:hAnsi="Arial" w:cs="Arial"/>
          <w:b/>
          <w:bCs/>
          <w:sz w:val="20"/>
          <w:szCs w:val="20"/>
        </w:rPr>
      </w:pPr>
    </w:p>
    <w:p w14:paraId="6407FA09" w14:textId="18DE4CC8" w:rsidR="00755231" w:rsidRPr="00DF014C" w:rsidRDefault="00712FF1" w:rsidP="00524F1F">
      <w:pPr>
        <w:spacing w:after="0" w:line="240" w:lineRule="auto"/>
        <w:jc w:val="both"/>
        <w:rPr>
          <w:rFonts w:ascii="Arial" w:hAnsi="Arial" w:cs="Arial"/>
          <w:b/>
          <w:bCs/>
          <w:sz w:val="20"/>
          <w:szCs w:val="20"/>
        </w:rPr>
      </w:pPr>
      <w:r>
        <w:rPr>
          <w:rFonts w:ascii="Arial" w:hAnsi="Arial" w:cs="Arial"/>
          <w:b/>
          <w:bCs/>
          <w:sz w:val="20"/>
          <w:szCs w:val="20"/>
        </w:rPr>
        <w:t>Supplementary Table 2</w:t>
      </w:r>
      <w:r w:rsidRPr="00D679EB">
        <w:rPr>
          <w:rFonts w:ascii="Arial" w:hAnsi="Arial" w:cs="Arial"/>
          <w:b/>
          <w:bCs/>
          <w:sz w:val="20"/>
          <w:szCs w:val="20"/>
        </w:rPr>
        <w:t>.</w:t>
      </w:r>
      <w:r w:rsidR="00755231" w:rsidRPr="00D679EB">
        <w:rPr>
          <w:rFonts w:ascii="Arial" w:hAnsi="Arial" w:cs="Arial"/>
          <w:sz w:val="20"/>
          <w:szCs w:val="20"/>
        </w:rPr>
        <w:t xml:space="preserve"> Profiling of Indian cities based solely on urban growth features and warming trends.</w:t>
      </w:r>
    </w:p>
    <w:p w14:paraId="032FC918" w14:textId="431F4FFB" w:rsidR="00FA15E1" w:rsidRPr="00D679EB" w:rsidRDefault="00FA15E1" w:rsidP="00524F1F">
      <w:pPr>
        <w:spacing w:after="0" w:line="240" w:lineRule="auto"/>
        <w:jc w:val="both"/>
        <w:rPr>
          <w:rFonts w:ascii="Arial" w:hAnsi="Arial" w:cs="Arial"/>
          <w:color w:val="C00000"/>
          <w:sz w:val="20"/>
          <w:szCs w:val="20"/>
          <w:vertAlign w:val="subscript"/>
        </w:rPr>
      </w:pPr>
    </w:p>
    <w:tbl>
      <w:tblPr>
        <w:tblStyle w:val="PlainTable2"/>
        <w:tblW w:w="0" w:type="auto"/>
        <w:tblLayout w:type="fixed"/>
        <w:tblLook w:val="04A0" w:firstRow="1" w:lastRow="0" w:firstColumn="1" w:lastColumn="0" w:noHBand="0" w:noVBand="1"/>
      </w:tblPr>
      <w:tblGrid>
        <w:gridCol w:w="1276"/>
        <w:gridCol w:w="4953"/>
        <w:gridCol w:w="2797"/>
      </w:tblGrid>
      <w:tr w:rsidR="002A4A50" w:rsidRPr="002609DB" w14:paraId="100877D5" w14:textId="77777777" w:rsidTr="00D679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5B424A86" w14:textId="77777777" w:rsidR="00FA15E1" w:rsidRPr="002609DB" w:rsidRDefault="00FA15E1" w:rsidP="00AE58CD">
            <w:pPr>
              <w:spacing w:line="240" w:lineRule="auto"/>
              <w:jc w:val="center"/>
              <w:rPr>
                <w:rFonts w:ascii="Arial" w:eastAsia="Times New Roman" w:hAnsi="Arial" w:cs="Arial"/>
                <w:b w:val="0"/>
                <w:bCs w:val="0"/>
                <w:lang w:eastAsia="en-IN" w:bidi="bn-IN"/>
              </w:rPr>
            </w:pPr>
            <w:r w:rsidRPr="002609DB">
              <w:rPr>
                <w:rFonts w:ascii="Arial" w:eastAsia="Times New Roman" w:hAnsi="Arial" w:cs="Arial"/>
                <w:lang w:eastAsia="en-IN" w:bidi="bn-IN"/>
              </w:rPr>
              <w:t>City profiling</w:t>
            </w:r>
          </w:p>
        </w:tc>
        <w:tc>
          <w:tcPr>
            <w:tcW w:w="4953" w:type="dxa"/>
            <w:noWrap/>
            <w:vAlign w:val="center"/>
            <w:hideMark/>
          </w:tcPr>
          <w:p w14:paraId="1931E85A" w14:textId="77777777" w:rsidR="00FA15E1" w:rsidRPr="002609DB" w:rsidRDefault="00FA15E1" w:rsidP="00AE58C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IN" w:bidi="bn-IN"/>
              </w:rPr>
            </w:pPr>
            <w:r w:rsidRPr="002609DB">
              <w:rPr>
                <w:rFonts w:ascii="Arial" w:eastAsia="Times New Roman" w:hAnsi="Arial" w:cs="Arial"/>
                <w:lang w:eastAsia="en-IN" w:bidi="bn-IN"/>
              </w:rPr>
              <w:t>Cities</w:t>
            </w:r>
          </w:p>
        </w:tc>
        <w:tc>
          <w:tcPr>
            <w:tcW w:w="2797" w:type="dxa"/>
            <w:noWrap/>
            <w:vAlign w:val="center"/>
            <w:hideMark/>
          </w:tcPr>
          <w:p w14:paraId="2AAB7DDE" w14:textId="21F42E94" w:rsidR="00FA15E1" w:rsidRPr="002609DB" w:rsidRDefault="00FA15E1" w:rsidP="00AE58C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IN" w:bidi="bn-IN"/>
              </w:rPr>
            </w:pPr>
            <w:r w:rsidRPr="002609DB">
              <w:rPr>
                <w:rFonts w:ascii="Arial" w:eastAsia="Times New Roman" w:hAnsi="Arial" w:cs="Arial"/>
                <w:lang w:eastAsia="en-IN" w:bidi="bn-IN"/>
              </w:rPr>
              <w:t xml:space="preserve">Common Features of </w:t>
            </w:r>
            <w:r w:rsidR="006930F6" w:rsidRPr="002609DB">
              <w:rPr>
                <w:rFonts w:ascii="Arial" w:hAnsi="Arial" w:cs="Arial"/>
                <w:lang w:val="en-IN"/>
              </w:rPr>
              <w:t>city urban growth</w:t>
            </w:r>
          </w:p>
        </w:tc>
      </w:tr>
      <w:tr w:rsidR="002A4A50" w:rsidRPr="002609DB" w14:paraId="229E62A1" w14:textId="77777777" w:rsidTr="00D679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2FE9D31D" w14:textId="77777777" w:rsidR="00FA15E1" w:rsidRPr="002609DB" w:rsidRDefault="00FA15E1" w:rsidP="00AE58CD">
            <w:pPr>
              <w:spacing w:line="240" w:lineRule="auto"/>
              <w:jc w:val="center"/>
              <w:rPr>
                <w:rFonts w:ascii="Arial" w:eastAsia="Times New Roman" w:hAnsi="Arial" w:cs="Arial"/>
                <w:b w:val="0"/>
                <w:bCs w:val="0"/>
                <w:lang w:eastAsia="en-IN" w:bidi="bn-IN"/>
              </w:rPr>
            </w:pPr>
            <w:r w:rsidRPr="002609DB">
              <w:rPr>
                <w:rFonts w:ascii="Arial" w:eastAsia="Times New Roman" w:hAnsi="Arial" w:cs="Arial"/>
                <w:lang w:eastAsia="en-IN" w:bidi="bn-IN"/>
              </w:rPr>
              <w:t>Type-I</w:t>
            </w:r>
          </w:p>
        </w:tc>
        <w:tc>
          <w:tcPr>
            <w:tcW w:w="4953" w:type="dxa"/>
            <w:noWrap/>
            <w:vAlign w:val="center"/>
          </w:tcPr>
          <w:p w14:paraId="3854C3DF" w14:textId="77777777" w:rsidR="00FA15E1" w:rsidRPr="002609DB" w:rsidRDefault="00FA15E1" w:rsidP="00AE58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N" w:bidi="bn-IN"/>
              </w:rPr>
            </w:pPr>
            <w:r w:rsidRPr="002609DB">
              <w:rPr>
                <w:rFonts w:ascii="Arial" w:eastAsia="Times New Roman" w:hAnsi="Arial" w:cs="Arial"/>
                <w:color w:val="000000"/>
                <w:lang w:eastAsia="en-IN" w:bidi="bn-IN"/>
              </w:rPr>
              <w:t>Delhi, Kolkata, Mumbai, Pune, Bangalore, Chennai, Hyderabad, Ahmedabad</w:t>
            </w:r>
          </w:p>
        </w:tc>
        <w:tc>
          <w:tcPr>
            <w:tcW w:w="2797" w:type="dxa"/>
            <w:noWrap/>
            <w:vAlign w:val="center"/>
            <w:hideMark/>
          </w:tcPr>
          <w:p w14:paraId="26EB0EAA" w14:textId="77777777" w:rsidR="00FA15E1" w:rsidRPr="002609DB" w:rsidRDefault="00FA15E1" w:rsidP="00AE58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N" w:bidi="bn-IN"/>
              </w:rPr>
            </w:pPr>
            <w:r w:rsidRPr="002609DB">
              <w:rPr>
                <w:rFonts w:ascii="Arial" w:eastAsia="Times New Roman" w:hAnsi="Arial" w:cs="Arial"/>
                <w:color w:val="000000"/>
                <w:lang w:eastAsia="en-IN" w:bidi="bn-IN"/>
              </w:rPr>
              <w:t>Large cities, high population density, high vertical development, high built-ground coverage, irregular city shape</w:t>
            </w:r>
          </w:p>
        </w:tc>
      </w:tr>
      <w:tr w:rsidR="002A4A50" w:rsidRPr="002609DB" w14:paraId="0F56D64B" w14:textId="77777777" w:rsidTr="00D679EB">
        <w:trPr>
          <w:trHeight w:val="2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313A9048" w14:textId="77777777" w:rsidR="00FA15E1" w:rsidRPr="002609DB" w:rsidRDefault="00FA15E1" w:rsidP="00AE58CD">
            <w:pPr>
              <w:spacing w:line="240" w:lineRule="auto"/>
              <w:jc w:val="center"/>
              <w:rPr>
                <w:rFonts w:ascii="Arial" w:eastAsia="Times New Roman" w:hAnsi="Arial" w:cs="Arial"/>
                <w:b w:val="0"/>
                <w:bCs w:val="0"/>
                <w:lang w:eastAsia="en-IN" w:bidi="bn-IN"/>
              </w:rPr>
            </w:pPr>
            <w:r w:rsidRPr="002609DB">
              <w:rPr>
                <w:rFonts w:ascii="Arial" w:eastAsia="Times New Roman" w:hAnsi="Arial" w:cs="Arial"/>
                <w:lang w:eastAsia="en-IN" w:bidi="bn-IN"/>
              </w:rPr>
              <w:t>Type-II</w:t>
            </w:r>
          </w:p>
        </w:tc>
        <w:tc>
          <w:tcPr>
            <w:tcW w:w="4953" w:type="dxa"/>
            <w:noWrap/>
            <w:vAlign w:val="center"/>
          </w:tcPr>
          <w:p w14:paraId="2EBDF32C" w14:textId="77777777" w:rsidR="00FA15E1" w:rsidRPr="002609DB" w:rsidRDefault="00FA15E1" w:rsidP="00AE58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N" w:bidi="bn-IN"/>
              </w:rPr>
            </w:pPr>
            <w:r w:rsidRPr="002609DB">
              <w:rPr>
                <w:rFonts w:ascii="Arial" w:eastAsia="Times New Roman" w:hAnsi="Arial" w:cs="Arial"/>
                <w:color w:val="000000"/>
                <w:lang w:eastAsia="en-IN" w:bidi="bn-IN"/>
              </w:rPr>
              <w:t xml:space="preserve">Amritsar, Jaipur, Kochi, Lucknow, Nagpur, Patna, Raipur, Surat, Agra, Kanpur, Puducherry, Gorakhpur, Nashik, Mysuru, Ludhiana, Aligarh, Vadodara, </w:t>
            </w:r>
            <w:r w:rsidRPr="002609DB">
              <w:rPr>
                <w:rFonts w:ascii="Arial" w:eastAsia="Times New Roman" w:hAnsi="Arial" w:cs="Arial"/>
                <w:color w:val="000000"/>
                <w:lang w:eastAsia="en-IN" w:bidi="bn-IN"/>
              </w:rPr>
              <w:lastRenderedPageBreak/>
              <w:t>Panipat, Rajkot, Udaipur, Tirupati, Firozabad, Bareilly, Vijayawada, Muzaffarpur, Coimbatore, Ranchi, Madurai, Jodhpur</w:t>
            </w:r>
          </w:p>
        </w:tc>
        <w:tc>
          <w:tcPr>
            <w:tcW w:w="2797" w:type="dxa"/>
            <w:noWrap/>
            <w:vAlign w:val="center"/>
            <w:hideMark/>
          </w:tcPr>
          <w:p w14:paraId="4826B0BB" w14:textId="77777777" w:rsidR="00FA15E1" w:rsidRPr="002609DB" w:rsidRDefault="00FA15E1" w:rsidP="00AE58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N" w:bidi="bn-IN"/>
              </w:rPr>
            </w:pPr>
            <w:r w:rsidRPr="002609DB">
              <w:rPr>
                <w:rFonts w:ascii="Arial" w:eastAsia="Times New Roman" w:hAnsi="Arial" w:cs="Arial"/>
                <w:color w:val="000000"/>
                <w:lang w:eastAsia="en-IN" w:bidi="bn-IN"/>
              </w:rPr>
              <w:lastRenderedPageBreak/>
              <w:t xml:space="preserve">Medium cities, high population density, moderate vertical development, high to </w:t>
            </w:r>
            <w:r w:rsidRPr="002609DB">
              <w:rPr>
                <w:rFonts w:ascii="Arial" w:eastAsia="Times New Roman" w:hAnsi="Arial" w:cs="Arial"/>
                <w:color w:val="000000"/>
                <w:lang w:eastAsia="en-IN" w:bidi="bn-IN"/>
              </w:rPr>
              <w:lastRenderedPageBreak/>
              <w:t>moderate built-ground coverage, irregular city shape</w:t>
            </w:r>
          </w:p>
        </w:tc>
      </w:tr>
      <w:tr w:rsidR="002A4A50" w:rsidRPr="002609DB" w14:paraId="4035CA73" w14:textId="77777777" w:rsidTr="00D679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1167C55A" w14:textId="77777777" w:rsidR="00FA15E1" w:rsidRPr="002609DB" w:rsidRDefault="00FA15E1" w:rsidP="00AE58CD">
            <w:pPr>
              <w:spacing w:line="240" w:lineRule="auto"/>
              <w:jc w:val="center"/>
              <w:rPr>
                <w:rFonts w:ascii="Arial" w:eastAsia="Times New Roman" w:hAnsi="Arial" w:cs="Arial"/>
                <w:b w:val="0"/>
                <w:bCs w:val="0"/>
                <w:lang w:eastAsia="en-IN" w:bidi="bn-IN"/>
              </w:rPr>
            </w:pPr>
            <w:r w:rsidRPr="002609DB">
              <w:rPr>
                <w:rFonts w:ascii="Arial" w:eastAsia="Times New Roman" w:hAnsi="Arial" w:cs="Arial"/>
                <w:lang w:eastAsia="en-IN" w:bidi="bn-IN"/>
              </w:rPr>
              <w:lastRenderedPageBreak/>
              <w:t>Type-III</w:t>
            </w:r>
          </w:p>
        </w:tc>
        <w:tc>
          <w:tcPr>
            <w:tcW w:w="4953" w:type="dxa"/>
            <w:noWrap/>
            <w:vAlign w:val="center"/>
          </w:tcPr>
          <w:p w14:paraId="550AD9D2" w14:textId="77777777" w:rsidR="00FA15E1" w:rsidRPr="002609DB" w:rsidRDefault="00FA15E1" w:rsidP="00AE58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N" w:bidi="bn-IN"/>
              </w:rPr>
            </w:pPr>
            <w:r w:rsidRPr="002609DB">
              <w:rPr>
                <w:rFonts w:ascii="Arial" w:eastAsia="Times New Roman" w:hAnsi="Arial" w:cs="Arial"/>
                <w:color w:val="000000"/>
                <w:lang w:eastAsia="en-IN" w:bidi="bn-IN"/>
              </w:rPr>
              <w:t>Srinagar, Dehradun, Farrukhabad, Jamnagar, Khammam, Gulbarga, Malegaon, Kolhapur, Dhule, Shillong, Amravati, Dhanbad, Cuttack, Siliguri, Akola, Jhansi, Karnal, Vellore, Hisar, Thoothukudi, Gwalior, Rourkela, Ahmednagar, Indore, Solapur, Durgapur, Bhavnagar, Thanjavur, Bardhhaman</w:t>
            </w:r>
          </w:p>
        </w:tc>
        <w:tc>
          <w:tcPr>
            <w:tcW w:w="2797" w:type="dxa"/>
            <w:noWrap/>
            <w:vAlign w:val="center"/>
            <w:hideMark/>
          </w:tcPr>
          <w:p w14:paraId="1C533C1C" w14:textId="77777777" w:rsidR="00FA15E1" w:rsidRPr="002609DB" w:rsidRDefault="00FA15E1" w:rsidP="00AE58C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IN" w:bidi="bn-IN"/>
              </w:rPr>
            </w:pPr>
            <w:r w:rsidRPr="002609DB">
              <w:rPr>
                <w:rFonts w:ascii="Arial" w:eastAsia="Times New Roman" w:hAnsi="Arial" w:cs="Arial"/>
                <w:color w:val="000000"/>
                <w:lang w:eastAsia="en-IN" w:bidi="bn-IN"/>
              </w:rPr>
              <w:t>Medium to Small cities, medium population density, moderate vertical development, moderate built-ground coverage, irregular city shape</w:t>
            </w:r>
          </w:p>
        </w:tc>
      </w:tr>
      <w:tr w:rsidR="002A4A50" w:rsidRPr="002609DB" w14:paraId="505A985C" w14:textId="77777777" w:rsidTr="003D091C">
        <w:trPr>
          <w:trHeight w:val="1179"/>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6AA4742B" w14:textId="77777777" w:rsidR="00FA15E1" w:rsidRPr="002609DB" w:rsidRDefault="00FA15E1" w:rsidP="00AE58CD">
            <w:pPr>
              <w:spacing w:line="240" w:lineRule="auto"/>
              <w:jc w:val="center"/>
              <w:rPr>
                <w:rFonts w:ascii="Arial" w:eastAsia="Times New Roman" w:hAnsi="Arial" w:cs="Arial"/>
                <w:b w:val="0"/>
                <w:bCs w:val="0"/>
                <w:lang w:eastAsia="en-IN" w:bidi="bn-IN"/>
              </w:rPr>
            </w:pPr>
            <w:r w:rsidRPr="002609DB">
              <w:rPr>
                <w:rFonts w:ascii="Arial" w:eastAsia="Times New Roman" w:hAnsi="Arial" w:cs="Arial"/>
                <w:lang w:eastAsia="en-IN" w:bidi="bn-IN"/>
              </w:rPr>
              <w:t>Type-IV</w:t>
            </w:r>
          </w:p>
        </w:tc>
        <w:tc>
          <w:tcPr>
            <w:tcW w:w="4953" w:type="dxa"/>
            <w:noWrap/>
            <w:vAlign w:val="center"/>
          </w:tcPr>
          <w:p w14:paraId="42098005" w14:textId="77777777" w:rsidR="00FA15E1" w:rsidRPr="002609DB" w:rsidRDefault="00FA15E1" w:rsidP="00AE58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N" w:bidi="bn-IN"/>
              </w:rPr>
            </w:pPr>
            <w:r w:rsidRPr="002609DB">
              <w:rPr>
                <w:rFonts w:ascii="Arial" w:eastAsia="Times New Roman" w:hAnsi="Arial" w:cs="Arial"/>
                <w:color w:val="000000"/>
                <w:lang w:eastAsia="en-IN" w:bidi="bn-IN"/>
              </w:rPr>
              <w:t>Bhopal, Bhubaneswar, Chandigarh, Jamshedpur, Visakhapatnam, Ajmer, Jabalpur, Rewa, Bilaspur, Imphal, Patiala, Mangalore, Bhagalpur, Rajahmundry, Gaya, Bhilai and Durg, Aurangabad, Satna, Asansol, Darbhanga, Trichy, Hubli-Dharwad</w:t>
            </w:r>
          </w:p>
        </w:tc>
        <w:tc>
          <w:tcPr>
            <w:tcW w:w="2797" w:type="dxa"/>
            <w:noWrap/>
            <w:vAlign w:val="center"/>
            <w:hideMark/>
          </w:tcPr>
          <w:p w14:paraId="018116F6" w14:textId="4C8766C7" w:rsidR="00FA15E1" w:rsidRPr="002609DB" w:rsidRDefault="00FA15E1" w:rsidP="00AE58C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N" w:bidi="bn-IN"/>
              </w:rPr>
            </w:pPr>
            <w:r w:rsidRPr="002609DB">
              <w:rPr>
                <w:rFonts w:ascii="Arial" w:eastAsia="Times New Roman" w:hAnsi="Arial" w:cs="Arial"/>
                <w:color w:val="000000"/>
                <w:lang w:eastAsia="en-IN" w:bidi="bn-IN"/>
              </w:rPr>
              <w:t>Small</w:t>
            </w:r>
            <w:r w:rsidR="00256A09" w:rsidRPr="002609DB">
              <w:rPr>
                <w:rFonts w:ascii="Arial" w:eastAsia="Times New Roman" w:hAnsi="Arial" w:cs="Arial"/>
                <w:color w:val="000000"/>
                <w:lang w:eastAsia="en-IN" w:bidi="bn-IN"/>
              </w:rPr>
              <w:t>er</w:t>
            </w:r>
            <w:r w:rsidRPr="002609DB">
              <w:rPr>
                <w:rFonts w:ascii="Arial" w:eastAsia="Times New Roman" w:hAnsi="Arial" w:cs="Arial"/>
                <w:color w:val="000000"/>
                <w:lang w:eastAsia="en-IN" w:bidi="bn-IN"/>
              </w:rPr>
              <w:t xml:space="preserve"> cities, low to medium population density, low vertical development, low built-ground coverage, compact city shape</w:t>
            </w:r>
          </w:p>
        </w:tc>
      </w:tr>
    </w:tbl>
    <w:p w14:paraId="33B9F5E8" w14:textId="77777777" w:rsidR="0054072D" w:rsidRDefault="0054072D" w:rsidP="00524F1F">
      <w:pPr>
        <w:spacing w:after="0" w:line="240" w:lineRule="auto"/>
        <w:jc w:val="both"/>
        <w:rPr>
          <w:rFonts w:ascii="Arial" w:hAnsi="Arial" w:cs="Arial"/>
          <w:b/>
          <w:bCs/>
          <w:sz w:val="20"/>
          <w:szCs w:val="20"/>
        </w:rPr>
      </w:pPr>
    </w:p>
    <w:p w14:paraId="33C2C6B4" w14:textId="77777777" w:rsidR="002A4A50" w:rsidRDefault="002A4A50" w:rsidP="00524F1F">
      <w:pPr>
        <w:spacing w:after="0" w:line="240" w:lineRule="auto"/>
        <w:jc w:val="both"/>
        <w:rPr>
          <w:rFonts w:ascii="Arial" w:hAnsi="Arial" w:cs="Arial"/>
          <w:b/>
          <w:bCs/>
          <w:sz w:val="20"/>
          <w:szCs w:val="20"/>
        </w:rPr>
      </w:pPr>
    </w:p>
    <w:p w14:paraId="22AF4C2A" w14:textId="77777777" w:rsidR="002609DB" w:rsidRDefault="002609DB" w:rsidP="00524F1F">
      <w:pPr>
        <w:spacing w:after="0" w:line="240" w:lineRule="auto"/>
        <w:jc w:val="both"/>
        <w:rPr>
          <w:rFonts w:ascii="Arial" w:hAnsi="Arial" w:cs="Arial"/>
          <w:b/>
          <w:bCs/>
          <w:sz w:val="20"/>
          <w:szCs w:val="20"/>
        </w:rPr>
      </w:pPr>
    </w:p>
    <w:p w14:paraId="3E53E727" w14:textId="77777777" w:rsidR="008C01C9" w:rsidRPr="00EC149D" w:rsidRDefault="008C01C9" w:rsidP="008C01C9">
      <w:pPr>
        <w:spacing w:after="0" w:line="240" w:lineRule="auto"/>
        <w:jc w:val="both"/>
        <w:rPr>
          <w:rFonts w:ascii="Arial" w:hAnsi="Arial" w:cs="Arial"/>
          <w:sz w:val="20"/>
          <w:szCs w:val="20"/>
        </w:rPr>
      </w:pPr>
      <w:r>
        <w:rPr>
          <w:rFonts w:ascii="Arial" w:hAnsi="Arial" w:cs="Arial"/>
          <w:noProof/>
          <w:sz w:val="20"/>
          <w:szCs w:val="20"/>
          <w14:ligatures w14:val="standardContextual"/>
        </w:rPr>
        <w:drawing>
          <wp:inline distT="0" distB="0" distL="0" distR="0" wp14:anchorId="31FD33CC" wp14:editId="7E5489CC">
            <wp:extent cx="5731510" cy="4259580"/>
            <wp:effectExtent l="0" t="0" r="2540" b="7620"/>
            <wp:docPr id="64887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77099" name="Picture 6488770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59580"/>
                    </a:xfrm>
                    <a:prstGeom prst="rect">
                      <a:avLst/>
                    </a:prstGeom>
                  </pic:spPr>
                </pic:pic>
              </a:graphicData>
            </a:graphic>
          </wp:inline>
        </w:drawing>
      </w:r>
    </w:p>
    <w:p w14:paraId="33D7ABD8" w14:textId="77777777" w:rsidR="008C01C9" w:rsidRDefault="008C01C9" w:rsidP="008C01C9">
      <w:pPr>
        <w:spacing w:after="0" w:line="240" w:lineRule="auto"/>
        <w:jc w:val="both"/>
        <w:rPr>
          <w:rFonts w:ascii="Arial" w:hAnsi="Arial" w:cs="Arial"/>
          <w:b/>
          <w:bCs/>
          <w:sz w:val="24"/>
          <w:szCs w:val="24"/>
        </w:rPr>
      </w:pPr>
    </w:p>
    <w:p w14:paraId="2B611660" w14:textId="75F8DCD6" w:rsidR="006930F6" w:rsidRDefault="00D328E9" w:rsidP="003561D4">
      <w:pPr>
        <w:spacing w:after="0" w:line="240" w:lineRule="auto"/>
        <w:jc w:val="both"/>
        <w:rPr>
          <w:rFonts w:ascii="Arial" w:hAnsi="Arial" w:cs="Arial"/>
          <w:sz w:val="20"/>
          <w:szCs w:val="20"/>
        </w:rPr>
      </w:pPr>
      <w:r>
        <w:rPr>
          <w:rFonts w:ascii="Arial" w:hAnsi="Arial" w:cs="Arial"/>
          <w:b/>
          <w:bCs/>
          <w:sz w:val="20"/>
          <w:szCs w:val="20"/>
        </w:rPr>
        <w:t>Supplementary Figure 2</w:t>
      </w:r>
      <w:r w:rsidRPr="00DF014C">
        <w:rPr>
          <w:rFonts w:ascii="Arial" w:hAnsi="Arial" w:cs="Arial"/>
          <w:b/>
          <w:bCs/>
          <w:sz w:val="20"/>
          <w:szCs w:val="20"/>
        </w:rPr>
        <w:t>.</w:t>
      </w:r>
      <w:r w:rsidR="008C01C9" w:rsidRPr="00134436">
        <w:rPr>
          <w:rFonts w:ascii="Arial" w:hAnsi="Arial" w:cs="Arial"/>
          <w:b/>
          <w:bCs/>
          <w:sz w:val="20"/>
          <w:szCs w:val="20"/>
        </w:rPr>
        <w:t xml:space="preserve"> </w:t>
      </w:r>
      <w:r w:rsidR="008C01C9" w:rsidRPr="00134436">
        <w:rPr>
          <w:rFonts w:ascii="Arial" w:hAnsi="Arial" w:cs="Arial"/>
          <w:sz w:val="20"/>
          <w:szCs w:val="20"/>
        </w:rPr>
        <w:t xml:space="preserve">The </w:t>
      </w:r>
      <w:r w:rsidR="00072A86">
        <w:rPr>
          <w:rFonts w:ascii="Arial" w:hAnsi="Arial" w:cs="Arial"/>
          <w:sz w:val="20"/>
          <w:szCs w:val="20"/>
        </w:rPr>
        <w:t>distribution</w:t>
      </w:r>
      <w:r w:rsidR="00C66CFC">
        <w:rPr>
          <w:rFonts w:ascii="Arial" w:hAnsi="Arial" w:cs="Arial"/>
          <w:sz w:val="20"/>
          <w:szCs w:val="20"/>
        </w:rPr>
        <w:t xml:space="preserve"> of </w:t>
      </w:r>
      <w:r w:rsidR="00072A86" w:rsidRPr="00134436">
        <w:rPr>
          <w:rFonts w:ascii="Arial" w:hAnsi="Arial" w:cs="Arial"/>
          <w:sz w:val="20"/>
          <w:szCs w:val="20"/>
        </w:rPr>
        <w:t>city-built</w:t>
      </w:r>
      <w:r w:rsidR="00C66CFC">
        <w:rPr>
          <w:rFonts w:ascii="Arial" w:hAnsi="Arial" w:cs="Arial"/>
          <w:sz w:val="20"/>
          <w:szCs w:val="20"/>
        </w:rPr>
        <w:t xml:space="preserve"> </w:t>
      </w:r>
      <w:r w:rsidR="00072A86">
        <w:rPr>
          <w:rFonts w:ascii="Arial" w:hAnsi="Arial" w:cs="Arial"/>
          <w:sz w:val="20"/>
          <w:szCs w:val="20"/>
        </w:rPr>
        <w:t>volumetrics</w:t>
      </w:r>
      <w:r w:rsidR="008C01C9" w:rsidRPr="00134436">
        <w:rPr>
          <w:rFonts w:ascii="Arial" w:hAnsi="Arial" w:cs="Arial"/>
          <w:sz w:val="20"/>
          <w:szCs w:val="20"/>
        </w:rPr>
        <w:t xml:space="preserve"> across India</w:t>
      </w:r>
      <w:r w:rsidR="00C66CFC">
        <w:rPr>
          <w:rFonts w:ascii="Arial" w:hAnsi="Arial" w:cs="Arial"/>
          <w:sz w:val="20"/>
          <w:szCs w:val="20"/>
        </w:rPr>
        <w:t>n cities</w:t>
      </w:r>
      <w:r w:rsidR="008C01C9" w:rsidRPr="00134436">
        <w:rPr>
          <w:rFonts w:ascii="Arial" w:hAnsi="Arial" w:cs="Arial"/>
          <w:sz w:val="20"/>
          <w:szCs w:val="20"/>
        </w:rPr>
        <w:t xml:space="preserve">: The </w:t>
      </w:r>
      <w:r w:rsidR="008C01C9">
        <w:rPr>
          <w:rFonts w:ascii="Arial" w:hAnsi="Arial" w:cs="Arial"/>
          <w:sz w:val="20"/>
          <w:szCs w:val="20"/>
        </w:rPr>
        <w:t xml:space="preserve">bar diagram (mean </w:t>
      </w:r>
      <w:r w:rsidR="008C01C9" w:rsidRPr="007B6A3D">
        <w:rPr>
          <w:rFonts w:ascii="Arial" w:hAnsi="Arial" w:cs="Arial"/>
        </w:rPr>
        <w:t>±</w:t>
      </w:r>
      <w:r w:rsidR="008C01C9">
        <w:rPr>
          <w:rFonts w:ascii="Arial" w:hAnsi="Arial" w:cs="Arial"/>
        </w:rPr>
        <w:t xml:space="preserve"> </w:t>
      </w:r>
      <w:r w:rsidR="008C01C9">
        <w:rPr>
          <w:rFonts w:ascii="Arial" w:hAnsi="Arial" w:cs="Arial"/>
          <w:sz w:val="20"/>
          <w:szCs w:val="20"/>
        </w:rPr>
        <w:t xml:space="preserve">standard error) </w:t>
      </w:r>
      <w:r w:rsidR="008C01C9" w:rsidRPr="00134436">
        <w:rPr>
          <w:rFonts w:ascii="Arial" w:hAnsi="Arial" w:cs="Arial"/>
          <w:sz w:val="20"/>
          <w:szCs w:val="20"/>
        </w:rPr>
        <w:t xml:space="preserve">plots represent </w:t>
      </w:r>
      <w:r w:rsidR="008C01C9">
        <w:rPr>
          <w:rFonts w:ascii="Arial" w:hAnsi="Arial" w:cs="Arial"/>
          <w:sz w:val="20"/>
          <w:szCs w:val="20"/>
        </w:rPr>
        <w:t xml:space="preserve">the extent of </w:t>
      </w:r>
      <w:r w:rsidR="008C01C9" w:rsidRPr="00134436">
        <w:rPr>
          <w:rFonts w:ascii="Arial" w:hAnsi="Arial" w:cs="Arial"/>
          <w:sz w:val="20"/>
          <w:szCs w:val="20"/>
        </w:rPr>
        <w:t xml:space="preserve">urban parameters across four city </w:t>
      </w:r>
      <w:r w:rsidR="00072A86" w:rsidRPr="00134436">
        <w:rPr>
          <w:rFonts w:ascii="Arial" w:hAnsi="Arial" w:cs="Arial"/>
          <w:sz w:val="20"/>
          <w:szCs w:val="20"/>
        </w:rPr>
        <w:t>profiles</w:t>
      </w:r>
      <w:r w:rsidR="00072A86">
        <w:rPr>
          <w:rFonts w:ascii="Arial" w:hAnsi="Arial" w:cs="Arial"/>
          <w:sz w:val="20"/>
          <w:szCs w:val="20"/>
        </w:rPr>
        <w:t xml:space="preserve"> (type</w:t>
      </w:r>
      <w:r w:rsidR="00E1432E" w:rsidRPr="00134436">
        <w:rPr>
          <w:rFonts w:ascii="Arial" w:hAnsi="Arial" w:cs="Arial"/>
          <w:sz w:val="20"/>
          <w:szCs w:val="20"/>
        </w:rPr>
        <w:t xml:space="preserve"> I</w:t>
      </w:r>
      <w:r w:rsidR="003D1E1E">
        <w:rPr>
          <w:rFonts w:ascii="Arial" w:hAnsi="Arial" w:cs="Arial"/>
          <w:sz w:val="20"/>
          <w:szCs w:val="20"/>
        </w:rPr>
        <w:t xml:space="preserve"> to t</w:t>
      </w:r>
      <w:r w:rsidR="00E1432E" w:rsidRPr="00134436">
        <w:rPr>
          <w:rFonts w:ascii="Arial" w:hAnsi="Arial" w:cs="Arial"/>
          <w:sz w:val="20"/>
          <w:szCs w:val="20"/>
        </w:rPr>
        <w:t>ype IV</w:t>
      </w:r>
      <w:r w:rsidR="003D1E1E">
        <w:rPr>
          <w:rFonts w:ascii="Arial" w:hAnsi="Arial" w:cs="Arial"/>
          <w:sz w:val="20"/>
          <w:szCs w:val="20"/>
        </w:rPr>
        <w:t xml:space="preserve">). Where subplots a to i indicate various city </w:t>
      </w:r>
      <w:r w:rsidR="00072A86">
        <w:rPr>
          <w:rFonts w:ascii="Arial" w:hAnsi="Arial" w:cs="Arial"/>
          <w:sz w:val="20"/>
          <w:szCs w:val="20"/>
        </w:rPr>
        <w:t>volumetrics</w:t>
      </w:r>
      <w:r w:rsidR="003D1E1E">
        <w:rPr>
          <w:rFonts w:ascii="Arial" w:hAnsi="Arial" w:cs="Arial"/>
          <w:sz w:val="20"/>
          <w:szCs w:val="20"/>
        </w:rPr>
        <w:t xml:space="preserve"> feature and land </w:t>
      </w:r>
      <w:r w:rsidR="00072A86">
        <w:rPr>
          <w:rFonts w:ascii="Arial" w:hAnsi="Arial" w:cs="Arial"/>
          <w:sz w:val="20"/>
          <w:szCs w:val="20"/>
        </w:rPr>
        <w:t>surface</w:t>
      </w:r>
      <w:r w:rsidR="003D1E1E">
        <w:rPr>
          <w:rFonts w:ascii="Arial" w:hAnsi="Arial" w:cs="Arial"/>
          <w:sz w:val="20"/>
          <w:szCs w:val="20"/>
        </w:rPr>
        <w:t xml:space="preserve"> warming trends.</w:t>
      </w:r>
    </w:p>
    <w:p w14:paraId="30F5598F" w14:textId="47626D9F" w:rsidR="00DF014C" w:rsidRPr="00637A1C" w:rsidRDefault="00FF5022" w:rsidP="00524F1F">
      <w:pPr>
        <w:spacing w:after="0" w:line="240" w:lineRule="auto"/>
        <w:jc w:val="center"/>
        <w:rPr>
          <w:rFonts w:ascii="Arial" w:hAnsi="Arial" w:cs="Arial"/>
          <w:b/>
          <w:bCs/>
        </w:rPr>
      </w:pPr>
      <w:r>
        <w:rPr>
          <w:rFonts w:ascii="Arial" w:hAnsi="Arial" w:cs="Arial"/>
          <w:b/>
          <w:bCs/>
          <w:noProof/>
          <w14:ligatures w14:val="standardContextual"/>
        </w:rPr>
        <w:lastRenderedPageBreak/>
        <w:drawing>
          <wp:inline distT="0" distB="0" distL="0" distR="0" wp14:anchorId="583BC81B" wp14:editId="073059BE">
            <wp:extent cx="5731510" cy="7710805"/>
            <wp:effectExtent l="0" t="0" r="2540" b="4445"/>
            <wp:docPr id="846856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56502" name="Picture 8468565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710805"/>
                    </a:xfrm>
                    <a:prstGeom prst="rect">
                      <a:avLst/>
                    </a:prstGeom>
                  </pic:spPr>
                </pic:pic>
              </a:graphicData>
            </a:graphic>
          </wp:inline>
        </w:drawing>
      </w:r>
    </w:p>
    <w:p w14:paraId="2F01A38B" w14:textId="06B2F22B" w:rsidR="00EC684E" w:rsidRDefault="00D328E9" w:rsidP="00EC149D">
      <w:pPr>
        <w:spacing w:after="0" w:line="240" w:lineRule="auto"/>
        <w:jc w:val="both"/>
        <w:rPr>
          <w:rFonts w:ascii="Arial" w:hAnsi="Arial" w:cs="Arial"/>
          <w:sz w:val="20"/>
          <w:szCs w:val="20"/>
        </w:rPr>
      </w:pPr>
      <w:r>
        <w:rPr>
          <w:rFonts w:ascii="Arial" w:hAnsi="Arial" w:cs="Arial"/>
          <w:b/>
          <w:bCs/>
          <w:sz w:val="20"/>
          <w:szCs w:val="20"/>
        </w:rPr>
        <w:t>Supplementary Figure 3</w:t>
      </w:r>
      <w:r w:rsidRPr="00DF014C">
        <w:rPr>
          <w:rFonts w:ascii="Arial" w:hAnsi="Arial" w:cs="Arial"/>
          <w:b/>
          <w:bCs/>
          <w:sz w:val="20"/>
          <w:szCs w:val="20"/>
        </w:rPr>
        <w:t>.</w:t>
      </w:r>
      <w:r w:rsidR="00DF014C" w:rsidRPr="00134436">
        <w:rPr>
          <w:rFonts w:ascii="Arial" w:hAnsi="Arial" w:cs="Arial"/>
          <w:b/>
          <w:bCs/>
          <w:sz w:val="20"/>
          <w:szCs w:val="20"/>
        </w:rPr>
        <w:t xml:space="preserve"> </w:t>
      </w:r>
      <w:r w:rsidR="00DF014C" w:rsidRPr="00134436">
        <w:rPr>
          <w:rFonts w:ascii="Arial" w:hAnsi="Arial" w:cs="Arial"/>
          <w:sz w:val="20"/>
          <w:szCs w:val="20"/>
        </w:rPr>
        <w:t xml:space="preserve">The city profiles across India: a) Type I, b) Type II, c) Type III, d) Type IV. The parallel coordinate plots represent standardized and weighted urban parameters across four city profiles (from Type-I to Type-IV) along LST rising trend (°C per year). Each </w:t>
      </w:r>
      <w:r w:rsidR="006930F6">
        <w:rPr>
          <w:rFonts w:ascii="Arial" w:hAnsi="Arial" w:cs="Arial"/>
          <w:sz w:val="20"/>
          <w:szCs w:val="20"/>
          <w:lang w:val="en-IN"/>
        </w:rPr>
        <w:t>city urban growth feature</w:t>
      </w:r>
      <w:r w:rsidR="00DF014C" w:rsidRPr="00134436">
        <w:rPr>
          <w:rFonts w:ascii="Arial" w:hAnsi="Arial" w:cs="Arial"/>
          <w:sz w:val="20"/>
          <w:szCs w:val="20"/>
        </w:rPr>
        <w:t xml:space="preserve"> as well as LST rise trend is standardized using z-scores to normalize different scales, enabling comparison across features. The values are also weighted based on their relative significance as mentioned in table S5. Table S6 can also be referred further for tabulated list of cities.</w:t>
      </w:r>
    </w:p>
    <w:p w14:paraId="1BBDC244" w14:textId="77777777" w:rsidR="0054072D" w:rsidRDefault="0054072D" w:rsidP="00524F1F">
      <w:pPr>
        <w:spacing w:line="240" w:lineRule="auto"/>
        <w:jc w:val="both"/>
        <w:rPr>
          <w:rFonts w:ascii="Arial" w:hAnsi="Arial" w:cs="Arial"/>
          <w:b/>
          <w:bCs/>
          <w:sz w:val="24"/>
          <w:szCs w:val="24"/>
        </w:rPr>
      </w:pPr>
    </w:p>
    <w:p w14:paraId="65F8322C" w14:textId="420CF8AB" w:rsidR="003D1E1E" w:rsidRDefault="00891993" w:rsidP="003D1E1E">
      <w:pPr>
        <w:spacing w:after="0" w:line="240" w:lineRule="auto"/>
        <w:jc w:val="both"/>
        <w:rPr>
          <w:rFonts w:ascii="Arial" w:hAnsi="Arial" w:cs="Arial"/>
          <w:sz w:val="20"/>
          <w:szCs w:val="20"/>
        </w:rPr>
      </w:pPr>
      <w:r>
        <w:rPr>
          <w:rFonts w:ascii="Arial" w:hAnsi="Arial" w:cs="Arial"/>
          <w:b/>
          <w:bCs/>
          <w:noProof/>
          <w:sz w:val="20"/>
          <w:szCs w:val="20"/>
          <w14:ligatures w14:val="standardContextual"/>
        </w:rPr>
        <w:lastRenderedPageBreak/>
        <w:drawing>
          <wp:inline distT="0" distB="0" distL="0" distR="0" wp14:anchorId="17DC076E" wp14:editId="7CA5C3C6">
            <wp:extent cx="5731510" cy="4358640"/>
            <wp:effectExtent l="0" t="0" r="2540" b="3810"/>
            <wp:docPr id="1789861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61614" name="Picture 17898616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358640"/>
                    </a:xfrm>
                    <a:prstGeom prst="rect">
                      <a:avLst/>
                    </a:prstGeom>
                  </pic:spPr>
                </pic:pic>
              </a:graphicData>
            </a:graphic>
          </wp:inline>
        </w:drawing>
      </w:r>
      <w:r w:rsidR="00900136" w:rsidRPr="00900136">
        <w:rPr>
          <w:rFonts w:ascii="Arial" w:hAnsi="Arial" w:cs="Arial"/>
          <w:b/>
          <w:bCs/>
          <w:sz w:val="20"/>
          <w:szCs w:val="20"/>
        </w:rPr>
        <w:t xml:space="preserve"> </w:t>
      </w:r>
      <w:r w:rsidR="00900136">
        <w:rPr>
          <w:rFonts w:ascii="Arial" w:hAnsi="Arial" w:cs="Arial"/>
          <w:b/>
          <w:bCs/>
          <w:sz w:val="20"/>
          <w:szCs w:val="20"/>
        </w:rPr>
        <w:t>Supplementary Figure 4</w:t>
      </w:r>
      <w:r w:rsidR="00900136" w:rsidRPr="00DF014C">
        <w:rPr>
          <w:rFonts w:ascii="Arial" w:hAnsi="Arial" w:cs="Arial"/>
          <w:b/>
          <w:bCs/>
          <w:sz w:val="20"/>
          <w:szCs w:val="20"/>
        </w:rPr>
        <w:t>.</w:t>
      </w:r>
      <w:r w:rsidR="00900136">
        <w:rPr>
          <w:rFonts w:ascii="Arial" w:hAnsi="Arial" w:cs="Arial"/>
          <w:b/>
          <w:bCs/>
          <w:sz w:val="20"/>
          <w:szCs w:val="20"/>
        </w:rPr>
        <w:t xml:space="preserve"> </w:t>
      </w:r>
      <w:r w:rsidR="00E1432E" w:rsidRPr="00134436">
        <w:rPr>
          <w:rFonts w:ascii="Arial" w:hAnsi="Arial" w:cs="Arial"/>
          <w:sz w:val="20"/>
          <w:szCs w:val="20"/>
        </w:rPr>
        <w:t xml:space="preserve">The </w:t>
      </w:r>
      <w:r w:rsidR="00072A86">
        <w:rPr>
          <w:rFonts w:ascii="Arial" w:hAnsi="Arial" w:cs="Arial"/>
          <w:sz w:val="20"/>
          <w:szCs w:val="20"/>
        </w:rPr>
        <w:t>distribution</w:t>
      </w:r>
      <w:r w:rsidR="00E1432E">
        <w:rPr>
          <w:rFonts w:ascii="Arial" w:hAnsi="Arial" w:cs="Arial"/>
          <w:sz w:val="20"/>
          <w:szCs w:val="20"/>
        </w:rPr>
        <w:t xml:space="preserve"> of </w:t>
      </w:r>
      <w:r w:rsidR="00072A86" w:rsidRPr="00134436">
        <w:rPr>
          <w:rFonts w:ascii="Arial" w:hAnsi="Arial" w:cs="Arial"/>
          <w:sz w:val="20"/>
          <w:szCs w:val="20"/>
        </w:rPr>
        <w:t>city-built</w:t>
      </w:r>
      <w:r w:rsidR="00E1432E">
        <w:rPr>
          <w:rFonts w:ascii="Arial" w:hAnsi="Arial" w:cs="Arial"/>
          <w:sz w:val="20"/>
          <w:szCs w:val="20"/>
        </w:rPr>
        <w:t xml:space="preserve"> </w:t>
      </w:r>
      <w:r w:rsidR="00072A86">
        <w:rPr>
          <w:rFonts w:ascii="Arial" w:hAnsi="Arial" w:cs="Arial"/>
          <w:sz w:val="20"/>
          <w:szCs w:val="20"/>
        </w:rPr>
        <w:t>volumetrics</w:t>
      </w:r>
      <w:r w:rsidR="00E1432E" w:rsidRPr="00134436">
        <w:rPr>
          <w:rFonts w:ascii="Arial" w:hAnsi="Arial" w:cs="Arial"/>
          <w:sz w:val="20"/>
          <w:szCs w:val="20"/>
        </w:rPr>
        <w:t xml:space="preserve"> across India</w:t>
      </w:r>
      <w:r w:rsidR="00E1432E">
        <w:rPr>
          <w:rFonts w:ascii="Arial" w:hAnsi="Arial" w:cs="Arial"/>
          <w:sz w:val="20"/>
          <w:szCs w:val="20"/>
        </w:rPr>
        <w:t>n cities</w:t>
      </w:r>
      <w:r w:rsidR="00E1432E" w:rsidRPr="00134436">
        <w:rPr>
          <w:rFonts w:ascii="Arial" w:hAnsi="Arial" w:cs="Arial"/>
          <w:sz w:val="20"/>
          <w:szCs w:val="20"/>
        </w:rPr>
        <w:t>:</w:t>
      </w:r>
      <w:r w:rsidR="003D1E1E" w:rsidRPr="003D1E1E">
        <w:rPr>
          <w:rFonts w:ascii="Arial" w:hAnsi="Arial" w:cs="Arial"/>
          <w:sz w:val="20"/>
          <w:szCs w:val="20"/>
        </w:rPr>
        <w:t xml:space="preserve"> </w:t>
      </w:r>
      <w:r w:rsidR="003D1E1E" w:rsidRPr="00134436">
        <w:rPr>
          <w:rFonts w:ascii="Arial" w:hAnsi="Arial" w:cs="Arial"/>
          <w:sz w:val="20"/>
          <w:szCs w:val="20"/>
        </w:rPr>
        <w:t xml:space="preserve">The </w:t>
      </w:r>
      <w:r w:rsidR="003D1E1E">
        <w:rPr>
          <w:rFonts w:ascii="Arial" w:hAnsi="Arial" w:cs="Arial"/>
          <w:sz w:val="20"/>
          <w:szCs w:val="20"/>
        </w:rPr>
        <w:t xml:space="preserve">bar diagram (mean </w:t>
      </w:r>
      <w:r w:rsidR="003D1E1E" w:rsidRPr="007B6A3D">
        <w:rPr>
          <w:rFonts w:ascii="Arial" w:hAnsi="Arial" w:cs="Arial"/>
        </w:rPr>
        <w:t>±</w:t>
      </w:r>
      <w:r w:rsidR="003D1E1E">
        <w:rPr>
          <w:rFonts w:ascii="Arial" w:hAnsi="Arial" w:cs="Arial"/>
        </w:rPr>
        <w:t xml:space="preserve"> </w:t>
      </w:r>
      <w:r w:rsidR="003D1E1E">
        <w:rPr>
          <w:rFonts w:ascii="Arial" w:hAnsi="Arial" w:cs="Arial"/>
          <w:sz w:val="20"/>
          <w:szCs w:val="20"/>
        </w:rPr>
        <w:t xml:space="preserve">standard error) </w:t>
      </w:r>
      <w:r w:rsidR="003D1E1E" w:rsidRPr="00134436">
        <w:rPr>
          <w:rFonts w:ascii="Arial" w:hAnsi="Arial" w:cs="Arial"/>
          <w:sz w:val="20"/>
          <w:szCs w:val="20"/>
        </w:rPr>
        <w:t xml:space="preserve">plots represent </w:t>
      </w:r>
      <w:r w:rsidR="003D1E1E">
        <w:rPr>
          <w:rFonts w:ascii="Arial" w:hAnsi="Arial" w:cs="Arial"/>
          <w:sz w:val="20"/>
          <w:szCs w:val="20"/>
        </w:rPr>
        <w:t xml:space="preserve">the extent of </w:t>
      </w:r>
      <w:r w:rsidR="003D1E1E" w:rsidRPr="00134436">
        <w:rPr>
          <w:rFonts w:ascii="Arial" w:hAnsi="Arial" w:cs="Arial"/>
          <w:sz w:val="20"/>
          <w:szCs w:val="20"/>
        </w:rPr>
        <w:t xml:space="preserve">urban parameters across four city </w:t>
      </w:r>
      <w:r w:rsidR="00072A86" w:rsidRPr="00134436">
        <w:rPr>
          <w:rFonts w:ascii="Arial" w:hAnsi="Arial" w:cs="Arial"/>
          <w:sz w:val="20"/>
          <w:szCs w:val="20"/>
        </w:rPr>
        <w:t>profiles</w:t>
      </w:r>
      <w:r w:rsidR="00072A86">
        <w:rPr>
          <w:rFonts w:ascii="Arial" w:hAnsi="Arial" w:cs="Arial"/>
          <w:sz w:val="20"/>
          <w:szCs w:val="20"/>
        </w:rPr>
        <w:t xml:space="preserve"> (type</w:t>
      </w:r>
      <w:r w:rsidR="003D1E1E" w:rsidRPr="00134436">
        <w:rPr>
          <w:rFonts w:ascii="Arial" w:hAnsi="Arial" w:cs="Arial"/>
          <w:sz w:val="20"/>
          <w:szCs w:val="20"/>
        </w:rPr>
        <w:t xml:space="preserve"> I</w:t>
      </w:r>
      <w:r w:rsidR="003D1E1E">
        <w:rPr>
          <w:rFonts w:ascii="Arial" w:hAnsi="Arial" w:cs="Arial"/>
          <w:sz w:val="20"/>
          <w:szCs w:val="20"/>
        </w:rPr>
        <w:t xml:space="preserve"> to t</w:t>
      </w:r>
      <w:r w:rsidR="003D1E1E" w:rsidRPr="00134436">
        <w:rPr>
          <w:rFonts w:ascii="Arial" w:hAnsi="Arial" w:cs="Arial"/>
          <w:sz w:val="20"/>
          <w:szCs w:val="20"/>
        </w:rPr>
        <w:t>ype IV</w:t>
      </w:r>
      <w:r w:rsidR="003D1E1E">
        <w:rPr>
          <w:rFonts w:ascii="Arial" w:hAnsi="Arial" w:cs="Arial"/>
          <w:sz w:val="20"/>
          <w:szCs w:val="20"/>
        </w:rPr>
        <w:t xml:space="preserve">). Where subplots a to i indicate various city </w:t>
      </w:r>
      <w:r w:rsidR="00072A86">
        <w:rPr>
          <w:rFonts w:ascii="Arial" w:hAnsi="Arial" w:cs="Arial"/>
          <w:sz w:val="20"/>
          <w:szCs w:val="20"/>
        </w:rPr>
        <w:t>volumetrics</w:t>
      </w:r>
      <w:r w:rsidR="003D1E1E">
        <w:rPr>
          <w:rFonts w:ascii="Arial" w:hAnsi="Arial" w:cs="Arial"/>
          <w:sz w:val="20"/>
          <w:szCs w:val="20"/>
        </w:rPr>
        <w:t xml:space="preserve"> feature and land </w:t>
      </w:r>
      <w:r w:rsidR="00072A86">
        <w:rPr>
          <w:rFonts w:ascii="Arial" w:hAnsi="Arial" w:cs="Arial"/>
          <w:sz w:val="20"/>
          <w:szCs w:val="20"/>
        </w:rPr>
        <w:t>surface</w:t>
      </w:r>
      <w:r w:rsidR="003D1E1E">
        <w:rPr>
          <w:rFonts w:ascii="Arial" w:hAnsi="Arial" w:cs="Arial"/>
          <w:sz w:val="20"/>
          <w:szCs w:val="20"/>
        </w:rPr>
        <w:t xml:space="preserve"> warming trends.</w:t>
      </w:r>
    </w:p>
    <w:p w14:paraId="7D87377D" w14:textId="7DA9B67F" w:rsidR="00C86B4D" w:rsidRDefault="00C86B4D" w:rsidP="00DF1BD0">
      <w:pPr>
        <w:spacing w:after="0"/>
        <w:jc w:val="both"/>
        <w:rPr>
          <w:rStyle w:val="Strong"/>
          <w:rFonts w:ascii="Arial" w:hAnsi="Arial" w:cs="Arial"/>
          <w:sz w:val="20"/>
          <w:szCs w:val="20"/>
        </w:rPr>
      </w:pPr>
    </w:p>
    <w:p w14:paraId="6B7CF752" w14:textId="77777777" w:rsidR="00963623" w:rsidRDefault="00963623" w:rsidP="00DF1BD0">
      <w:pPr>
        <w:spacing w:after="0"/>
        <w:jc w:val="both"/>
        <w:rPr>
          <w:rStyle w:val="Strong"/>
          <w:rFonts w:ascii="Arial" w:hAnsi="Arial" w:cs="Arial"/>
          <w:sz w:val="20"/>
          <w:szCs w:val="20"/>
        </w:rPr>
      </w:pPr>
    </w:p>
    <w:p w14:paraId="36312215" w14:textId="214C598C" w:rsidR="00DF1BD0" w:rsidRPr="00E810E4" w:rsidRDefault="00DF1BD0" w:rsidP="00DF1BD0">
      <w:pPr>
        <w:spacing w:after="0"/>
        <w:jc w:val="both"/>
        <w:rPr>
          <w:rFonts w:ascii="Arial" w:hAnsi="Arial" w:cs="Arial"/>
          <w:b/>
          <w:bCs/>
          <w:sz w:val="24"/>
          <w:szCs w:val="24"/>
        </w:rPr>
      </w:pPr>
      <w:r w:rsidRPr="00E810E4">
        <w:rPr>
          <w:rFonts w:ascii="Arial" w:hAnsi="Arial" w:cs="Arial"/>
          <w:b/>
          <w:bCs/>
          <w:sz w:val="24"/>
          <w:szCs w:val="24"/>
        </w:rPr>
        <w:t>1.</w:t>
      </w:r>
      <w:r w:rsidR="00C66CFC" w:rsidRPr="00E810E4">
        <w:rPr>
          <w:rFonts w:ascii="Arial" w:hAnsi="Arial" w:cs="Arial"/>
          <w:b/>
          <w:bCs/>
          <w:sz w:val="24"/>
          <w:szCs w:val="24"/>
        </w:rPr>
        <w:t xml:space="preserve">2 </w:t>
      </w:r>
      <w:r w:rsidRPr="00E810E4">
        <w:rPr>
          <w:rFonts w:ascii="Arial" w:hAnsi="Arial" w:cs="Arial"/>
          <w:b/>
          <w:bCs/>
          <w:sz w:val="24"/>
          <w:szCs w:val="24"/>
        </w:rPr>
        <w:t>Additional data on cities used for Bi-Variate analysis</w:t>
      </w:r>
    </w:p>
    <w:p w14:paraId="70527D6F" w14:textId="77777777" w:rsidR="00DF1BD0" w:rsidRDefault="00DF1BD0" w:rsidP="00DF1BD0">
      <w:pPr>
        <w:spacing w:after="0"/>
        <w:jc w:val="both"/>
        <w:rPr>
          <w:rStyle w:val="Strong"/>
          <w:rFonts w:ascii="Arial" w:hAnsi="Arial" w:cs="Arial"/>
          <w:sz w:val="20"/>
          <w:szCs w:val="20"/>
        </w:rPr>
      </w:pPr>
    </w:p>
    <w:p w14:paraId="5479D4F7" w14:textId="09141A57" w:rsidR="00DF1BD0" w:rsidRDefault="00DF1BD0" w:rsidP="00DF1BD0">
      <w:pPr>
        <w:spacing w:after="0"/>
        <w:jc w:val="both"/>
        <w:rPr>
          <w:rFonts w:ascii="Arial" w:eastAsiaTheme="minorEastAsia" w:hAnsi="Arial" w:cs="Arial"/>
          <w:b/>
          <w:bCs/>
          <w:sz w:val="20"/>
          <w:szCs w:val="20"/>
        </w:rPr>
      </w:pPr>
      <w:r w:rsidRPr="00DF014C">
        <w:rPr>
          <w:rStyle w:val="Strong"/>
          <w:rFonts w:ascii="Arial" w:hAnsi="Arial" w:cs="Arial"/>
          <w:sz w:val="20"/>
          <w:szCs w:val="20"/>
        </w:rPr>
        <w:t>1.</w:t>
      </w:r>
      <w:r w:rsidR="00C66CFC">
        <w:rPr>
          <w:rStyle w:val="Strong"/>
          <w:rFonts w:ascii="Arial" w:hAnsi="Arial" w:cs="Arial"/>
          <w:sz w:val="20"/>
          <w:szCs w:val="20"/>
        </w:rPr>
        <w:t xml:space="preserve">2.1 </w:t>
      </w:r>
      <w:r w:rsidRPr="00B21A6F">
        <w:rPr>
          <w:rFonts w:ascii="Arial" w:hAnsi="Arial" w:cs="Arial"/>
          <w:b/>
          <w:bCs/>
          <w:sz w:val="20"/>
          <w:szCs w:val="20"/>
        </w:rPr>
        <w:t>City volumetric data</w:t>
      </w:r>
      <m:oMath>
        <m:r>
          <m:rPr>
            <m:sty m:val="bi"/>
          </m:rPr>
          <w:rPr>
            <w:rFonts w:ascii="Cambria Math" w:hAnsi="Cambria Math" w:cs="Arial"/>
            <w:sz w:val="20"/>
            <w:szCs w:val="20"/>
          </w:rPr>
          <m:t xml:space="preserve"> </m:t>
        </m:r>
        <m:sSub>
          <m:sSubPr>
            <m:ctrlPr>
              <w:rPr>
                <w:rFonts w:ascii="Cambria Math" w:hAnsi="Cambria Math" w:cs="Arial"/>
                <w:b/>
                <w:bCs/>
                <w:i/>
                <w:sz w:val="20"/>
                <w:szCs w:val="20"/>
              </w:rPr>
            </m:ctrlPr>
          </m:sSubPr>
          <m:e>
            <m:r>
              <m:rPr>
                <m:sty m:val="bi"/>
              </m:rPr>
              <w:rPr>
                <w:rFonts w:ascii="Cambria Math" w:hAnsi="Cambria Math" w:cs="Arial"/>
                <w:sz w:val="20"/>
                <w:szCs w:val="20"/>
              </w:rPr>
              <m:t>(C</m:t>
            </m:r>
          </m:e>
          <m:sub>
            <m:r>
              <m:rPr>
                <m:sty m:val="bi"/>
              </m:rPr>
              <w:rPr>
                <w:rFonts w:ascii="Cambria Math" w:hAnsi="Cambria Math" w:cs="Arial"/>
                <w:sz w:val="20"/>
                <w:szCs w:val="20"/>
              </w:rPr>
              <m:t>Vol</m:t>
            </m:r>
          </m:sub>
        </m:sSub>
        <m:r>
          <m:rPr>
            <m:sty m:val="bi"/>
          </m:rPr>
          <w:rPr>
            <w:rFonts w:ascii="Cambria Math" w:hAnsi="Cambria Math" w:cs="Arial"/>
            <w:sz w:val="20"/>
            <w:szCs w:val="20"/>
          </w:rPr>
          <m:t>)</m:t>
        </m:r>
      </m:oMath>
    </w:p>
    <w:p w14:paraId="60EBDCEC" w14:textId="77777777" w:rsidR="00DF1BD0" w:rsidRPr="00B21A6F" w:rsidRDefault="00DF1BD0" w:rsidP="00DF1BD0">
      <w:pPr>
        <w:spacing w:after="0"/>
        <w:jc w:val="both"/>
        <w:rPr>
          <w:rFonts w:ascii="Arial" w:eastAsiaTheme="minorEastAsia" w:hAnsi="Arial" w:cs="Arial"/>
          <w:sz w:val="20"/>
          <w:szCs w:val="20"/>
        </w:rPr>
      </w:pPr>
      <w:r>
        <w:rPr>
          <w:rFonts w:ascii="Arial" w:eastAsiaTheme="minorEastAsia" w:hAnsi="Arial" w:cs="Arial"/>
          <w:sz w:val="20"/>
          <w:szCs w:val="20"/>
        </w:rPr>
        <w:t>Apart from city lateral spread and vertical growth, gross</w:t>
      </w:r>
      <w:r w:rsidRPr="00B21A6F">
        <w:rPr>
          <w:rFonts w:ascii="Arial" w:eastAsiaTheme="minorEastAsia" w:hAnsi="Arial" w:cs="Arial"/>
          <w:sz w:val="20"/>
          <w:szCs w:val="20"/>
        </w:rPr>
        <w:t xml:space="preserve"> volumetric </w:t>
      </w:r>
      <w:r>
        <w:rPr>
          <w:rFonts w:ascii="Arial" w:eastAsiaTheme="minorEastAsia" w:hAnsi="Arial" w:cs="Arial"/>
          <w:sz w:val="20"/>
          <w:szCs w:val="20"/>
        </w:rPr>
        <w:t>expanse of city built spaces</w:t>
      </w:r>
      <w:r w:rsidRPr="00B21A6F">
        <w:rPr>
          <w:rFonts w:ascii="Arial" w:eastAsiaTheme="minorEastAsia" w:hAnsi="Arial" w:cs="Arial"/>
          <w:sz w:val="20"/>
          <w:szCs w:val="20"/>
        </w:rPr>
        <w:t xml:space="preserve"> is collected directly from the Global Human Settlement Layer (GHSL) datasets  and averaged over the study period using the available data</w:t>
      </w:r>
      <w:r>
        <w:rPr>
          <w:rFonts w:ascii="Arial" w:eastAsiaTheme="minorEastAsia" w:hAnsi="Arial" w:cs="Arial"/>
          <w:sz w:val="20"/>
          <w:szCs w:val="20"/>
        </w:rPr>
        <w:t xml:space="preserve"> </w:t>
      </w:r>
      <w:r w:rsidRPr="00B21A6F">
        <w:rPr>
          <w:rFonts w:ascii="Arial" w:eastAsiaTheme="minorEastAsia" w:hAnsi="Arial" w:cs="Arial"/>
          <w:sz w:val="20"/>
          <w:szCs w:val="20"/>
        </w:rPr>
        <w:t>(</w:t>
      </w:r>
      <w:hyperlink r:id="rId19" w:tgtFrame="_new" w:history="1">
        <w:r w:rsidRPr="00B21A6F">
          <w:rPr>
            <w:rStyle w:val="Hyperlink"/>
            <w:rFonts w:ascii="Arial" w:eastAsiaTheme="minorEastAsia" w:hAnsi="Arial" w:cs="Arial"/>
            <w:sz w:val="20"/>
            <w:szCs w:val="20"/>
          </w:rPr>
          <w:t>https://human-settlement.emergency.copernicus.eu/index.php</w:t>
        </w:r>
      </w:hyperlink>
      <w:r w:rsidRPr="00B21A6F">
        <w:rPr>
          <w:rFonts w:ascii="Arial" w:eastAsiaTheme="minorEastAsia" w:hAnsi="Arial" w:cs="Arial"/>
          <w:sz w:val="20"/>
          <w:szCs w:val="20"/>
        </w:rPr>
        <w:t>). The annual increment in city volume is also recorded</w:t>
      </w:r>
      <w:r>
        <w:rPr>
          <w:rFonts w:ascii="Arial" w:eastAsiaTheme="minorEastAsia" w:hAnsi="Arial" w:cs="Arial"/>
          <w:sz w:val="20"/>
          <w:szCs w:val="20"/>
        </w:rPr>
        <w:t xml:space="preserve"> for the available period under study.</w:t>
      </w:r>
      <w:r w:rsidRPr="00B21A6F">
        <w:rPr>
          <w:rFonts w:ascii="Arial" w:eastAsiaTheme="minorEastAsia" w:hAnsi="Arial" w:cs="Arial"/>
          <w:sz w:val="20"/>
          <w:szCs w:val="20"/>
        </w:rPr>
        <w:t xml:space="preserve"> </w:t>
      </w:r>
      <w:r>
        <w:rPr>
          <w:rFonts w:ascii="Arial" w:eastAsiaTheme="minorEastAsia" w:hAnsi="Arial" w:cs="Arial"/>
          <w:sz w:val="20"/>
          <w:szCs w:val="20"/>
        </w:rPr>
        <w:t xml:space="preserve"> </w:t>
      </w:r>
      <w:r w:rsidRPr="00B73933">
        <w:rPr>
          <w:rFonts w:ascii="Arial" w:eastAsiaTheme="minorEastAsia" w:hAnsi="Arial" w:cs="Arial"/>
          <w:sz w:val="20"/>
          <w:szCs w:val="20"/>
          <w:lang w:val="en-IN"/>
        </w:rPr>
        <w:t xml:space="preserve">Although </w:t>
      </w:r>
      <w:r>
        <w:rPr>
          <w:rFonts w:ascii="Arial" w:eastAsiaTheme="minorEastAsia" w:hAnsi="Arial" w:cs="Arial"/>
          <w:sz w:val="20"/>
          <w:szCs w:val="20"/>
          <w:lang w:val="en-IN"/>
        </w:rPr>
        <w:t xml:space="preserve">this </w:t>
      </w:r>
      <w:r w:rsidRPr="00B73933">
        <w:rPr>
          <w:rFonts w:ascii="Arial" w:eastAsiaTheme="minorEastAsia" w:hAnsi="Arial" w:cs="Arial"/>
          <w:sz w:val="20"/>
          <w:szCs w:val="20"/>
          <w:lang w:val="en-IN"/>
        </w:rPr>
        <w:t>city volumetric growth data is available, only vertical and lateral growth are used as independent variables for clustering</w:t>
      </w:r>
      <w:r>
        <w:rPr>
          <w:rFonts w:ascii="Arial" w:eastAsiaTheme="minorEastAsia" w:hAnsi="Arial" w:cs="Arial"/>
          <w:sz w:val="20"/>
          <w:szCs w:val="20"/>
          <w:lang w:val="en-IN"/>
        </w:rPr>
        <w:t xml:space="preserve"> of cities alongside other indicators of urbanization</w:t>
      </w:r>
      <w:r w:rsidRPr="00B73933">
        <w:rPr>
          <w:rFonts w:ascii="Arial" w:eastAsiaTheme="minorEastAsia" w:hAnsi="Arial" w:cs="Arial"/>
          <w:sz w:val="20"/>
          <w:szCs w:val="20"/>
          <w:lang w:val="en-IN"/>
        </w:rPr>
        <w:t>. Direct volumetric measures are excluded from city classification</w:t>
      </w:r>
      <w:r>
        <w:rPr>
          <w:rFonts w:ascii="Arial" w:eastAsiaTheme="minorEastAsia" w:hAnsi="Arial" w:cs="Arial"/>
          <w:sz w:val="20"/>
          <w:szCs w:val="20"/>
          <w:lang w:val="en-IN"/>
        </w:rPr>
        <w:t xml:space="preserve"> and only used in bi-variate analysis and modelling studies</w:t>
      </w:r>
      <w:r w:rsidRPr="00B73933">
        <w:rPr>
          <w:rFonts w:ascii="Arial" w:eastAsiaTheme="minorEastAsia" w:hAnsi="Arial" w:cs="Arial"/>
          <w:sz w:val="20"/>
          <w:szCs w:val="20"/>
          <w:lang w:val="en-IN"/>
        </w:rPr>
        <w:t>.</w:t>
      </w:r>
    </w:p>
    <w:p w14:paraId="538737BA" w14:textId="77777777" w:rsidR="00DF1BD0" w:rsidRDefault="00DF1BD0" w:rsidP="00DF1BD0">
      <w:pPr>
        <w:spacing w:after="0"/>
        <w:jc w:val="both"/>
        <w:rPr>
          <w:rFonts w:ascii="Arial" w:hAnsi="Arial" w:cs="Arial"/>
          <w:b/>
          <w:bCs/>
          <w:sz w:val="20"/>
          <w:szCs w:val="20"/>
        </w:rPr>
      </w:pPr>
    </w:p>
    <w:p w14:paraId="0571CD4A" w14:textId="63434436" w:rsidR="00DF1BD0" w:rsidRDefault="00DF1BD0" w:rsidP="00DF1BD0">
      <w:pPr>
        <w:spacing w:after="0"/>
        <w:jc w:val="both"/>
        <w:rPr>
          <w:rFonts w:ascii="Arial" w:hAnsi="Arial" w:cs="Arial"/>
          <w:b/>
          <w:bCs/>
          <w:sz w:val="20"/>
          <w:szCs w:val="20"/>
        </w:rPr>
      </w:pPr>
      <w:r w:rsidRPr="00DF014C">
        <w:rPr>
          <w:rStyle w:val="Strong"/>
          <w:rFonts w:ascii="Arial" w:hAnsi="Arial" w:cs="Arial"/>
          <w:sz w:val="20"/>
          <w:szCs w:val="20"/>
        </w:rPr>
        <w:t>1.</w:t>
      </w:r>
      <w:r w:rsidR="00C66CFC">
        <w:rPr>
          <w:rStyle w:val="Strong"/>
          <w:rFonts w:ascii="Arial" w:hAnsi="Arial" w:cs="Arial"/>
          <w:sz w:val="20"/>
          <w:szCs w:val="20"/>
        </w:rPr>
        <w:t>2.2</w:t>
      </w:r>
      <w:r w:rsidRPr="00B21A6F">
        <w:rPr>
          <w:rFonts w:ascii="Arial" w:hAnsi="Arial" w:cs="Arial"/>
          <w:b/>
          <w:bCs/>
          <w:sz w:val="20"/>
          <w:szCs w:val="20"/>
        </w:rPr>
        <w:t xml:space="preserve"> City Road network density</w:t>
      </w:r>
      <m:oMath>
        <m:r>
          <m:rPr>
            <m:sty m:val="bi"/>
          </m:rPr>
          <w:rPr>
            <w:rFonts w:ascii="Cambria Math" w:hAnsi="Cambria Math" w:cs="Arial"/>
            <w:sz w:val="20"/>
            <w:szCs w:val="20"/>
          </w:rPr>
          <m:t xml:space="preserve"> </m:t>
        </m:r>
        <m:sSub>
          <m:sSubPr>
            <m:ctrlPr>
              <w:rPr>
                <w:rFonts w:ascii="Cambria Math" w:hAnsi="Cambria Math" w:cs="Arial"/>
                <w:b/>
                <w:bCs/>
                <w:i/>
                <w:sz w:val="20"/>
                <w:szCs w:val="20"/>
              </w:rPr>
            </m:ctrlPr>
          </m:sSubPr>
          <m:e>
            <m:r>
              <m:rPr>
                <m:sty m:val="bi"/>
              </m:rPr>
              <w:rPr>
                <w:rFonts w:ascii="Cambria Math" w:hAnsi="Cambria Math" w:cs="Arial"/>
                <w:sz w:val="20"/>
                <w:szCs w:val="20"/>
              </w:rPr>
              <m:t>(C</m:t>
            </m:r>
          </m:e>
          <m:sub>
            <m:r>
              <m:rPr>
                <m:sty m:val="bi"/>
              </m:rPr>
              <w:rPr>
                <w:rFonts w:ascii="Cambria Math" w:hAnsi="Cambria Math" w:cs="Arial"/>
                <w:sz w:val="20"/>
                <w:szCs w:val="20"/>
              </w:rPr>
              <m:t>Road</m:t>
            </m:r>
          </m:sub>
        </m:sSub>
        <m:r>
          <m:rPr>
            <m:sty m:val="bi"/>
          </m:rPr>
          <w:rPr>
            <w:rFonts w:ascii="Cambria Math" w:hAnsi="Cambria Math" w:cs="Arial"/>
            <w:sz w:val="20"/>
            <w:szCs w:val="20"/>
          </w:rPr>
          <m:t>)</m:t>
        </m:r>
      </m:oMath>
    </w:p>
    <w:p w14:paraId="79DD46E1" w14:textId="77777777" w:rsidR="00DF1BD0" w:rsidRPr="00B21A6F" w:rsidRDefault="00DF1BD0" w:rsidP="00DF1BD0">
      <w:pPr>
        <w:spacing w:after="0"/>
        <w:jc w:val="both"/>
        <w:rPr>
          <w:rFonts w:ascii="Arial" w:eastAsiaTheme="minorEastAsia" w:hAnsi="Arial" w:cs="Arial"/>
          <w:sz w:val="20"/>
          <w:szCs w:val="20"/>
        </w:rPr>
      </w:pPr>
      <w:r w:rsidRPr="00B21A6F">
        <w:rPr>
          <w:rFonts w:ascii="Arial" w:eastAsiaTheme="minorEastAsia" w:hAnsi="Arial" w:cs="Arial"/>
          <w:sz w:val="20"/>
          <w:szCs w:val="20"/>
        </w:rPr>
        <w:t xml:space="preserve">City road data, including total road length in </w:t>
      </w:r>
      <w:r w:rsidRPr="00F646F8">
        <w:rPr>
          <w:rFonts w:ascii="Arial" w:eastAsiaTheme="minorEastAsia" w:hAnsi="Arial" w:cs="Arial"/>
          <w:sz w:val="20"/>
          <w:szCs w:val="20"/>
        </w:rPr>
        <w:t>kilometers</w:t>
      </w:r>
      <w:r w:rsidRPr="00B21A6F">
        <w:rPr>
          <w:rFonts w:ascii="Arial" w:eastAsiaTheme="minorEastAsia" w:hAnsi="Arial" w:cs="Arial"/>
          <w:sz w:val="20"/>
          <w:szCs w:val="20"/>
        </w:rPr>
        <w:t xml:space="preserve"> and overall road network density in meters per square meter, is collected directly from the Global Human Settlement Layer (GHSL) datasets (</w:t>
      </w:r>
      <w:hyperlink r:id="rId20" w:tgtFrame="_new" w:history="1">
        <w:r w:rsidRPr="00B21A6F">
          <w:rPr>
            <w:rStyle w:val="Hyperlink"/>
            <w:rFonts w:ascii="Arial" w:eastAsiaTheme="minorEastAsia" w:hAnsi="Arial" w:cs="Arial"/>
            <w:sz w:val="20"/>
            <w:szCs w:val="20"/>
          </w:rPr>
          <w:t>https://human-settlement.emergency.copernicus.eu/index.php</w:t>
        </w:r>
      </w:hyperlink>
      <w:r w:rsidRPr="00B21A6F">
        <w:rPr>
          <w:rFonts w:ascii="Arial" w:eastAsiaTheme="minorEastAsia" w:hAnsi="Arial" w:cs="Arial"/>
          <w:sz w:val="20"/>
          <w:szCs w:val="20"/>
        </w:rPr>
        <w:t>) and averaged over the study period using the available data.</w:t>
      </w:r>
    </w:p>
    <w:p w14:paraId="38F50C04" w14:textId="77777777" w:rsidR="00DF1BD0" w:rsidRPr="00B21A6F" w:rsidRDefault="00DF1BD0" w:rsidP="00DF1BD0">
      <w:pPr>
        <w:spacing w:after="0"/>
        <w:jc w:val="both"/>
        <w:rPr>
          <w:rFonts w:ascii="Arial" w:hAnsi="Arial" w:cs="Arial"/>
          <w:sz w:val="20"/>
          <w:szCs w:val="20"/>
        </w:rPr>
      </w:pPr>
    </w:p>
    <w:p w14:paraId="1D84021C" w14:textId="0CCC8408" w:rsidR="00DF1BD0" w:rsidRPr="00D679EB" w:rsidRDefault="00DF1BD0" w:rsidP="00D679EB">
      <w:pPr>
        <w:spacing w:after="0"/>
        <w:jc w:val="both"/>
        <w:rPr>
          <w:rFonts w:ascii="Arial" w:hAnsi="Arial" w:cs="Arial"/>
          <w:sz w:val="20"/>
          <w:szCs w:val="20"/>
        </w:rPr>
      </w:pPr>
      <w:r w:rsidRPr="00B21A6F">
        <w:rPr>
          <w:rFonts w:ascii="Arial" w:hAnsi="Arial" w:cs="Arial"/>
          <w:sz w:val="20"/>
          <w:szCs w:val="20"/>
        </w:rPr>
        <w:t xml:space="preserve">Data on urban green cover and its changes, which reflect shifts in open areas beyond built-up development, were collected from both the GHSL-UCDB list and cross-verified using MODIS-EVI datasets (MOD13A2.061) from 2002 to 2023, considering green cover as another key factor influencing urban </w:t>
      </w:r>
      <w:r w:rsidRPr="004A6ABC">
        <w:rPr>
          <w:rFonts w:ascii="Arial" w:hAnsi="Arial" w:cs="Arial"/>
          <w:sz w:val="20"/>
          <w:szCs w:val="20"/>
        </w:rPr>
        <w:t>temperature rise, which can be potential impactor of cooling demand also</w:t>
      </w:r>
      <w:r>
        <w:rPr>
          <w:rFonts w:ascii="Arial" w:hAnsi="Arial" w:cs="Arial"/>
          <w:sz w:val="20"/>
          <w:szCs w:val="20"/>
        </w:rPr>
        <w:t xml:space="preserve"> </w:t>
      </w:r>
      <w:r>
        <w:rPr>
          <w:rFonts w:ascii="Arial" w:hAnsi="Arial" w:cs="Arial"/>
          <w:sz w:val="20"/>
          <w:szCs w:val="20"/>
        </w:rPr>
        <w:fldChar w:fldCharType="begin" w:fldLock="1"/>
      </w:r>
      <w:r w:rsidR="00502006">
        <w:rPr>
          <w:rFonts w:ascii="Arial" w:hAnsi="Arial" w:cs="Arial"/>
          <w:sz w:val="20"/>
          <w:szCs w:val="20"/>
        </w:rPr>
        <w:instrText>ADDIN CSL_CITATION {"citationItems":[{"id":"ITEM-1","itemData":{"DOI":"10.1038/s41467-024-51355-0","ISSN":"2041-1723","PMID":"39223143","abstract":"Climate warming disproportionately impacts countries in the Global South by increasing extreme heat exposure. However, geographic disparities in adaptation capacity are unclear. Here, we assess global inequality in green spaces, which urban residents critically rely on to mitigate outdoor heat stress. We use remote sensing data to quantify daytime cooling by urban greenery in the warm seasons across the ~500 largest cities globally. We show a striking contrast, with Global South cities having ~70% of the cooling capacity of cities in the Global North (2.5 ± 1.0 °C vs. 3.6 ± 1.7 °C). A similar gap occurs for the cooling adaptation benefits received by an average resident in these cities (2.2 ± 0.9 °C vs. 3.4 ± 1.7 °C). This cooling adaptation inequality is due to discrepancies in green space quantity and quality between cities in the Global North and South, shaped by socioeconomic and natural factors. Our analyses further suggest a vast potential for enhancing cooling adaptation while reducing global inequality. A 1.5-fold gap exists in green space cooling adaptation between cities in the Global South and North. Enhancing urban green space quality and quantity offers vast potential for improving outdoor cooling adaptation and reducing its global inequality.","author":[{"dropping-particle":"","family":"Li","given":"Yuxiang","non-dropping-particle":"","parse-names":false,"suffix":""},{"dropping-particle":"","family":"Svenning","given":"Jens Christian","non-dropping-particle":"","parse-names":false,"suffix":""},{"dropping-particle":"","family":"Zhou","given":"Weiqi","non-dropping-particle":"","parse-names":false,"suffix":""},{"dropping-particle":"","family":"Zhu","given":"Kai","non-dropping-particle":"","parse-names":false,"suffix":""},{"dropping-particle":"","family":"Abrams","given":"Jesse F.","non-dropping-particle":"","parse-names":false,"suffix":""},{"dropping-particle":"","family":"Lenton","given":"Timothy M.","non-dropping-particle":"","parse-names":false,"suffix":""},{"dropping-particle":"","family":"Ripple","given":"William J.","non-dropping-particle":"","parse-names":false,"suffix":""},{"dropping-particle":"","family":"Yu","given":"Zhaowu","non-dropping-particle":"","parse-names":false,"suffix":""},{"dropping-particle":"","family":"Teng","given":"Shuqing N.","non-dropping-particle":"","parse-names":false,"suffix":""},{"dropping-particle":"","family":"Dunn","given":"Robert R.","non-dropping-particle":"","parse-names":false,"suffix":""},{"dropping-particle":"","family":"Xu","given":"Chi","non-dropping-particle":"","parse-names":false,"suffix":""}],"container-title":"Nature Communications 2024 15:1","id":"ITEM-1","issue":"1","issued":{"date-parts":[["2024","9","2"]]},"page":"1-13","publisher":"Nature Publishing Group","title":"Green spaces provide substantial but unequal urban cooling globally","type":"article-journal","volume":"15"},"uris":["http://www.mendeley.com/documents/?uuid=8a4d8ee6-3bf8-3402-88c0-8031e063742e"]}],"mendeley":{"formattedCitation":"&lt;sup&gt;13&lt;/sup&gt;","plainTextFormattedCitation":"13","previouslyFormattedCitation":"(13)"},"properties":{"noteIndex":0},"schema":"https://github.com/citation-style-language/schema/raw/master/csl-citation.json"}</w:instrText>
      </w:r>
      <w:r>
        <w:rPr>
          <w:rFonts w:ascii="Arial" w:hAnsi="Arial" w:cs="Arial"/>
          <w:sz w:val="20"/>
          <w:szCs w:val="20"/>
        </w:rPr>
        <w:fldChar w:fldCharType="separate"/>
      </w:r>
      <w:r w:rsidR="00502006" w:rsidRPr="00502006">
        <w:rPr>
          <w:rFonts w:ascii="Arial" w:hAnsi="Arial" w:cs="Arial"/>
          <w:noProof/>
          <w:sz w:val="20"/>
          <w:szCs w:val="20"/>
          <w:vertAlign w:val="superscript"/>
        </w:rPr>
        <w:t>13</w:t>
      </w:r>
      <w:r>
        <w:rPr>
          <w:rFonts w:ascii="Arial" w:hAnsi="Arial" w:cs="Arial"/>
          <w:sz w:val="20"/>
          <w:szCs w:val="20"/>
        </w:rPr>
        <w:fldChar w:fldCharType="end"/>
      </w:r>
      <w:r w:rsidRPr="00B21A6F">
        <w:rPr>
          <w:rFonts w:ascii="Arial" w:hAnsi="Arial" w:cs="Arial"/>
          <w:sz w:val="20"/>
          <w:szCs w:val="20"/>
        </w:rPr>
        <w:t xml:space="preserve">. Apart from changes </w:t>
      </w:r>
      <w:r w:rsidRPr="00B21A6F">
        <w:rPr>
          <w:rFonts w:ascii="Arial" w:hAnsi="Arial" w:cs="Arial"/>
          <w:sz w:val="20"/>
          <w:szCs w:val="20"/>
        </w:rPr>
        <w:lastRenderedPageBreak/>
        <w:t xml:space="preserve">in urban built and unbuilt areas, regional-scale determinants of economic activity such as gross domestic product (GDP) for urban </w:t>
      </w:r>
      <w:r w:rsidRPr="004A6ABC">
        <w:rPr>
          <w:rFonts w:ascii="Arial" w:hAnsi="Arial" w:cs="Arial"/>
          <w:sz w:val="20"/>
          <w:szCs w:val="20"/>
        </w:rPr>
        <w:t>centers</w:t>
      </w:r>
      <m:oMath>
        <m:sSub>
          <m:sSubPr>
            <m:ctrlPr>
              <w:rPr>
                <w:rFonts w:ascii="Cambria Math" w:hAnsi="Cambria Math" w:cs="Arial"/>
                <w:i/>
                <w:sz w:val="20"/>
                <w:szCs w:val="20"/>
              </w:rPr>
            </m:ctrlPr>
          </m:sSubPr>
          <m:e>
            <m:r>
              <w:rPr>
                <w:rFonts w:ascii="Cambria Math" w:hAnsi="Cambria Math" w:cs="Arial"/>
                <w:sz w:val="20"/>
                <w:szCs w:val="20"/>
              </w:rPr>
              <m:t xml:space="preserve"> (C</m:t>
            </m:r>
          </m:e>
          <m:sub>
            <m:r>
              <w:rPr>
                <w:rFonts w:ascii="Cambria Math" w:hAnsi="Cambria Math" w:cs="Arial"/>
                <w:sz w:val="20"/>
                <w:szCs w:val="20"/>
              </w:rPr>
              <m:t>GDP</m:t>
            </m:r>
          </m:sub>
        </m:sSub>
        <m:r>
          <w:rPr>
            <w:rFonts w:ascii="Cambria Math" w:hAnsi="Cambria Math" w:cs="Arial"/>
            <w:sz w:val="20"/>
            <w:szCs w:val="20"/>
          </w:rPr>
          <m:t>)</m:t>
        </m:r>
      </m:oMath>
      <w:r w:rsidRPr="00B21A6F">
        <w:rPr>
          <w:rFonts w:ascii="Arial" w:hAnsi="Arial" w:cs="Arial"/>
          <w:sz w:val="20"/>
          <w:szCs w:val="20"/>
        </w:rPr>
        <w:t>, which ultimately influence city energy demand and overall city-scale affordability</w:t>
      </w:r>
      <w:r>
        <w:rPr>
          <w:rFonts w:ascii="Arial" w:hAnsi="Arial" w:cs="Arial"/>
          <w:sz w:val="20"/>
          <w:szCs w:val="20"/>
        </w:rPr>
        <w:t xml:space="preserve"> </w:t>
      </w:r>
      <w:r>
        <w:rPr>
          <w:rFonts w:ascii="Arial" w:hAnsi="Arial" w:cs="Arial"/>
          <w:sz w:val="20"/>
          <w:szCs w:val="20"/>
        </w:rPr>
        <w:fldChar w:fldCharType="begin" w:fldLock="1"/>
      </w:r>
      <w:r w:rsidR="00502006">
        <w:rPr>
          <w:rFonts w:ascii="Arial" w:hAnsi="Arial" w:cs="Arial"/>
          <w:sz w:val="20"/>
          <w:szCs w:val="20"/>
        </w:rPr>
        <w:instrText>ADDIN CSL_CITATION {"citationItems":[{"id":"ITEM-1","itemData":{"DOI":"10.1073/PNAS.1423558112/SUPPL_FILE/PNAS.201423558SI.PDF","ISSN":"10916490","abstract":"As household incomes rise around the world and global temperatures go up, the use of air conditioning is poised to increase dramatically. Air conditioning growth is expected to be particularly strong in middleincome countries, but direct empirical evidence is scarce. In this paper we use high-quality microdata from Mexico to describe the relationship between temperature, income, and air conditioning. We describe both how electricity consumption increases with temperature given current levels of air conditioning, and how climate and income drive air conditioning adoption decisions. We then combine these estimates with predicted end-of-century temperature changes to forecast future energy consumption. Under conservative assumptions about household income, our model predicts near-universal saturation of air conditioning in all warm areas within just a few decades. Temperature increases contribute to this surge in adoption, but income growth by itself explains most of the increase. What this will mean for electricity consumption and carbon dioxide emissions depends on the pace of technological change. Continued advances in energy efficiency or the development of new cooling technologies could reduce the energy consumption impacts. Similarly, growth in low-carbon electricity generation could mitigate the increases in carbon dioxide emissions. However, the paper illustrates the enormous potential impacts in this sector, highlighting the importance of future research on adaptation and underscoring the urgent need for global action on climate change.","author":[{"dropping-particle":"","family":"Davis","given":"Lucas W.","non-dropping-particle":"","parse-names":false,"suffix":""},{"dropping-particle":"","family":"Gertler","given":"Paul J.","non-dropping-particle":"","parse-names":false,"suffix":""}],"container-title":"Proceedings of the National Academy of Sciences of the United States of America","id":"ITEM-1","issue":"19","issued":{"date-parts":[["2015","5","12"]]},"page":"5962-5967","publisher":"National Academy of Sciences","title":"Contribution of air conditioning adoption to future energy use under global warming","type":"article-journal","volume":"112"},"uris":["http://www.mendeley.com/documents/?uuid=171afca7-5114-3c00-bf0b-42aa1495dc6d"]},{"id":"ITEM-2","itemData":{"DOI":"10.1016/J.ENPOL.2008.11.031","ISSN":"0301-4215","abstract":"Air conditioning of dwellings in developing countries is currently rather rare, but increasing personal income is expected to change that. This study examined the potential energy demand for cooling in the 50 most populous metropolitan areas of the world, and assessed the incremental demand in developing countries that this would create on top of the current energy demand due to heating. The analysis used local cooling and heating degree-day data. The main results are as follows: (1) Most of the largest metropolitan areas are in developing countries (38 out of 50), and most of them, in turn, are in warm to hot climates. (2) All but two of the top 30 metropolitan areas in terms of cooling degree days are in developing countries. (3) The potential cooling demands are greater than heating demands in most of the metropolitan areas that are in developing countries (24 out of 38). The main implication of these findings is that increasing personal income is likely to lead to an unprecedented increase in energy demand in many developing countries. For example, the potential cooling demand in metropolitan Mumbai is about 24% of the demand for the entire United States. © 2008 Elsevier Ltd. All rights reserved.","author":[{"dropping-particle":"","family":"Sivak","given":"Michael","non-dropping-particle":"","parse-names":false,"suffix":""}],"container-title":"Energy Policy","id":"ITEM-2","issue":"4","issued":{"date-parts":[["2009","4","1"]]},"page":"1382-1384","publisher":"Elsevier","title":"Potential energy demand for cooling in the 50 largest metropolitan areas of the world: Implications for developing countries","type":"article-journal","volume":"37"},"uris":["http://www.mendeley.com/documents/?uuid=7c03b735-49fe-302f-aa5b-15de0b4843da"]},{"id":"ITEM-3","itemData":{"DOI":"10.1111/J.1749-6632.2010.05921.X;CTYPE:STRING:JOURNAL","ISSN":"17496632","abstract":"This paper reviews the mainstream, resource economics, and ecological economics models of growth. A possible synthesis of energy-based and mainstream models is presented. This shows that when energy is scarce it imposes a strong constraint on the growth of the economy; however, when energy is abundant, its effect on economic growth is much reduced. The industrial revolution released the constraints on economic growth by the development of new methods of using coal and the discovery of new fossil fuel resources. Time-series analysis shows that energy and GDP cointegrate, and energy use Granger causes GDP when capital and other production inputs are included in the vector autoregression model. However, various mechanisms can weaken the links between energy and growth. Energy used per unit of economic output has declined in developed and some developing countries, owing to both technological change and a shift from poorer quality fuels, such as coal, to the use of higher quality fuels, especially electricity. Substitution of other inputs for energy and sectoral shifts in economic activity play smaller roles. © 2011 New York Academy of Sciences.","author":[{"dropping-particle":"","family":"Stern","given":"David I.","non-dropping-particle":"","parse-names":false,"suffix":""}],"container-title":"Annals of the New York Academy of Sciences","id":"ITEM-3","issue":"1","issued":{"date-parts":[["2011","2","1"]]},"page":"26-51","publisher":"Blackwell Publishing Inc.","title":"The role of energy in economic growth","type":"article-journal","volume":"1219"},"uris":["http://www.mendeley.com/documents/?uuid=14750f27-1309-3ecc-9e52-e2e238b790af"]}],"mendeley":{"formattedCitation":"&lt;sup&gt;14–16&lt;/sup&gt;","plainTextFormattedCitation":"14–16","previouslyFormattedCitation":"(14–16)"},"properties":{"noteIndex":0},"schema":"https://github.com/citation-style-language/schema/raw/master/csl-citation.json"}</w:instrText>
      </w:r>
      <w:r>
        <w:rPr>
          <w:rFonts w:ascii="Arial" w:hAnsi="Arial" w:cs="Arial"/>
          <w:sz w:val="20"/>
          <w:szCs w:val="20"/>
        </w:rPr>
        <w:fldChar w:fldCharType="separate"/>
      </w:r>
      <w:r w:rsidR="00502006" w:rsidRPr="00502006">
        <w:rPr>
          <w:rFonts w:ascii="Arial" w:hAnsi="Arial" w:cs="Arial"/>
          <w:noProof/>
          <w:sz w:val="20"/>
          <w:szCs w:val="20"/>
          <w:vertAlign w:val="superscript"/>
        </w:rPr>
        <w:t>14–16</w:t>
      </w:r>
      <w:r>
        <w:rPr>
          <w:rFonts w:ascii="Arial" w:hAnsi="Arial" w:cs="Arial"/>
          <w:sz w:val="20"/>
          <w:szCs w:val="20"/>
        </w:rPr>
        <w:fldChar w:fldCharType="end"/>
      </w:r>
      <w:r w:rsidRPr="00B21A6F">
        <w:rPr>
          <w:rFonts w:ascii="Arial" w:hAnsi="Arial" w:cs="Arial"/>
          <w:sz w:val="20"/>
          <w:szCs w:val="20"/>
        </w:rPr>
        <w:t>, are also collected</w:t>
      </w:r>
      <w:r w:rsidRPr="004A6ABC">
        <w:rPr>
          <w:rFonts w:ascii="Arial" w:hAnsi="Arial" w:cs="Arial"/>
          <w:sz w:val="20"/>
          <w:szCs w:val="20"/>
        </w:rPr>
        <w:t>.</w:t>
      </w:r>
      <w:r>
        <w:rPr>
          <w:rFonts w:ascii="Arial" w:hAnsi="Arial" w:cs="Arial"/>
          <w:sz w:val="20"/>
          <w:szCs w:val="20"/>
        </w:rPr>
        <w:t xml:space="preserve"> </w:t>
      </w:r>
      <w:r w:rsidRPr="00B21A6F">
        <w:rPr>
          <w:rFonts w:ascii="Arial" w:hAnsi="Arial" w:cs="Arial"/>
          <w:sz w:val="20"/>
          <w:szCs w:val="20"/>
        </w:rPr>
        <w:t xml:space="preserve">Further, it is also important to note that, since the majority of urban built and unbuilt development datasets are accessed from the GHSL project </w:t>
      </w:r>
      <w:r w:rsidRPr="00B21A6F">
        <w:rPr>
          <w:rFonts w:ascii="Arial" w:hAnsi="Arial" w:cs="Arial"/>
          <w:sz w:val="20"/>
          <w:szCs w:val="20"/>
        </w:rPr>
        <w:fldChar w:fldCharType="begin" w:fldLock="1"/>
      </w:r>
      <w:r w:rsidR="00502006">
        <w:rPr>
          <w:rFonts w:ascii="Arial" w:hAnsi="Arial" w:cs="Arial"/>
          <w:sz w:val="20"/>
          <w:szCs w:val="20"/>
        </w:rPr>
        <w:instrText>ADDIN CSL_CITATION {"citationItems":[{"id":"ITEM-1","itemData":{"URL":"https://data.jrc.ec.europa.eu/dataset/1a338be6-7eaf-480c-9664-3a8ade88cbcd","accessed":{"date-parts":[["2025","5","13"]]},"id":"ITEM-1","issued":{"date-parts":[["2024"]]},"title":"Joint Research Centre Data Catalogue - GHS-UCDB R2024A - GHS Urban Centre Database 2025 - European Commission","type":"webpage"},"uris":["http://www.mendeley.com/documents/?uuid=12db7f6b-3411-3bff-b2cd-37c20e86e214"]}],"mendeley":{"formattedCitation":"&lt;sup&gt;17&lt;/sup&gt;","plainTextFormattedCitation":"17","previouslyFormattedCitation":"(17)"},"properties":{"noteIndex":0},"schema":"https://github.com/citation-style-language/schema/raw/master/csl-citation.json"}</w:instrText>
      </w:r>
      <w:r w:rsidRPr="00B21A6F">
        <w:rPr>
          <w:rFonts w:ascii="Arial" w:hAnsi="Arial" w:cs="Arial"/>
          <w:sz w:val="20"/>
          <w:szCs w:val="20"/>
        </w:rPr>
        <w:fldChar w:fldCharType="separate"/>
      </w:r>
      <w:r w:rsidR="00502006" w:rsidRPr="00502006">
        <w:rPr>
          <w:rFonts w:ascii="Arial" w:hAnsi="Arial" w:cs="Arial"/>
          <w:noProof/>
          <w:sz w:val="20"/>
          <w:szCs w:val="20"/>
          <w:vertAlign w:val="superscript"/>
        </w:rPr>
        <w:t>17</w:t>
      </w:r>
      <w:r w:rsidRPr="00B21A6F">
        <w:rPr>
          <w:rFonts w:ascii="Arial" w:hAnsi="Arial" w:cs="Arial"/>
          <w:sz w:val="20"/>
          <w:szCs w:val="20"/>
        </w:rPr>
        <w:fldChar w:fldCharType="end"/>
      </w:r>
      <w:r w:rsidRPr="00B21A6F">
        <w:rPr>
          <w:rFonts w:ascii="Arial" w:hAnsi="Arial" w:cs="Arial"/>
          <w:sz w:val="20"/>
          <w:szCs w:val="20"/>
        </w:rPr>
        <w:t xml:space="preserve">, readers may refer to earlier works </w:t>
      </w:r>
      <w:r w:rsidRPr="00B21A6F">
        <w:rPr>
          <w:rFonts w:ascii="Arial" w:hAnsi="Arial" w:cs="Arial"/>
          <w:sz w:val="20"/>
          <w:szCs w:val="20"/>
        </w:rPr>
        <w:fldChar w:fldCharType="begin" w:fldLock="1"/>
      </w:r>
      <w:r w:rsidR="00502006">
        <w:rPr>
          <w:rFonts w:ascii="Arial" w:hAnsi="Arial" w:cs="Arial"/>
          <w:sz w:val="20"/>
          <w:szCs w:val="20"/>
        </w:rPr>
        <w:instrText>ADDIN CSL_CITATION {"citationItems":[{"id":"ITEM-1","itemData":{"DOI":"10.1177/0975425320958850/ASSET/CBBE0468-871F-47A3-91DD-6E55F04AA054/ASSETS/IMAGES/LARGE/10.1177_0975425320958850-FIG11.JPG","ISSN":"09763546","abstract":"Human civilization reached a milestone in the first decade of the 21st century, when the global urban population became higher than rural for the first time. However, the process of urbanisation is not uniform across the globe, and striking differences exist in the spatial structure and trends of urbanisation in developed and developing regions because of varying rates of demographic and economic growth. The success of Sustainable Development Goals (SDGs) depends on addressing urbanisation challenges with comparative knowledge of the spatial structure and growth pattern of the cities across regions. In this context, the present study examines the spatial structures and urbanisation trends of cities in Asia and Europe through standardised data and visualisation, with particular reference to India and Germany. The results show that ‘shrinking cities’ are more common in Europe and particularly in Germany. In contrast, Indian cities have registered an overall increase in population of cities, although at a slower growth rate. Also, the rate of growth of the built-up areas is relatively higher in India than Europe. However, both these geographies are experiencing higher growth of built-up areas as compared to population. A detailed analysis of the built-up areas in select cities of Europe and India in different time-periods reveals the cities’ growth pattern to be aligned with transport routes. The study concludes that developing a common methodological approach to study the spatial structures and trends of different geographies is a crucial prerequisite for achieving the goals set under SDGs and the New Urban Agenda.","author":[{"dropping-particle":"","family":"Kundu","given":"Debolina","non-dropping-particle":"","parse-names":false,"suffix":""},{"dropping-particle":"","family":"Mueller","given":"Andre","non-dropping-particle":"","parse-names":false,"suffix":""},{"dropping-particle":"","family":"Schmidt-Seiwert","given":"Volker","non-dropping-particle":"","parse-names":false,"suffix":""},{"dropping-particle":"","family":"Binot","given":"Regine","non-dropping-particle":"","parse-names":false,"suffix":""},{"dropping-particle":"","family":"Kiel","given":"Lukas","non-dropping-particle":"","parse-names":false,"suffix":""},{"dropping-particle":"","family":"Pandey","given":"Arvind","non-dropping-particle":"","parse-names":false,"suffix":""}],"container-title":"Environment and Urbanization ASIA","id":"ITEM-1","issue":"2","issued":{"date-parts":[["2020","9","1"]]},"page":"195-217","publisher":"Sage Publications India Pvt. Ltd","title":"Spatial Structures and Trends of Cities in Europe and Asia: A Joint Methodological Approach Based on the Global Human Settlement Layer","type":"article-journal","volume":"11"},"uris":["http://www.mendeley.com/documents/?uuid=5873dda1-d87d-31a9-b7b8-8bb3b4199cd9"]},{"id":"ITEM-2","itemData":{"abstract":"Responding to crucial challenges in urban and rural development the United Nations decided on the New Urban Agenda and on the 2030 Agenda and the Sustainable Development Goals (SDGs). This publication checks the progress made in implementing the New Urban Agenda against the SDGs and vice versa. In order to understand the spatial patterns, a national and supranational spatial perspective is taken on some of the SDGs. Given the cross-sectoral nature of cities and communities and their sustainable and resilient development, SDG 11 constitutes an interconnection point and thus covers: n Adequate and affordable housing n Level of motorisation and traffic casualties n Land-use and protected landscapes as well as connection to public water supply and waste in its broadest sense","author":[{"dropping-particle":"","family":"Müller","given":"André","non-dropping-particle":"","parse-names":false,"suffix":""},{"dropping-particle":"","family":"Milbert","given":"Antonia","non-dropping-particle":"","parse-names":false,"suffix":""},{"dropping-particle":"","family":"Schmidt-Seiwert","given":"Volker","non-dropping-particle":"","parse-names":false,"suffix":""},{"dropping-particle":"","family":"Binot","given":"Regine","non-dropping-particle":"","parse-names":false,"suffix":""},{"dropping-particle":"","family":"Kundu","given":"Debolina","non-dropping-particle":"","parse-names":false,"suffix":""},{"dropping-particle":"","family":"Debnath","given":"Tania","non-dropping-particle":"","parse-names":false,"suffix":""},{"dropping-particle":"","family":"Kar","given":"Biswajit","non-dropping-particle":"","parse-names":false,"suffix":""},{"dropping-particle":"","family":"Mishra","given":"Rakesh","non-dropping-particle":"","parse-names":false,"suffix":""}],"id":"ITEM-2","issued":{"date-parts":[["2020"]]},"title":"India, Germany and Europe A Spatial Perspective at SDG 11 on Sustainable Cities and Communities","type":"article-journal"},"uris":["http://www.mendeley.com/documents/?uuid=46d2439b-4bf9-389f-9477-5a05433fbc2a"]}],"mendeley":{"formattedCitation":"&lt;sup&gt;18,19&lt;/sup&gt;","plainTextFormattedCitation":"18,19","previouslyFormattedCitation":"(18, 19)"},"properties":{"noteIndex":0},"schema":"https://github.com/citation-style-language/schema/raw/master/csl-citation.json"}</w:instrText>
      </w:r>
      <w:r w:rsidRPr="00B21A6F">
        <w:rPr>
          <w:rFonts w:ascii="Arial" w:hAnsi="Arial" w:cs="Arial"/>
          <w:sz w:val="20"/>
          <w:szCs w:val="20"/>
        </w:rPr>
        <w:fldChar w:fldCharType="separate"/>
      </w:r>
      <w:r w:rsidR="00502006" w:rsidRPr="00502006">
        <w:rPr>
          <w:rFonts w:ascii="Arial" w:hAnsi="Arial" w:cs="Arial"/>
          <w:noProof/>
          <w:sz w:val="20"/>
          <w:szCs w:val="20"/>
          <w:vertAlign w:val="superscript"/>
        </w:rPr>
        <w:t>18,19</w:t>
      </w:r>
      <w:r w:rsidRPr="00B21A6F">
        <w:rPr>
          <w:rFonts w:ascii="Arial" w:hAnsi="Arial" w:cs="Arial"/>
          <w:sz w:val="20"/>
          <w:szCs w:val="20"/>
        </w:rPr>
        <w:fldChar w:fldCharType="end"/>
      </w:r>
      <w:r w:rsidRPr="00B21A6F">
        <w:rPr>
          <w:rFonts w:ascii="Arial" w:hAnsi="Arial" w:cs="Arial"/>
          <w:sz w:val="20"/>
          <w:szCs w:val="20"/>
        </w:rPr>
        <w:t xml:space="preserve">, where the National Institute of Urban Affairs (NIUA) has validated the accuracy of data source to near realistic, since 2007 in its research collaboration with BBSR while reporting on the urban spatial structure and trends across Indian and European cities. </w:t>
      </w:r>
    </w:p>
    <w:p w14:paraId="154D55D1" w14:textId="77777777" w:rsidR="0072400B" w:rsidRDefault="0072400B" w:rsidP="00524F1F">
      <w:pPr>
        <w:spacing w:line="240" w:lineRule="auto"/>
        <w:jc w:val="both"/>
        <w:rPr>
          <w:rFonts w:ascii="Arial" w:hAnsi="Arial" w:cs="Arial"/>
          <w:b/>
          <w:bCs/>
          <w:sz w:val="24"/>
          <w:szCs w:val="24"/>
        </w:rPr>
      </w:pPr>
    </w:p>
    <w:p w14:paraId="578482DA" w14:textId="7EEA952E" w:rsidR="001B7261" w:rsidRPr="00DF014C" w:rsidRDefault="000F0937" w:rsidP="00524F1F">
      <w:pPr>
        <w:spacing w:line="240" w:lineRule="auto"/>
        <w:jc w:val="both"/>
        <w:rPr>
          <w:rFonts w:ascii="Arial" w:hAnsi="Arial" w:cs="Arial"/>
          <w:b/>
          <w:bCs/>
          <w:sz w:val="24"/>
          <w:szCs w:val="24"/>
        </w:rPr>
      </w:pPr>
      <w:r w:rsidRPr="00DF014C">
        <w:rPr>
          <w:rFonts w:ascii="Arial" w:hAnsi="Arial" w:cs="Arial"/>
          <w:b/>
          <w:bCs/>
          <w:sz w:val="24"/>
          <w:szCs w:val="24"/>
        </w:rPr>
        <w:t>Section 2</w:t>
      </w:r>
    </w:p>
    <w:p w14:paraId="6127E289" w14:textId="47AE108F" w:rsidR="00D71F99" w:rsidRPr="00DF014C" w:rsidRDefault="009569E2" w:rsidP="00524F1F">
      <w:pPr>
        <w:spacing w:line="240" w:lineRule="auto"/>
        <w:jc w:val="both"/>
        <w:rPr>
          <w:rFonts w:ascii="Arial" w:hAnsi="Arial" w:cs="Arial"/>
          <w:sz w:val="20"/>
          <w:szCs w:val="20"/>
        </w:rPr>
      </w:pPr>
      <w:r w:rsidRPr="002D5A3E">
        <w:rPr>
          <w:rFonts w:ascii="Arial" w:hAnsi="Arial" w:cs="Arial"/>
          <w:b/>
          <w:bCs/>
        </w:rPr>
        <w:t xml:space="preserve">2.1 </w:t>
      </w:r>
      <w:r w:rsidR="00931BAF" w:rsidRPr="002D5A3E">
        <w:rPr>
          <w:rFonts w:ascii="Arial" w:hAnsi="Arial" w:cs="Arial"/>
          <w:b/>
          <w:bCs/>
        </w:rPr>
        <w:t xml:space="preserve">Brief Literature on the Urban cooling demand estimation approaches </w:t>
      </w:r>
    </w:p>
    <w:p w14:paraId="355808DB" w14:textId="797F8FBC" w:rsidR="00847053" w:rsidRDefault="00931BAF">
      <w:pPr>
        <w:spacing w:after="0"/>
        <w:jc w:val="both"/>
        <w:rPr>
          <w:rFonts w:ascii="Arial" w:hAnsi="Arial" w:cs="Arial"/>
          <w:sz w:val="20"/>
          <w:szCs w:val="20"/>
        </w:rPr>
      </w:pPr>
      <w:r w:rsidRPr="00DF014C">
        <w:rPr>
          <w:rFonts w:ascii="Arial" w:hAnsi="Arial" w:cs="Arial"/>
          <w:sz w:val="20"/>
          <w:szCs w:val="20"/>
        </w:rPr>
        <w:t>The core frameworks for building to urban scale cooling-demand or energy demand calculations are primarily of four categories</w:t>
      </w:r>
      <w:r w:rsidRPr="00DF014C">
        <w:rPr>
          <w:rFonts w:ascii="Arial" w:hAnsi="Arial" w:cs="Arial"/>
          <w:sz w:val="20"/>
          <w:szCs w:val="20"/>
        </w:rPr>
        <w:fldChar w:fldCharType="begin" w:fldLock="1"/>
      </w:r>
      <w:r w:rsidR="00502006">
        <w:rPr>
          <w:rFonts w:ascii="Arial" w:hAnsi="Arial" w:cs="Arial"/>
          <w:sz w:val="20"/>
          <w:szCs w:val="20"/>
        </w:rPr>
        <w:instrText>ADDIN CSL_CITATION {"citationItems":[{"id":"ITEM-1","itemData":{"DOI":"10.1007/S12273-024-1112-Y","ISSN":"1996-8744","abstract":"Energy demand fluctuations due to low probability high impact (LPHI) micro-climatic events such as urban heat island effect (UHI) and heatwaves, pose significant challenges for urban infrastructure, particularly within urban built-clusters. Mapping short term load forecasting (STLF) of buildings in urban micro-climatic setting (UMS) is obscured by the complex interplay of surrounding morphology, micro-climate and inter-building energy dynamics. Conventional urban building energy modelling (UBEM) approaches to provide quantitative insights about building energy consumption often neglect the synergistic impacts of micro-climate and urban morphology in short temporal scale. Reduced order modelling, unavailability of rich urban datasets such as building key performance indicators for building archetypes-characterization, limit the inter-building energy dynamics consideration into UBEMs. In addition, mismatch of resolutions of spatio–temporal datasets (meso to micro scale transition), LPHI events extent prediction around UMS as well as its accurate quantitative inclusion in UBEM input organization step pose another degree of limitations. This review aims to direct attention towards an integrated-UBEM (i-UBEM) framework to capture the building load fluctuation over multi-scale spatio–temporal scenario. It highlights usage of emerging data-driven hybrid approaches, after systematically analysing developments and limitations of recent physical, data-driven artificial intelligence and machine learning (AI-ML) based modelling approaches. It also discusses the potential integration of google earth engine (GEE)-cloud computing platform in UBEM input organization step to (i) map the land surface temperature (LST) data (quantitative attribute implying LPHI event occurrence), (ii) manage and pre-process high-resolution spatio–temporal UBEM input-datasets. Further the potential of digital twin, central structed data models to integrate along UBEM workflow to reduce uncertainties related to building archetype characterizations is explored. It has also found that a trade-off between high-fidelity baseline simulation models and computationally efficient platform support or co-simulation platform integration is essential to capture LPHI induced inter-building energy dynamics.","author":[{"dropping-particle":"","family":"Mondal","given":"Nilabhra","non-dropping-particle":"","parse-names":false,"suffix":""},{"dropping-particle":"","family":"Anand","given":"Prashant","non-dropping-particle":"","parse-names":false,"suffix":""},{"dropping-particle":"","family":"Khan","given":"Ansar","non-dropping-particle":"","parse-names":false,"suffix":""},{"dropping-particle":"","family":"Deb","given":"Chirag","non-dropping-particle":"","parse-names":false,"suffix":""},{"dropping-particle":"","family":"Cheong","given":"David","non-dropping-particle":"","parse-names":false,"suffix":""},{"dropping-particle":"","family":"Sekhar","given":"Chandra","non-dropping-particle":"","parse-names":false,"suffix":""},{"dropping-particle":"","family":"Niyogi","given":"Dev","non-dropping-particle":"","parse-names":false,"suffix":""},{"dropping-particle":"","family":"Santamouris","given":"Mattheos","non-dropping-particle":"","parse-names":false,"suffix":""}],"container-title":"Building Simulation 2024 17:5","id":"ITEM-1","issue":"5","issued":{"date-parts":[["2024","3","11"]]},"page":"695-722","publisher":"Springer","title":"Systematic review of the efficacy of data-driven urban building energy models during extreme heat in cities: Current trends and future outlook","type":"article-journal","volume":"17"},"uris":["http://www.mendeley.com/documents/?uuid=b97f3147-e1f5-42f3-ad56-9f3607feb046"]},{"id":"ITEM-2","itemData":{"DOI":"10.1038/s41560-023-01341-5","author":[{"dropping-particle":"","family":"Staffell","given":"Iain","non-dropping-particle":"","parse-names":false,"suffix":""},{"dropping-particle":"","family":"Pfenninger","given":"Stefan","non-dropping-particle":"","parse-names":false,"suffix":""},{"dropping-particle":"","family":"Johnson","given":"Nathan","non-dropping-particle":"","parse-names":false,"suffix":""}],"id":"ITEM-2","issue":"12","issued":{"date-parts":[["2023","9","14"]]},"page":"1328-1344","publisher":"Nature Publishing Group","title":"A global model of hourly space heating and cooling demand at multiple spatial scales","type":"article-journal","volume":"8"},"uris":["http://www.mendeley.com/documents/?uuid=2f2d4cc7-5033-4052-87cf-7a8a7ef944a9"]}],"mendeley":{"formattedCitation":"&lt;sup&gt;20,21&lt;/sup&gt;","plainTextFormattedCitation":"20,21","previouslyFormattedCitation":"(20, 21)"},"properties":{"noteIndex":0},"schema":"https://github.com/citation-style-language/schema/raw/master/csl-citation.json"}</w:instrText>
      </w:r>
      <w:r w:rsidRPr="00DF014C">
        <w:rPr>
          <w:rFonts w:ascii="Arial" w:hAnsi="Arial" w:cs="Arial"/>
          <w:sz w:val="20"/>
          <w:szCs w:val="20"/>
        </w:rPr>
        <w:fldChar w:fldCharType="separate"/>
      </w:r>
      <w:r w:rsidR="00502006" w:rsidRPr="00502006">
        <w:rPr>
          <w:rFonts w:ascii="Arial" w:hAnsi="Arial" w:cs="Arial"/>
          <w:noProof/>
          <w:sz w:val="20"/>
          <w:szCs w:val="20"/>
          <w:vertAlign w:val="superscript"/>
        </w:rPr>
        <w:t>20,21</w:t>
      </w:r>
      <w:r w:rsidRPr="00DF014C">
        <w:rPr>
          <w:rFonts w:ascii="Arial" w:hAnsi="Arial" w:cs="Arial"/>
          <w:sz w:val="20"/>
          <w:szCs w:val="20"/>
        </w:rPr>
        <w:fldChar w:fldCharType="end"/>
      </w:r>
      <w:r w:rsidRPr="00DF014C">
        <w:rPr>
          <w:rFonts w:ascii="Arial" w:hAnsi="Arial" w:cs="Arial"/>
          <w:sz w:val="20"/>
          <w:szCs w:val="20"/>
        </w:rPr>
        <w:t>: (i) Physical models based on simulation approaches, (ii) Data driven statistical models, (iii) surrogate or Hybrid models, (iv) Degree days models. Physical simulation-based models provide the most accurate building energy demand predictions when well-calibrated with local conditions and in-situ energy data</w:t>
      </w:r>
      <w:r w:rsidRPr="00DF014C">
        <w:rPr>
          <w:rFonts w:ascii="Arial" w:hAnsi="Arial" w:cs="Arial"/>
          <w:sz w:val="20"/>
          <w:szCs w:val="20"/>
        </w:rPr>
        <w:fldChar w:fldCharType="begin" w:fldLock="1"/>
      </w:r>
      <w:r w:rsidR="00502006">
        <w:rPr>
          <w:rFonts w:ascii="Arial" w:hAnsi="Arial" w:cs="Arial"/>
          <w:sz w:val="20"/>
          <w:szCs w:val="20"/>
        </w:rPr>
        <w:instrText>ADDIN CSL_CITATION {"citationItems":[{"id":"ITEM-1","itemData":{"DOI":"10.2172/1854582","abstract":"The United States is embarking on an ambitious transition to a 100% clean energy economy by 2050, which will require improving the flexibility of electric grids. One way to achieve grid flexibility is to shed or shift demand to align with changing grid needs. To facilitate this, it is critical to understand how and when energy is used. High- quality end-use load profiles (EULPs) provide this information, and can help cities, states, and utilities understand the time-sensitive value of energy efficiency, demand response, and distributed energy resources. Publicly available EULPs have traditionally had limited application because of age and incomplete geographic representation (Frick, Eckman, and Goldman 2017; Frick 2019). To help fill this gap, the U.S. Department of Energy (DOE) funded a three-year project - End-Use Load Profiles for the U.S. Building Stock - that culminated in the release of a publicly available dataset1 of simulated EULPs representing residential and commercial buildings across the contiguous United States. The motivation for this work is further detailed in a November 2019 report: Market Needs, Use Cases, and Data Gaps (Mims Frick et al. 2019). This Methodology and Results report provides detailed descriptions of how the dataset was developed, intended for an audience of dataset and model users interested in the technical details. These details include descriptions of all of the model improvements made for calibration and the final comparisons to empirical data sources. A companion report, End-Use Load Profiles for the U.S. Building Stock: Applications and Opportunities, will be published subsequently and will describe example applications and considerations for using the dataset, intended for an audience of general dataset users.","author":[{"dropping-particle":"","family":"Wilson","given":"Eric J. H.","non-dropping-particle":"","parse-names":false,"suffix":""},{"dropping-particle":"","family":"Parker","given":"Andrew","non-dropping-particle":"","parse-names":false,"suffix":""},{"dropping-particle":"","family":"Fontanini","given":"Anthony","non-dropping-particle":"","parse-names":false,"suffix":""},{"dropping-particle":"","family":"Present","given":"Elaina","non-dropping-particle":"","parse-names":false,"suffix":""},{"dropping-particle":"","family":"Reyna","given":"Janet L.","non-dropping-particle":"","parse-names":false,"suffix":""},{"dropping-particle":"","family":"Adhikari","given":"Rajendra","non-dropping-particle":"","parse-names":false,"suffix":""},{"dropping-particle":"","family":"Bianchi","given":"Carlo","non-dropping-particle":"","parse-names":false,"suffix":""},{"dropping-particle":"","family":"CaraDonna","given":"Christopher","non-dropping-particle":"","parse-names":false,"suffix":""},{"dropping-particle":"","family":"Dahlhausen","given":"Matthew","non-dropping-particle":"","parse-names":false,"suffix":""},{"dropping-particle":"","family":"Kim","given":"Janghyun","non-dropping-particle":"","parse-names":false,"suffix":""},{"dropping-particle":"","family":"LeBar","given":"Amy","non-dropping-particle":"","parse-names":false,"suffix":""},{"dropping-particle":"","family":"Liu","given":"Lixi","non-dropping-particle":"","parse-names":false,"suffix":""},{"dropping-particle":"","family":"Praprost","given":"Marlena","non-dropping-particle":"","parse-names":false,"suffix":""},{"dropping-particle":"","family":"Zhang","given":"Liang","non-dropping-particle":"","parse-names":false,"suffix":""},{"dropping-particle":"","family":"DeWitt","given":"Peter","non-dropping-particle":"","parse-names":false,"suffix":""},{"dropping-particle":"","family":"Merket","given":"Noel","non-dropping-particle":"","parse-names":false,"suffix":""},{"dropping-particle":"","family":"Speake","given":"Andrew","non-dropping-particle":"","parse-names":false,"suffix":""},{"dropping-particle":"","family":"Hong","given":"Tianzhen","non-dropping-particle":"","parse-names":false,"suffix":""},{"dropping-particle":"","family":"Li","given":"Han","non-dropping-particle":"","parse-names":false,"suffix":""},{"dropping-particle":"","family":"Frick","given":"Natalie Mims","non-dropping-particle":"","parse-names":false,"suffix":""},{"dropping-particle":"","family":"Wang","given":"Zhe","non-dropping-particle":"","parse-names":false,"suffix":""},{"dropping-particle":"","family":"Blair","given":"Aileen","non-dropping-particle":"","parse-names":false,"suffix":""},{"dropping-particle":"","family":"Horsey","given":"Henry","non-dropping-particle":"","parse-names":false,"suffix":""},{"dropping-particle":"","family":"Roberts","given":"David","non-dropping-particle":"","parse-names":false,"suffix":""},{"dropping-particle":"","family":"Trenbath","given":"Kim","non-dropping-particle":"","parse-names":false,"suffix":""},{"dropping-particle":"","family":"Adekanye","given":"Oluwatobi","non-dropping-particle":"","parse-names":false,"suffix":""},{"dropping-particle":"","family":"Bonnema","given":"Eric","non-dropping-particle":"","parse-names":false,"suffix":""},{"dropping-particle":"","family":"Kontar","given":"Rawad","non-dropping-particle":"El","parse-names":false,"suffix":""},{"dropping-particle":"","family":"Gonzalez","given":"Jonathan","non-dropping-particle":"","parse-names":false,"suffix":""},{"dropping-particle":"","family":"Horowitz","given":"Scott","non-dropping-particle":"","parse-names":false,"suffix":""},{"dropping-particle":"","family":"Jones","given":"Dalton","non-dropping-particle":"","parse-names":false,"suffix":""},{"dropping-particle":"","family":"Muehleisen","given":"Ralph T.","non-dropping-particle":"","parse-names":false,"suffix":""},{"dropping-particle":"","family":"Platthotam","given":"Siby","non-dropping-particle":"","parse-names":false,"suffix":""},{"dropping-particle":"","family":"Reynolds","given":"Matthew","non-dropping-particle":"","parse-names":false,"suffix":""},{"dropping-particle":"","family":"Robertson","given":"Joseph","non-dropping-particle":"","parse-names":false,"suffix":""},{"dropping-particle":"","family":"Sayers","given":"Kevin","non-dropping-particle":"","parse-names":false,"suffix":""},{"dropping-particle":"","family":"Li","given":"Qu","non-dropping-particle":"","parse-names":false,"suffix":""}],"id":"ITEM-1","issued":{"date-parts":[["2022","3","7"]]},"publisher-place":"Golden, CO (United States)","title":"End-Use Load Profiles for the U.S. Building Stock: Methodology and Results of Model Calibration, Validation, and Uncertainty Quantification","type":"article-journal"},"uris":["http://www.mendeley.com/documents/?uuid=096a7cdd-5ce4-490b-b2a0-f0b2209bd9cf"]}],"mendeley":{"formattedCitation":"&lt;sup&gt;22&lt;/sup&gt;","plainTextFormattedCitation":"22","previouslyFormattedCitation":"(22)"},"properties":{"noteIndex":0},"schema":"https://github.com/citation-style-language/schema/raw/master/csl-citation.json"}</w:instrText>
      </w:r>
      <w:r w:rsidRPr="00DF014C">
        <w:rPr>
          <w:rFonts w:ascii="Arial" w:hAnsi="Arial" w:cs="Arial"/>
          <w:sz w:val="20"/>
          <w:szCs w:val="20"/>
        </w:rPr>
        <w:fldChar w:fldCharType="separate"/>
      </w:r>
      <w:r w:rsidR="00502006" w:rsidRPr="00502006">
        <w:rPr>
          <w:rFonts w:ascii="Arial" w:hAnsi="Arial" w:cs="Arial"/>
          <w:noProof/>
          <w:sz w:val="20"/>
          <w:szCs w:val="20"/>
          <w:vertAlign w:val="superscript"/>
        </w:rPr>
        <w:t>22</w:t>
      </w:r>
      <w:r w:rsidRPr="00DF014C">
        <w:rPr>
          <w:rFonts w:ascii="Arial" w:hAnsi="Arial" w:cs="Arial"/>
          <w:sz w:val="20"/>
          <w:szCs w:val="20"/>
        </w:rPr>
        <w:fldChar w:fldCharType="end"/>
      </w:r>
      <w:r w:rsidRPr="00DF014C">
        <w:rPr>
          <w:rFonts w:ascii="Arial" w:hAnsi="Arial" w:cs="Arial"/>
          <w:sz w:val="20"/>
          <w:szCs w:val="20"/>
        </w:rPr>
        <w:t>. Recording built-form archetypes and thus in urban scale recording the changing urban fabrics in built-forms is most detailed with this method, though it is data and effort-intensive at the single-building level. Scaling to an urban extent requires high computational efficiency and detailed recording of various inter-built forms and neighboring micro-climate within energy transfer physics</w:t>
      </w:r>
      <w:r w:rsidRPr="00DF014C">
        <w:rPr>
          <w:rFonts w:ascii="Arial" w:hAnsi="Arial" w:cs="Arial"/>
          <w:sz w:val="20"/>
          <w:szCs w:val="20"/>
        </w:rPr>
        <w:fldChar w:fldCharType="begin" w:fldLock="1"/>
      </w:r>
      <w:r w:rsidR="00502006">
        <w:rPr>
          <w:rFonts w:ascii="Arial" w:hAnsi="Arial" w:cs="Arial"/>
          <w:sz w:val="20"/>
          <w:szCs w:val="20"/>
        </w:rPr>
        <w:instrText>ADDIN CSL_CITATION {"citationItems":[{"id":"ITEM-1","itemData":{"DOI":"10.1016/J.RSER.2023.113577","ISSN":"1364-0321","abstract":"Climatic conditions are different in cities than in their geographical environment. Precise representation of the climatic parameters within an urban context is crucial for obtaining realistic results from building energy simulation studies. To this end, many research groups aim to include the best representative urban microclimate parameters as input to building energy simulations. Recently, coupling strategies have been adopted to facilitate a rapid and accurate exchange of information between urban microclimate and building energy models to output more realistic building energy simulation results that cannot be obtained in solo simulations. Despite the presence of many review articles on urban microclimate modeling and building energy simulation, a review of coupling strategies between these two has not been studied in recent literature. In this context, the present article goes beyond available studies with an up-to-date review of the coupling strategies between urban microclimate and building energy models. Available tools for urban microclimate simulation and building energy simulation are presented. The coupling strategies between these two different simulation tools are elucidated. Opportunities and limitations of coupling strategies are provided. Further, the achievements of recent research on adopting these coupling strategies are summarized, compiled, and discussed. Briefly, this article presents the urban microclimate and building energy simulation tools widely used in the literature with a particular emphasis on the research progress of coupling strategies between the two tools.","author":[{"dropping-particle":"","family":"Sezer","given":"Nurettin","non-dropping-particle":"","parse-names":false,"suffix":""},{"dropping-particle":"","family":"Yoonus","given":"Hamad","non-dropping-particle":"","parse-names":false,"suffix":""},{"dropping-particle":"","family":"Zhan","given":"Dongxue","non-dropping-particle":"","parse-names":false,"suffix":""},{"dropping-particle":"","family":"Wang","given":"Liangzhu (Leon)","non-dropping-particle":"","parse-names":false,"suffix":""},{"dropping-particle":"","family":"Hassan","given":"Ibrahim Galal","non-dropping-particle":"","parse-names":false,"suffix":""},{"dropping-particle":"","family":"Rahman","given":"Mohammad Azizur","non-dropping-particle":"","parse-names":false,"suffix":""}],"container-title":"Renewable and Sustainable Energy Reviews","id":"ITEM-1","issued":{"date-parts":[["2023","9","1"]]},"page":"113577","publisher":"Pergamon","title":"Urban microclimate and building energy models: A review of the latest progress in coupling strategies","type":"article-journal","volume":"184"},"uris":["http://www.mendeley.com/documents/?uuid=784f5d44-1e41-307c-b3c1-1b0dd91f0cdc"]}],"mendeley":{"formattedCitation":"&lt;sup&gt;23&lt;/sup&gt;","plainTextFormattedCitation":"23","previouslyFormattedCitation":"(23)"},"properties":{"noteIndex":0},"schema":"https://github.com/citation-style-language/schema/raw/master/csl-citation.json"}</w:instrText>
      </w:r>
      <w:r w:rsidRPr="00DF014C">
        <w:rPr>
          <w:rFonts w:ascii="Arial" w:hAnsi="Arial" w:cs="Arial"/>
          <w:sz w:val="20"/>
          <w:szCs w:val="20"/>
        </w:rPr>
        <w:fldChar w:fldCharType="separate"/>
      </w:r>
      <w:r w:rsidR="00502006" w:rsidRPr="00502006">
        <w:rPr>
          <w:rFonts w:ascii="Arial" w:hAnsi="Arial" w:cs="Arial"/>
          <w:noProof/>
          <w:sz w:val="20"/>
          <w:szCs w:val="20"/>
          <w:vertAlign w:val="superscript"/>
        </w:rPr>
        <w:t>23</w:t>
      </w:r>
      <w:r w:rsidRPr="00DF014C">
        <w:rPr>
          <w:rFonts w:ascii="Arial" w:hAnsi="Arial" w:cs="Arial"/>
          <w:sz w:val="20"/>
          <w:szCs w:val="20"/>
        </w:rPr>
        <w:fldChar w:fldCharType="end"/>
      </w:r>
      <w:r w:rsidRPr="00DF014C">
        <w:rPr>
          <w:rFonts w:ascii="Arial" w:hAnsi="Arial" w:cs="Arial"/>
          <w:sz w:val="20"/>
          <w:szCs w:val="20"/>
        </w:rPr>
        <w:t>. The data-driven statistical models simply try to predict the energy demand based on historical time-series data of energy usage and also takes aid of other building operational parameters, micro-climate data to enhance the accuracy of energy demand prediction. Surrogate models or hybrid models utilize the physical-simulation generated data sets also to train the datasets to enhance the prediction accuracy where the hidden correlations or patterns connecting the energy data and the other parameters (e.g.- climate data, operational parameters). While the three approaches mentioned are suited for building to urban scale energy load predictions and cooling demand evaluation, their major limitation is the spatio-temporal flexibility of the models, which is often limited</w:t>
      </w:r>
      <w:r w:rsidR="00583684" w:rsidRPr="00DF014C">
        <w:rPr>
          <w:rFonts w:ascii="Arial" w:hAnsi="Arial" w:cs="Arial"/>
          <w:sz w:val="20"/>
          <w:szCs w:val="20"/>
        </w:rPr>
        <w:t xml:space="preserve"> </w:t>
      </w:r>
      <w:r w:rsidRPr="00DF014C">
        <w:rPr>
          <w:rFonts w:ascii="Arial" w:hAnsi="Arial" w:cs="Arial"/>
          <w:sz w:val="20"/>
          <w:szCs w:val="20"/>
        </w:rPr>
        <w:fldChar w:fldCharType="begin" w:fldLock="1"/>
      </w:r>
      <w:r w:rsidR="00502006">
        <w:rPr>
          <w:rFonts w:ascii="Arial" w:hAnsi="Arial" w:cs="Arial"/>
          <w:sz w:val="20"/>
          <w:szCs w:val="20"/>
        </w:rPr>
        <w:instrText>ADDIN CSL_CITATION {"citationItems":[{"id":"ITEM-1","itemData":{"DOI":"10.1038/s44287-023-00003-8","ISSN":"2948-1201","abstract":"Climate change is expected to intensify the effects of extreme weather events on power systems and increase the frequency of severe power outages. The large-scale integration of environment-dependent renewables during energy decarbonization could induce increased uncertainty in the supply–demand balance and climate vulnerability of power grids. This Perspective discusses the superimposed risks of climate change, extreme weather events and renewable energy integration, which collectively affect power system resilience. Insights drawn from large-scale spatiotemporal data on historical US power outages induced by tropical cyclones illustrate the vital role of grid inertia and system flexibility in maintaining the balance between supply and demand, thereby preventing catastrophic cascading failures. Alarmingly, the future projections under diverse emission pathways signal that climate hazards — especially tropical cyclones and heatwaves — are intensifying and can cause even greater impacts on the power grids. High-penetration renewable power systems under climate change may face escalating challenges, including more severe infrastructure damage, lower grid inertia and flexibility, and longer post-event recovery. Towards a net-zero future, this Perspective then explores approaches for harnessing the inherent potential of distributed renewables for climate resilience through forming microgrids, aligned with holistic technical solutions such as grid-forming inverters, distributed energy storage, cross-sector interoperability, distributed optimization and climate–energy integrated modelling. Increasing grid penetration of renewables coupled with intensifying climate extremes under climate change presents superimposed risks to future power systems. This Perspective analyses the critical factors influencing the resilience of renewable power systems under climate risks and proposes climate-resilient solutions towards a net-zero future.","author":[{"dropping-particle":"","family":"Xu","given":"Luo","non-dropping-particle":"","parse-names":false,"suffix":""},{"dropping-particle":"","family":"Feng","given":"Kairui","non-dropping-particle":"","parse-names":false,"suffix":""},{"dropping-particle":"","family":"Lin","given":"Ning","non-dropping-particle":"","parse-names":false,"suffix":""},{"dropping-particle":"","family":"Perera","given":"A.T.D.","non-dropping-particle":"","parse-names":false,"suffix":""},{"dropping-particle":"","family":"Poor","given":"H. Vincent","non-dropping-particle":"","parse-names":false,"suffix":""},{"dropping-particle":"","family":"Xie","given":"Le","non-dropping-particle":"","parse-names":false,"suffix":""},{"dropping-particle":"","family":"Ji","given":"Chuanyi","non-dropping-particle":"","parse-names":false,"suffix":""},{"dropping-particle":"","family":"Sun","given":"X. Andy","non-dropping-particle":"","parse-names":false,"suffix":""},{"dropping-particle":"","family":"Guo","given":"Qinglai","non-dropping-particle":"","parse-names":false,"suffix":""},{"dropping-particle":"","family":"O’Malley","given":"Mark","non-dropping-particle":"","parse-names":false,"suffix":""}],"container-title":"Nature Reviews Electrical Engineering 2024 1:1","id":"ITEM-1","issue":"1","issued":{"date-parts":[["2024","1","11"]]},"page":"53-66","publisher":"Nature Publishing Group","title":"Resilience of renewable power systems under climate risks","type":"article-journal","volume":"1"},"uris":["http://www.mendeley.com/documents/?uuid=5ea6f76c-aafe-342c-b4c7-7d09e277df7f"]},{"id":"ITEM-2","itemData":{"DOI":"10.1038/s44284-023-00005-5","ISSN":"2731-9997","abstract":"Advanced urban heat mitigation technologies that involve the use of super-cool materials combined with properly designed green infrastructure lower urban ambient and land surface temperatures and reduce cooling consumption at the city scale. Here we present the results of a large-scale heat mitigation project in Riyadh, Saudi Arabia. Daytime radiative coolers, as well as cool materials combined with irrigated or non-irrigated greenery, were used to design eight holistic heat mitigation scenarios. We assess the climatic impact of the scenarios as well as the corresponding energy benefits of 3,323 urban buildings. An impressive decrease of the peak ambient temperature of up to 4.5 °C is calculated, the highest reported urban ambient temperature reduction, and the annual sum of the differences in the ambient temperature against a standard temperature base (cooling degree hours) in the city decreases by up to 26%. We find that innovative urban heat mitigation strategies contribute to the remarkable cooling energy conservation by up to 16%, and the combined implementation of heat mitigation and energy adaptation technologies decreases the cooling demand by up to 35%. Addressing interdependencies between urban buildings and the urban environment for urban heat mitigation and energy conservation, this study models eight heat mitigation scenarios for Riyadh, Saudi Arabia. These heat mitigation scenarios use super-cool photonic materials combined with properly designed green infrastructure to lower peak temperatures by up to 4.5 °C, reduce cooling demand by up to 35%, and contribute to cooling energy conservation by up to 16%.","author":[{"dropping-particle":"","family":"Haddad","given":"Shamila","non-dropping-particle":"","parse-names":false,"suffix":""},{"dropping-particle":"","family":"Zhang","given":"Wanni","non-dropping-particle":"","parse-names":false,"suffix":""},{"dropping-particle":"","family":"Paolini","given":"Riccardo","non-dropping-particle":"","parse-names":false,"suffix":""},{"dropping-particle":"","family":"Gao","given":"Kai","non-dropping-particle":"","parse-names":false,"suffix":""},{"dropping-particle":"","family":"Altheeb","given":"Muzahim","non-dropping-particle":"","parse-names":false,"suffix":""},{"dropping-particle":"","family":"Mogirah","given":"Abdulrahman","non-dropping-particle":"Al","parse-names":false,"suffix":""},{"dropping-particle":"","family":"Moammar","given":"Abdullatif","non-dropping-particle":"Bin","parse-names":false,"suffix":""},{"dropping-particle":"","family":"Hong","given":"Tianzhen","non-dropping-particle":"","parse-names":false,"suffix":""},{"dropping-particle":"","family":"Khan","given":"Ansar","non-dropping-particle":"","parse-names":false,"suffix":""},{"dropping-particle":"","family":"Cartalis","given":"Constantinos","non-dropping-particle":"","parse-names":false,"suffix":""},{"dropping-particle":"","family":"Polydoros","given":"Anastasios","non-dropping-particle":"","parse-names":false,"suffix":""},{"dropping-particle":"","family":"Santamouris","given":"Mattheos","non-dropping-particle":"","parse-names":false,"suffix":""}],"container-title":"Nature Cities 2024 1:1","id":"ITEM-2","issue":"1","issued":{"date-parts":[["2024","1","11"]]},"page":"62-72","publisher":"Nature Publishing Group","title":"Quantifying the energy impact of heat mitigation technologies at the urban scale","type":"article-journal","volume":"1"},"uris":["http://www.mendeley.com/documents/?uuid=67be015a-a487-361a-9a76-bac90ab612db"]},{"id":"ITEM-3","itemData":{"DOI":"10.1038/s41560-023-01232-9","ISSN":"20587546","abstract":"Dense urban morphologies further amplify extreme climate events due to the urban heat island phenomenon, rendering cities more vulnerable to extreme climate events. Here we develop a modelling framework using multi-scale climate and energy system models to assess the compound impact of future climate variations and urban densification on renewable energy integration for 18 European cities. We observe a marked change in wind speed and temperature due to the aforementioned compound impact, resulting in a notable increase in both peak and annual energy demand. Therefore, an additional cost of 20‒60% will be needed during the energy transition (without technology innovation in building) to guarantee climate resilience. Failure to consider extreme climate events will lower power supply reliability by up to 30%. Energy infrastructure in dense urban areas of southern Europe is more vulnerable to the compound impact, necessitating flexibility improvements at the design phase when improving renewable penetration levels.","author":[{"dropping-particle":"","family":"Perera","given":"A. T.D.","non-dropping-particle":"","parse-names":false,"suffix":""},{"dropping-particle":"","family":"Javanroodi","given":"Kavan","non-dropping-particle":"","parse-names":false,"suffix":""},{"dropping-particle":"","family":"Mauree","given":"Dasaraden","non-dropping-particle":"","parse-names":false,"suffix":""},{"dropping-particle":"","family":"Nik","given":"Vahid M.","non-dropping-particle":"","parse-names":false,"suffix":""},{"dropping-particle":"","family":"Florio","given":"Pietro","non-dropping-particle":"","parse-names":false,"suffix":""},{"dropping-particle":"","family":"Hong","given":"Tianzhen","non-dropping-particle":"","parse-names":false,"suffix":""},{"dropping-particle":"","family":"Chen","given":"Deliang","non-dropping-particle":"","parse-names":false,"suffix":""}],"container-title":"Nature Energy","id":"ITEM-3","issue":"4","issued":{"date-parts":[["2023","4","10"]]},"page":"397-412","publisher":"Nature Publishing Group","title":"Challenges resulting from urban density and climate change for the EU energy transition","type":"article-journal","volume":"8"},"uris":["http://www.mendeley.com/documents/?uuid=34c5ccef-af9a-4121-aa88-d1388c6079e5"]}],"mendeley":{"formattedCitation":"&lt;sup&gt;24–26&lt;/sup&gt;","plainTextFormattedCitation":"24–26","previouslyFormattedCitation":"(24–26)"},"properties":{"noteIndex":0},"schema":"https://github.com/citation-style-language/schema/raw/master/csl-citation.json"}</w:instrText>
      </w:r>
      <w:r w:rsidRPr="00DF014C">
        <w:rPr>
          <w:rFonts w:ascii="Arial" w:hAnsi="Arial" w:cs="Arial"/>
          <w:sz w:val="20"/>
          <w:szCs w:val="20"/>
        </w:rPr>
        <w:fldChar w:fldCharType="separate"/>
      </w:r>
      <w:r w:rsidR="00502006" w:rsidRPr="00502006">
        <w:rPr>
          <w:rFonts w:ascii="Arial" w:hAnsi="Arial" w:cs="Arial"/>
          <w:noProof/>
          <w:sz w:val="20"/>
          <w:szCs w:val="20"/>
          <w:vertAlign w:val="superscript"/>
        </w:rPr>
        <w:t>24–26</w:t>
      </w:r>
      <w:r w:rsidRPr="00DF014C">
        <w:rPr>
          <w:rFonts w:ascii="Arial" w:hAnsi="Arial" w:cs="Arial"/>
          <w:sz w:val="20"/>
          <w:szCs w:val="20"/>
        </w:rPr>
        <w:fldChar w:fldCharType="end"/>
      </w:r>
      <w:r w:rsidRPr="00DF014C">
        <w:rPr>
          <w:rFonts w:ascii="Arial" w:hAnsi="Arial" w:cs="Arial"/>
          <w:sz w:val="20"/>
          <w:szCs w:val="20"/>
        </w:rPr>
        <w:t>.</w:t>
      </w:r>
    </w:p>
    <w:p w14:paraId="43870106" w14:textId="77777777" w:rsidR="005134CD" w:rsidRPr="00524F1F" w:rsidRDefault="005134CD" w:rsidP="00524F1F">
      <w:pPr>
        <w:spacing w:after="0" w:line="240" w:lineRule="auto"/>
        <w:jc w:val="both"/>
        <w:rPr>
          <w:rFonts w:ascii="Arial" w:hAnsi="Arial" w:cs="Arial"/>
          <w:color w:val="C00000"/>
          <w:sz w:val="20"/>
          <w:szCs w:val="20"/>
        </w:rPr>
      </w:pPr>
    </w:p>
    <w:p w14:paraId="2335E70D" w14:textId="5A65BBF0" w:rsidR="00C414E3" w:rsidRPr="00524F1F" w:rsidRDefault="00423AEE" w:rsidP="00524F1F">
      <w:pPr>
        <w:spacing w:after="0" w:line="240" w:lineRule="auto"/>
        <w:jc w:val="both"/>
        <w:rPr>
          <w:rFonts w:ascii="Arial" w:hAnsi="Arial" w:cs="Arial"/>
          <w:b/>
          <w:bCs/>
        </w:rPr>
      </w:pPr>
      <w:bookmarkStart w:id="3" w:name="_Hlk185323031"/>
      <w:r w:rsidRPr="00524F1F">
        <w:rPr>
          <w:rFonts w:ascii="Arial" w:hAnsi="Arial" w:cs="Arial"/>
          <w:b/>
          <w:bCs/>
        </w:rPr>
        <w:t>2.2</w:t>
      </w:r>
      <w:r w:rsidR="003F0AD1" w:rsidRPr="00524F1F">
        <w:rPr>
          <w:rFonts w:ascii="Arial" w:hAnsi="Arial" w:cs="Arial"/>
          <w:b/>
          <w:bCs/>
        </w:rPr>
        <w:t xml:space="preserve"> Estimated CDD</w:t>
      </w:r>
      <w:r w:rsidR="00C81843">
        <w:rPr>
          <w:rFonts w:ascii="Arial" w:hAnsi="Arial" w:cs="Arial"/>
          <w:b/>
          <w:bCs/>
        </w:rPr>
        <w:t>-hum</w:t>
      </w:r>
      <w:r w:rsidR="003F0AD1" w:rsidRPr="00524F1F">
        <w:rPr>
          <w:rFonts w:ascii="Arial" w:hAnsi="Arial" w:cs="Arial"/>
          <w:b/>
          <w:bCs/>
        </w:rPr>
        <w:t xml:space="preserve"> and its relation with actual Urban cooling demand </w:t>
      </w:r>
    </w:p>
    <w:p w14:paraId="38A8BF7A" w14:textId="1F175234" w:rsidR="00C035EB" w:rsidRPr="00524F1F" w:rsidRDefault="00C414E3" w:rsidP="003561D4">
      <w:pPr>
        <w:spacing w:after="0" w:line="240" w:lineRule="auto"/>
        <w:jc w:val="both"/>
        <w:rPr>
          <w:rFonts w:ascii="Arial" w:hAnsi="Arial" w:cs="Arial"/>
          <w:sz w:val="20"/>
          <w:szCs w:val="20"/>
        </w:rPr>
      </w:pPr>
      <w:r w:rsidRPr="00524F1F">
        <w:rPr>
          <w:rFonts w:ascii="Arial" w:hAnsi="Arial" w:cs="Arial"/>
          <w:b/>
          <w:bCs/>
          <w:noProof/>
          <w14:ligatures w14:val="standardContextual"/>
        </w:rPr>
        <w:drawing>
          <wp:inline distT="0" distB="0" distL="0" distR="0" wp14:anchorId="02B7631F" wp14:editId="5FA2621C">
            <wp:extent cx="5731510" cy="2360033"/>
            <wp:effectExtent l="0" t="0" r="2540" b="2540"/>
            <wp:docPr id="127113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31889"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360033"/>
                    </a:xfrm>
                    <a:prstGeom prst="rect">
                      <a:avLst/>
                    </a:prstGeom>
                  </pic:spPr>
                </pic:pic>
              </a:graphicData>
            </a:graphic>
          </wp:inline>
        </w:drawing>
      </w:r>
      <w:r w:rsidR="00900136" w:rsidRPr="00900136">
        <w:rPr>
          <w:rFonts w:ascii="Arial" w:hAnsi="Arial" w:cs="Arial"/>
          <w:b/>
          <w:bCs/>
          <w:sz w:val="20"/>
          <w:szCs w:val="20"/>
        </w:rPr>
        <w:t xml:space="preserve"> </w:t>
      </w:r>
      <w:r w:rsidR="00900136">
        <w:rPr>
          <w:rFonts w:ascii="Arial" w:hAnsi="Arial" w:cs="Arial"/>
          <w:b/>
          <w:bCs/>
          <w:sz w:val="20"/>
          <w:szCs w:val="20"/>
        </w:rPr>
        <w:t>Supplementary Figure 5a</w:t>
      </w:r>
      <w:r w:rsidR="00900136" w:rsidRPr="00DF014C">
        <w:rPr>
          <w:rFonts w:ascii="Arial" w:hAnsi="Arial" w:cs="Arial"/>
          <w:b/>
          <w:bCs/>
          <w:sz w:val="20"/>
          <w:szCs w:val="20"/>
        </w:rPr>
        <w:t>.</w:t>
      </w:r>
      <w:r w:rsidR="00C035EB" w:rsidRPr="00524F1F">
        <w:rPr>
          <w:rFonts w:ascii="Arial" w:hAnsi="Arial" w:cs="Arial"/>
          <w:b/>
          <w:bCs/>
          <w:sz w:val="20"/>
          <w:szCs w:val="20"/>
        </w:rPr>
        <w:t xml:space="preserve"> </w:t>
      </w:r>
      <w:r w:rsidR="00C035EB" w:rsidRPr="00524F1F">
        <w:rPr>
          <w:rFonts w:ascii="Arial" w:hAnsi="Arial" w:cs="Arial"/>
          <w:sz w:val="20"/>
          <w:szCs w:val="20"/>
        </w:rPr>
        <w:t xml:space="preserve">The estimated energy demand over period of 2020-2023 in monthly resolution is plotted against the estimated CDD-hum (using equation vi), which are used in this study as the proxy for urban energy demand. Here is the example of – </w:t>
      </w:r>
      <w:r w:rsidR="00C035EB" w:rsidRPr="00524F1F">
        <w:rPr>
          <w:rFonts w:ascii="Arial" w:hAnsi="Arial" w:cs="Arial"/>
          <w:b/>
          <w:bCs/>
          <w:sz w:val="20"/>
          <w:szCs w:val="20"/>
        </w:rPr>
        <w:t xml:space="preserve">Delhi </w:t>
      </w:r>
      <w:r w:rsidR="00C035EB" w:rsidRPr="00524F1F">
        <w:rPr>
          <w:rFonts w:ascii="Arial" w:hAnsi="Arial" w:cs="Arial"/>
          <w:sz w:val="20"/>
          <w:szCs w:val="20"/>
        </w:rPr>
        <w:t>with all the CDD ranges</w:t>
      </w:r>
      <w:r w:rsidR="00E4537B" w:rsidRPr="00524F1F">
        <w:rPr>
          <w:rFonts w:ascii="Arial" w:hAnsi="Arial" w:cs="Arial"/>
          <w:sz w:val="20"/>
          <w:szCs w:val="20"/>
        </w:rPr>
        <w:t xml:space="preserve"> </w:t>
      </w:r>
      <w:r w:rsidR="00C035EB" w:rsidRPr="00524F1F">
        <w:rPr>
          <w:rFonts w:ascii="Arial" w:hAnsi="Arial" w:cs="Arial"/>
          <w:sz w:val="20"/>
          <w:szCs w:val="20"/>
        </w:rPr>
        <w:t>average</w:t>
      </w:r>
      <w:r w:rsidR="00E4537B" w:rsidRPr="00524F1F">
        <w:rPr>
          <w:rFonts w:ascii="Arial" w:hAnsi="Arial" w:cs="Arial"/>
          <w:sz w:val="20"/>
          <w:szCs w:val="20"/>
        </w:rPr>
        <w:t>d over</w:t>
      </w:r>
      <w:r w:rsidR="00C035EB" w:rsidRPr="00524F1F">
        <w:rPr>
          <w:rFonts w:ascii="Arial" w:hAnsi="Arial" w:cs="Arial"/>
          <w:sz w:val="20"/>
          <w:szCs w:val="20"/>
        </w:rPr>
        <w:t xml:space="preserve"> 22-28°C</w:t>
      </w:r>
      <w:r w:rsidR="00E4537B" w:rsidRPr="00524F1F">
        <w:rPr>
          <w:rFonts w:ascii="Arial" w:hAnsi="Arial" w:cs="Arial"/>
          <w:sz w:val="20"/>
          <w:szCs w:val="20"/>
        </w:rPr>
        <w:t xml:space="preserve">. </w:t>
      </w:r>
    </w:p>
    <w:p w14:paraId="3EFE917C" w14:textId="77777777" w:rsidR="00C414E3" w:rsidRPr="00524F1F" w:rsidRDefault="00C414E3" w:rsidP="00524F1F">
      <w:pPr>
        <w:spacing w:after="0" w:line="240" w:lineRule="auto"/>
        <w:jc w:val="both"/>
        <w:rPr>
          <w:rFonts w:ascii="Arial" w:hAnsi="Arial" w:cs="Arial"/>
          <w:sz w:val="20"/>
          <w:szCs w:val="20"/>
        </w:rPr>
      </w:pPr>
    </w:p>
    <w:p w14:paraId="1339DF19" w14:textId="57155479" w:rsidR="00E4537B" w:rsidRPr="00524F1F" w:rsidRDefault="00E4537B" w:rsidP="00524F1F">
      <w:pPr>
        <w:spacing w:after="0" w:line="240" w:lineRule="auto"/>
        <w:jc w:val="both"/>
        <w:rPr>
          <w:rFonts w:ascii="Arial" w:hAnsi="Arial" w:cs="Arial"/>
          <w:b/>
          <w:bCs/>
        </w:rPr>
      </w:pPr>
      <w:r w:rsidRPr="00524F1F">
        <w:rPr>
          <w:rFonts w:ascii="Arial" w:hAnsi="Arial" w:cs="Arial"/>
          <w:b/>
          <w:bCs/>
          <w:noProof/>
          <w14:ligatures w14:val="standardContextual"/>
        </w:rPr>
        <w:lastRenderedPageBreak/>
        <w:drawing>
          <wp:inline distT="0" distB="0" distL="0" distR="0" wp14:anchorId="68569706" wp14:editId="4C4DCC45">
            <wp:extent cx="5731510" cy="2360033"/>
            <wp:effectExtent l="0" t="0" r="2540" b="2540"/>
            <wp:docPr id="1876794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94299"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360033"/>
                    </a:xfrm>
                    <a:prstGeom prst="rect">
                      <a:avLst/>
                    </a:prstGeom>
                  </pic:spPr>
                </pic:pic>
              </a:graphicData>
            </a:graphic>
          </wp:inline>
        </w:drawing>
      </w:r>
    </w:p>
    <w:p w14:paraId="2E3071D0" w14:textId="736DC447" w:rsidR="00E4537B" w:rsidRPr="00524F1F" w:rsidRDefault="00900136" w:rsidP="003561D4">
      <w:pPr>
        <w:spacing w:after="0" w:line="240" w:lineRule="auto"/>
        <w:jc w:val="both"/>
        <w:rPr>
          <w:rFonts w:ascii="Arial" w:hAnsi="Arial" w:cs="Arial"/>
          <w:sz w:val="20"/>
          <w:szCs w:val="20"/>
        </w:rPr>
      </w:pPr>
      <w:r>
        <w:rPr>
          <w:rFonts w:ascii="Arial" w:hAnsi="Arial" w:cs="Arial"/>
          <w:b/>
          <w:bCs/>
          <w:sz w:val="20"/>
          <w:szCs w:val="20"/>
        </w:rPr>
        <w:t>Supplementary Figure 5b</w:t>
      </w:r>
      <w:r w:rsidRPr="00DF014C">
        <w:rPr>
          <w:rFonts w:ascii="Arial" w:hAnsi="Arial" w:cs="Arial"/>
          <w:b/>
          <w:bCs/>
          <w:sz w:val="20"/>
          <w:szCs w:val="20"/>
        </w:rPr>
        <w:t>.</w:t>
      </w:r>
      <w:r w:rsidR="00E4537B" w:rsidRPr="00524F1F">
        <w:rPr>
          <w:rFonts w:ascii="Arial" w:hAnsi="Arial" w:cs="Arial"/>
          <w:b/>
          <w:bCs/>
          <w:sz w:val="20"/>
          <w:szCs w:val="20"/>
        </w:rPr>
        <w:t xml:space="preserve"> </w:t>
      </w:r>
      <w:r w:rsidR="00E4537B" w:rsidRPr="00524F1F">
        <w:rPr>
          <w:rFonts w:ascii="Arial" w:hAnsi="Arial" w:cs="Arial"/>
          <w:sz w:val="20"/>
          <w:szCs w:val="20"/>
        </w:rPr>
        <w:t xml:space="preserve">The estimated energy demand over period of 2020-2023 in monthly resolution is plotted against the estimated CDD-hum (using equation vi), which are used in this study as the proxy for urban energy demand. Here is the example of – </w:t>
      </w:r>
      <w:r w:rsidR="00E4537B" w:rsidRPr="00524F1F">
        <w:rPr>
          <w:rFonts w:ascii="Arial" w:hAnsi="Arial" w:cs="Arial"/>
          <w:b/>
          <w:bCs/>
          <w:sz w:val="20"/>
          <w:szCs w:val="20"/>
        </w:rPr>
        <w:t xml:space="preserve">West Bengal-Kolkata </w:t>
      </w:r>
      <w:r w:rsidR="00E4537B" w:rsidRPr="00524F1F">
        <w:rPr>
          <w:rFonts w:ascii="Arial" w:hAnsi="Arial" w:cs="Arial"/>
          <w:sz w:val="20"/>
          <w:szCs w:val="20"/>
        </w:rPr>
        <w:t xml:space="preserve">with all the CDD ranges averaged over 22-28°C. </w:t>
      </w:r>
    </w:p>
    <w:p w14:paraId="4DCD8236" w14:textId="77777777" w:rsidR="00C414E3" w:rsidRDefault="00C414E3" w:rsidP="00524F1F">
      <w:pPr>
        <w:spacing w:after="0" w:line="240" w:lineRule="auto"/>
        <w:jc w:val="both"/>
        <w:rPr>
          <w:rFonts w:ascii="Arial" w:hAnsi="Arial" w:cs="Arial"/>
          <w:color w:val="FF0000"/>
          <w:sz w:val="20"/>
          <w:szCs w:val="20"/>
        </w:rPr>
      </w:pPr>
    </w:p>
    <w:p w14:paraId="0918DEAB" w14:textId="010A608C" w:rsidR="005D2713" w:rsidRPr="0096196B" w:rsidRDefault="005D2713" w:rsidP="00524F1F">
      <w:pPr>
        <w:spacing w:after="0" w:line="240" w:lineRule="auto"/>
        <w:jc w:val="both"/>
        <w:rPr>
          <w:rFonts w:ascii="Arial" w:hAnsi="Arial" w:cs="Arial"/>
          <w:b/>
          <w:bCs/>
        </w:rPr>
      </w:pPr>
      <w:r>
        <w:rPr>
          <w:rFonts w:ascii="Arial" w:hAnsi="Arial" w:cs="Arial"/>
          <w:b/>
          <w:bCs/>
          <w:noProof/>
          <w14:ligatures w14:val="standardContextual"/>
        </w:rPr>
        <w:drawing>
          <wp:inline distT="0" distB="0" distL="0" distR="0" wp14:anchorId="062683C6" wp14:editId="7E9BB926">
            <wp:extent cx="5731510" cy="2360033"/>
            <wp:effectExtent l="0" t="0" r="2540" b="2540"/>
            <wp:docPr id="2009153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53117"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360033"/>
                    </a:xfrm>
                    <a:prstGeom prst="rect">
                      <a:avLst/>
                    </a:prstGeom>
                  </pic:spPr>
                </pic:pic>
              </a:graphicData>
            </a:graphic>
          </wp:inline>
        </w:drawing>
      </w:r>
    </w:p>
    <w:p w14:paraId="33582C96" w14:textId="4B2C9F96" w:rsidR="005D2713" w:rsidRPr="00900136" w:rsidRDefault="00900136" w:rsidP="00524F1F">
      <w:pPr>
        <w:spacing w:after="0" w:line="240" w:lineRule="auto"/>
        <w:jc w:val="both"/>
        <w:rPr>
          <w:rFonts w:ascii="Arial" w:hAnsi="Arial" w:cs="Arial"/>
          <w:sz w:val="20"/>
          <w:szCs w:val="20"/>
        </w:rPr>
      </w:pPr>
      <w:r>
        <w:rPr>
          <w:rFonts w:ascii="Arial" w:hAnsi="Arial" w:cs="Arial"/>
          <w:b/>
          <w:bCs/>
          <w:sz w:val="20"/>
          <w:szCs w:val="20"/>
        </w:rPr>
        <w:t>Supplementary Figure 5c</w:t>
      </w:r>
      <w:r w:rsidRPr="00DF014C">
        <w:rPr>
          <w:rFonts w:ascii="Arial" w:hAnsi="Arial" w:cs="Arial"/>
          <w:b/>
          <w:bCs/>
          <w:sz w:val="20"/>
          <w:szCs w:val="20"/>
        </w:rPr>
        <w:t>.</w:t>
      </w:r>
      <w:r w:rsidR="005D2713" w:rsidRPr="0096196B">
        <w:rPr>
          <w:rFonts w:ascii="Arial" w:hAnsi="Arial" w:cs="Arial"/>
          <w:b/>
          <w:bCs/>
          <w:sz w:val="20"/>
          <w:szCs w:val="20"/>
        </w:rPr>
        <w:t xml:space="preserve"> </w:t>
      </w:r>
      <w:r w:rsidR="005D2713" w:rsidRPr="0096196B">
        <w:rPr>
          <w:rFonts w:ascii="Arial" w:hAnsi="Arial" w:cs="Arial"/>
          <w:sz w:val="20"/>
          <w:szCs w:val="20"/>
        </w:rPr>
        <w:t xml:space="preserve">The estimated energy demand over period of 2020-2023 in monthly resolution is plotted against the estimated CDD-hum (using equation vi), which are used in this study as the proxy for urban energy demand. Here is the example of – </w:t>
      </w:r>
      <w:r w:rsidR="00E27C54">
        <w:rPr>
          <w:rFonts w:ascii="Arial" w:hAnsi="Arial" w:cs="Arial"/>
          <w:b/>
          <w:bCs/>
          <w:sz w:val="20"/>
          <w:szCs w:val="20"/>
        </w:rPr>
        <w:t>Kerala</w:t>
      </w:r>
      <w:r w:rsidR="005D2713" w:rsidRPr="0096196B">
        <w:rPr>
          <w:rFonts w:ascii="Arial" w:hAnsi="Arial" w:cs="Arial"/>
          <w:b/>
          <w:bCs/>
          <w:sz w:val="20"/>
          <w:szCs w:val="20"/>
        </w:rPr>
        <w:t xml:space="preserve"> </w:t>
      </w:r>
      <w:r w:rsidR="005D2713" w:rsidRPr="0096196B">
        <w:rPr>
          <w:rFonts w:ascii="Arial" w:hAnsi="Arial" w:cs="Arial"/>
          <w:sz w:val="20"/>
          <w:szCs w:val="20"/>
        </w:rPr>
        <w:t xml:space="preserve">with all the CDD ranges averaged over 22-28°C. </w:t>
      </w:r>
    </w:p>
    <w:p w14:paraId="7AB54C6D" w14:textId="4F9C0655" w:rsidR="004F6083" w:rsidRPr="0096196B" w:rsidRDefault="00BE4337" w:rsidP="00524F1F">
      <w:pPr>
        <w:spacing w:after="0" w:line="240" w:lineRule="auto"/>
        <w:jc w:val="both"/>
        <w:rPr>
          <w:rFonts w:ascii="Arial" w:hAnsi="Arial" w:cs="Arial"/>
          <w:b/>
          <w:bCs/>
        </w:rPr>
      </w:pPr>
      <w:r>
        <w:rPr>
          <w:rFonts w:ascii="Arial" w:hAnsi="Arial" w:cs="Arial"/>
          <w:b/>
          <w:bCs/>
          <w:noProof/>
          <w14:ligatures w14:val="standardContextual"/>
        </w:rPr>
        <w:drawing>
          <wp:inline distT="0" distB="0" distL="0" distR="0" wp14:anchorId="2FABBFC6" wp14:editId="426027A9">
            <wp:extent cx="5324475" cy="2192430"/>
            <wp:effectExtent l="0" t="0" r="0" b="0"/>
            <wp:docPr id="307450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054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4995" cy="2196762"/>
                    </a:xfrm>
                    <a:prstGeom prst="rect">
                      <a:avLst/>
                    </a:prstGeom>
                  </pic:spPr>
                </pic:pic>
              </a:graphicData>
            </a:graphic>
          </wp:inline>
        </w:drawing>
      </w:r>
    </w:p>
    <w:p w14:paraId="796C8812" w14:textId="66557DF5" w:rsidR="004F6083" w:rsidRDefault="00900136" w:rsidP="003561D4">
      <w:pPr>
        <w:spacing w:after="0" w:line="240" w:lineRule="auto"/>
        <w:jc w:val="both"/>
        <w:rPr>
          <w:rFonts w:ascii="Arial" w:hAnsi="Arial" w:cs="Arial"/>
          <w:sz w:val="20"/>
          <w:szCs w:val="20"/>
        </w:rPr>
      </w:pPr>
      <w:r>
        <w:rPr>
          <w:rFonts w:ascii="Arial" w:hAnsi="Arial" w:cs="Arial"/>
          <w:b/>
          <w:bCs/>
          <w:sz w:val="20"/>
          <w:szCs w:val="20"/>
        </w:rPr>
        <w:t>Supplementary Figure 5d</w:t>
      </w:r>
      <w:r w:rsidRPr="00DF014C">
        <w:rPr>
          <w:rFonts w:ascii="Arial" w:hAnsi="Arial" w:cs="Arial"/>
          <w:b/>
          <w:bCs/>
          <w:sz w:val="20"/>
          <w:szCs w:val="20"/>
        </w:rPr>
        <w:t>.</w:t>
      </w:r>
      <w:r w:rsidR="004F6083" w:rsidRPr="0096196B">
        <w:rPr>
          <w:rFonts w:ascii="Arial" w:hAnsi="Arial" w:cs="Arial"/>
          <w:b/>
          <w:bCs/>
          <w:sz w:val="20"/>
          <w:szCs w:val="20"/>
        </w:rPr>
        <w:t xml:space="preserve"> </w:t>
      </w:r>
      <w:r w:rsidR="004F6083" w:rsidRPr="0096196B">
        <w:rPr>
          <w:rFonts w:ascii="Arial" w:hAnsi="Arial" w:cs="Arial"/>
          <w:sz w:val="20"/>
          <w:szCs w:val="20"/>
        </w:rPr>
        <w:t xml:space="preserve">The estimated energy demand over period of 2020-2023 in monthly resolution is plotted against the estimated CDD-hum (using equation vi), which are used in this study as the proxy for urban energy demand. Here is the example of – </w:t>
      </w:r>
      <w:r w:rsidR="004F6083">
        <w:rPr>
          <w:rFonts w:ascii="Arial" w:hAnsi="Arial" w:cs="Arial"/>
          <w:b/>
          <w:bCs/>
          <w:sz w:val="20"/>
          <w:szCs w:val="20"/>
        </w:rPr>
        <w:t>Goa</w:t>
      </w:r>
      <w:r w:rsidR="004F6083" w:rsidRPr="0096196B">
        <w:rPr>
          <w:rFonts w:ascii="Arial" w:hAnsi="Arial" w:cs="Arial"/>
          <w:b/>
          <w:bCs/>
          <w:sz w:val="20"/>
          <w:szCs w:val="20"/>
        </w:rPr>
        <w:t xml:space="preserve"> </w:t>
      </w:r>
      <w:r w:rsidR="004F6083" w:rsidRPr="0096196B">
        <w:rPr>
          <w:rFonts w:ascii="Arial" w:hAnsi="Arial" w:cs="Arial"/>
          <w:sz w:val="20"/>
          <w:szCs w:val="20"/>
        </w:rPr>
        <w:t xml:space="preserve">with all the CDD ranges averaged over 22-28°C. </w:t>
      </w:r>
    </w:p>
    <w:p w14:paraId="57FE4B32" w14:textId="36AACF8D" w:rsidR="004F6083" w:rsidRPr="0096196B" w:rsidRDefault="004F6083" w:rsidP="003561D4">
      <w:pPr>
        <w:spacing w:after="0" w:line="240" w:lineRule="auto"/>
        <w:jc w:val="both"/>
        <w:rPr>
          <w:rFonts w:ascii="Arial" w:hAnsi="Arial" w:cs="Arial"/>
          <w:sz w:val="20"/>
          <w:szCs w:val="20"/>
        </w:rPr>
      </w:pPr>
      <w:r>
        <w:rPr>
          <w:rFonts w:ascii="Arial" w:hAnsi="Arial" w:cs="Arial"/>
          <w:noProof/>
          <w:sz w:val="20"/>
          <w:szCs w:val="20"/>
          <w14:ligatures w14:val="standardContextual"/>
        </w:rPr>
        <w:lastRenderedPageBreak/>
        <w:drawing>
          <wp:inline distT="0" distB="0" distL="0" distR="0" wp14:anchorId="51E926CB" wp14:editId="50B960A9">
            <wp:extent cx="5731510" cy="2360033"/>
            <wp:effectExtent l="0" t="0" r="2540" b="2540"/>
            <wp:docPr id="598170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70660"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360033"/>
                    </a:xfrm>
                    <a:prstGeom prst="rect">
                      <a:avLst/>
                    </a:prstGeom>
                  </pic:spPr>
                </pic:pic>
              </a:graphicData>
            </a:graphic>
          </wp:inline>
        </w:drawing>
      </w:r>
    </w:p>
    <w:p w14:paraId="22FBDC84" w14:textId="27AB0116" w:rsidR="004F6083" w:rsidRDefault="00900136" w:rsidP="003561D4">
      <w:pPr>
        <w:spacing w:after="0" w:line="240" w:lineRule="auto"/>
        <w:jc w:val="both"/>
        <w:rPr>
          <w:rFonts w:ascii="Arial" w:hAnsi="Arial" w:cs="Arial"/>
          <w:sz w:val="20"/>
          <w:szCs w:val="20"/>
        </w:rPr>
      </w:pPr>
      <w:r>
        <w:rPr>
          <w:rFonts w:ascii="Arial" w:hAnsi="Arial" w:cs="Arial"/>
          <w:b/>
          <w:bCs/>
          <w:sz w:val="20"/>
          <w:szCs w:val="20"/>
        </w:rPr>
        <w:t>Supplementary Figure 5e</w:t>
      </w:r>
      <w:r w:rsidRPr="00DF014C">
        <w:rPr>
          <w:rFonts w:ascii="Arial" w:hAnsi="Arial" w:cs="Arial"/>
          <w:b/>
          <w:bCs/>
          <w:sz w:val="20"/>
          <w:szCs w:val="20"/>
        </w:rPr>
        <w:t>.</w:t>
      </w:r>
      <w:r w:rsidR="004F6083" w:rsidRPr="0096196B">
        <w:rPr>
          <w:rFonts w:ascii="Arial" w:hAnsi="Arial" w:cs="Arial"/>
          <w:b/>
          <w:bCs/>
          <w:sz w:val="20"/>
          <w:szCs w:val="20"/>
        </w:rPr>
        <w:t xml:space="preserve"> </w:t>
      </w:r>
      <w:r w:rsidR="004F6083" w:rsidRPr="0096196B">
        <w:rPr>
          <w:rFonts w:ascii="Arial" w:hAnsi="Arial" w:cs="Arial"/>
          <w:sz w:val="20"/>
          <w:szCs w:val="20"/>
        </w:rPr>
        <w:t xml:space="preserve">The estimated energy demand over period of 2020-2023 in monthly resolution is plotted against the estimated CDD-hum (using equation vi), which are used in this study as the proxy for urban energy demand. Here is the example of – </w:t>
      </w:r>
      <w:r w:rsidR="004F6083">
        <w:rPr>
          <w:rFonts w:ascii="Arial" w:hAnsi="Arial" w:cs="Arial"/>
          <w:b/>
          <w:bCs/>
          <w:sz w:val="20"/>
          <w:szCs w:val="20"/>
        </w:rPr>
        <w:t>Tripura</w:t>
      </w:r>
      <w:r w:rsidR="004F6083" w:rsidRPr="0096196B">
        <w:rPr>
          <w:rFonts w:ascii="Arial" w:hAnsi="Arial" w:cs="Arial"/>
          <w:b/>
          <w:bCs/>
          <w:sz w:val="20"/>
          <w:szCs w:val="20"/>
        </w:rPr>
        <w:t xml:space="preserve"> </w:t>
      </w:r>
      <w:r w:rsidR="004F6083" w:rsidRPr="0096196B">
        <w:rPr>
          <w:rFonts w:ascii="Arial" w:hAnsi="Arial" w:cs="Arial"/>
          <w:sz w:val="20"/>
          <w:szCs w:val="20"/>
        </w:rPr>
        <w:t xml:space="preserve">with all the CDD ranges averaged over 22-28°C. </w:t>
      </w:r>
    </w:p>
    <w:p w14:paraId="57155479" w14:textId="5F43466D" w:rsidR="000D5381" w:rsidRDefault="000D5381" w:rsidP="003561D4">
      <w:pPr>
        <w:spacing w:after="0" w:line="240" w:lineRule="auto"/>
        <w:jc w:val="both"/>
        <w:rPr>
          <w:rFonts w:ascii="Arial" w:hAnsi="Arial" w:cs="Arial"/>
          <w:sz w:val="20"/>
          <w:szCs w:val="20"/>
        </w:rPr>
      </w:pPr>
      <w:r>
        <w:rPr>
          <w:rFonts w:ascii="Arial" w:hAnsi="Arial" w:cs="Arial"/>
          <w:noProof/>
          <w:sz w:val="20"/>
          <w:szCs w:val="20"/>
          <w14:ligatures w14:val="standardContextual"/>
        </w:rPr>
        <w:drawing>
          <wp:inline distT="0" distB="0" distL="0" distR="0" wp14:anchorId="32F1BCE8" wp14:editId="743C722A">
            <wp:extent cx="5731510" cy="2360033"/>
            <wp:effectExtent l="0" t="0" r="2540" b="2540"/>
            <wp:docPr id="610307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0729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360033"/>
                    </a:xfrm>
                    <a:prstGeom prst="rect">
                      <a:avLst/>
                    </a:prstGeom>
                  </pic:spPr>
                </pic:pic>
              </a:graphicData>
            </a:graphic>
          </wp:inline>
        </w:drawing>
      </w:r>
    </w:p>
    <w:p w14:paraId="3BFBE5E9" w14:textId="243B3151" w:rsidR="00D732C2" w:rsidRPr="007E24C8" w:rsidRDefault="00900136" w:rsidP="00524F1F">
      <w:pPr>
        <w:spacing w:after="0" w:line="240" w:lineRule="auto"/>
        <w:jc w:val="both"/>
        <w:rPr>
          <w:rFonts w:ascii="Arial" w:hAnsi="Arial" w:cs="Arial"/>
          <w:sz w:val="20"/>
          <w:szCs w:val="20"/>
        </w:rPr>
      </w:pPr>
      <w:r>
        <w:rPr>
          <w:rFonts w:ascii="Arial" w:hAnsi="Arial" w:cs="Arial"/>
          <w:b/>
          <w:bCs/>
          <w:sz w:val="20"/>
          <w:szCs w:val="20"/>
        </w:rPr>
        <w:t>Supplementary Figure 5f</w:t>
      </w:r>
      <w:r w:rsidRPr="00DF014C">
        <w:rPr>
          <w:rFonts w:ascii="Arial" w:hAnsi="Arial" w:cs="Arial"/>
          <w:b/>
          <w:bCs/>
          <w:sz w:val="20"/>
          <w:szCs w:val="20"/>
        </w:rPr>
        <w:t>.</w:t>
      </w:r>
      <w:r w:rsidRPr="0096196B">
        <w:rPr>
          <w:rFonts w:ascii="Arial" w:hAnsi="Arial" w:cs="Arial"/>
          <w:b/>
          <w:bCs/>
          <w:sz w:val="20"/>
          <w:szCs w:val="20"/>
        </w:rPr>
        <w:t xml:space="preserve"> </w:t>
      </w:r>
      <w:r w:rsidR="004F6083" w:rsidRPr="0096196B">
        <w:rPr>
          <w:rFonts w:ascii="Arial" w:hAnsi="Arial" w:cs="Arial"/>
          <w:b/>
          <w:bCs/>
          <w:sz w:val="20"/>
          <w:szCs w:val="20"/>
        </w:rPr>
        <w:t xml:space="preserve"> </w:t>
      </w:r>
      <w:r w:rsidR="004F6083" w:rsidRPr="0096196B">
        <w:rPr>
          <w:rFonts w:ascii="Arial" w:hAnsi="Arial" w:cs="Arial"/>
          <w:sz w:val="20"/>
          <w:szCs w:val="20"/>
        </w:rPr>
        <w:t xml:space="preserve">The estimated energy demand over period of 2020-2023 in monthly resolution is plotted against the estimated CDD-hum (using equation vi), which are used in this study as the proxy for urban energy demand. Here is the example of – </w:t>
      </w:r>
      <w:r w:rsidR="000D5381">
        <w:rPr>
          <w:rFonts w:ascii="Arial" w:hAnsi="Arial" w:cs="Arial"/>
          <w:b/>
          <w:bCs/>
          <w:sz w:val="20"/>
          <w:szCs w:val="20"/>
        </w:rPr>
        <w:t>Puducherry</w:t>
      </w:r>
      <w:r w:rsidR="004F6083" w:rsidRPr="0096196B">
        <w:rPr>
          <w:rFonts w:ascii="Arial" w:hAnsi="Arial" w:cs="Arial"/>
          <w:b/>
          <w:bCs/>
          <w:sz w:val="20"/>
          <w:szCs w:val="20"/>
        </w:rPr>
        <w:t xml:space="preserve"> </w:t>
      </w:r>
      <w:r w:rsidR="004F6083" w:rsidRPr="0096196B">
        <w:rPr>
          <w:rFonts w:ascii="Arial" w:hAnsi="Arial" w:cs="Arial"/>
          <w:sz w:val="20"/>
          <w:szCs w:val="20"/>
        </w:rPr>
        <w:t xml:space="preserve">with all the CDD ranges averaged over 22-28°C. </w:t>
      </w:r>
    </w:p>
    <w:p w14:paraId="13F20BCE" w14:textId="5C15462A" w:rsidR="00505A6B" w:rsidRDefault="00505A6B" w:rsidP="00524F1F">
      <w:pPr>
        <w:spacing w:after="0" w:line="240" w:lineRule="auto"/>
        <w:jc w:val="both"/>
        <w:rPr>
          <w:rFonts w:ascii="Arial" w:hAnsi="Arial" w:cs="Arial"/>
          <w:b/>
          <w:bCs/>
          <w:color w:val="000000" w:themeColor="text1"/>
        </w:rPr>
      </w:pPr>
      <w:r>
        <w:rPr>
          <w:rFonts w:ascii="Arial" w:hAnsi="Arial" w:cs="Arial"/>
          <w:b/>
          <w:bCs/>
          <w:noProof/>
          <w:color w:val="000000" w:themeColor="text1"/>
          <w14:ligatures w14:val="standardContextual"/>
        </w:rPr>
        <w:drawing>
          <wp:inline distT="0" distB="0" distL="0" distR="0" wp14:anchorId="3731A1C9" wp14:editId="7369F16F">
            <wp:extent cx="5514975" cy="2271124"/>
            <wp:effectExtent l="0" t="0" r="0" b="0"/>
            <wp:docPr id="810007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07023" name="Picture 8100070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1117" cy="2273653"/>
                    </a:xfrm>
                    <a:prstGeom prst="rect">
                      <a:avLst/>
                    </a:prstGeom>
                  </pic:spPr>
                </pic:pic>
              </a:graphicData>
            </a:graphic>
          </wp:inline>
        </w:drawing>
      </w:r>
    </w:p>
    <w:p w14:paraId="144E9F12" w14:textId="6031F152" w:rsidR="00505A6B" w:rsidRDefault="00900136" w:rsidP="00505A6B">
      <w:pPr>
        <w:spacing w:after="0" w:line="240" w:lineRule="auto"/>
        <w:jc w:val="both"/>
        <w:rPr>
          <w:rFonts w:ascii="Arial" w:hAnsi="Arial" w:cs="Arial"/>
          <w:sz w:val="20"/>
          <w:szCs w:val="20"/>
        </w:rPr>
      </w:pPr>
      <w:r>
        <w:rPr>
          <w:rFonts w:ascii="Arial" w:hAnsi="Arial" w:cs="Arial"/>
          <w:b/>
          <w:bCs/>
          <w:sz w:val="20"/>
          <w:szCs w:val="20"/>
        </w:rPr>
        <w:t>Supplementary Figure 5g</w:t>
      </w:r>
      <w:r w:rsidRPr="00DF014C">
        <w:rPr>
          <w:rFonts w:ascii="Arial" w:hAnsi="Arial" w:cs="Arial"/>
          <w:b/>
          <w:bCs/>
          <w:sz w:val="20"/>
          <w:szCs w:val="20"/>
        </w:rPr>
        <w:t>.</w:t>
      </w:r>
      <w:r w:rsidR="00505A6B" w:rsidRPr="0096196B">
        <w:rPr>
          <w:rFonts w:ascii="Arial" w:hAnsi="Arial" w:cs="Arial"/>
          <w:b/>
          <w:bCs/>
          <w:sz w:val="20"/>
          <w:szCs w:val="20"/>
        </w:rPr>
        <w:t xml:space="preserve"> </w:t>
      </w:r>
      <w:r w:rsidR="00505A6B" w:rsidRPr="0096196B">
        <w:rPr>
          <w:rFonts w:ascii="Arial" w:hAnsi="Arial" w:cs="Arial"/>
          <w:sz w:val="20"/>
          <w:szCs w:val="20"/>
        </w:rPr>
        <w:t xml:space="preserve">The </w:t>
      </w:r>
      <w:r w:rsidR="00505A6B">
        <w:rPr>
          <w:rFonts w:ascii="Arial" w:hAnsi="Arial" w:cs="Arial"/>
          <w:sz w:val="20"/>
          <w:szCs w:val="20"/>
        </w:rPr>
        <w:t xml:space="preserve">sourced CDD values used for estimating actual </w:t>
      </w:r>
      <w:r w:rsidR="00577168">
        <w:rPr>
          <w:rFonts w:ascii="Arial" w:hAnsi="Arial" w:cs="Arial"/>
          <w:sz w:val="20"/>
          <w:szCs w:val="20"/>
        </w:rPr>
        <w:t>city-wide</w:t>
      </w:r>
      <w:r w:rsidR="00505A6B" w:rsidRPr="0096196B">
        <w:rPr>
          <w:rFonts w:ascii="Arial" w:hAnsi="Arial" w:cs="Arial"/>
          <w:sz w:val="20"/>
          <w:szCs w:val="20"/>
        </w:rPr>
        <w:t xml:space="preserve"> energy demand over period of 2020-2023 in monthly resolution is plotted against the estimated CDD-hum (using equation vi), which are used in this study as the proxy for urban energy demand. Here is the example of – </w:t>
      </w:r>
      <w:r w:rsidR="00505A6B">
        <w:rPr>
          <w:rFonts w:ascii="Arial" w:hAnsi="Arial" w:cs="Arial"/>
          <w:b/>
          <w:bCs/>
          <w:sz w:val="20"/>
          <w:szCs w:val="20"/>
        </w:rPr>
        <w:t>Austin.</w:t>
      </w:r>
    </w:p>
    <w:p w14:paraId="55FDD84B" w14:textId="72528CF3" w:rsidR="00505A6B" w:rsidRDefault="00505A6B" w:rsidP="00505A6B">
      <w:pPr>
        <w:spacing w:after="0" w:line="240" w:lineRule="auto"/>
        <w:jc w:val="both"/>
        <w:rPr>
          <w:rFonts w:ascii="Arial" w:hAnsi="Arial" w:cs="Arial"/>
          <w:b/>
          <w:bCs/>
          <w:color w:val="000000" w:themeColor="text1"/>
        </w:rPr>
      </w:pPr>
      <w:r>
        <w:rPr>
          <w:rFonts w:ascii="Arial" w:hAnsi="Arial" w:cs="Arial"/>
          <w:b/>
          <w:bCs/>
          <w:noProof/>
          <w:color w:val="000000" w:themeColor="text1"/>
          <w14:ligatures w14:val="standardContextual"/>
        </w:rPr>
        <w:lastRenderedPageBreak/>
        <w:drawing>
          <wp:inline distT="0" distB="0" distL="0" distR="0" wp14:anchorId="63F64641" wp14:editId="53976E29">
            <wp:extent cx="5505450" cy="2267201"/>
            <wp:effectExtent l="0" t="0" r="0" b="0"/>
            <wp:docPr id="351300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00484" name="Picture 35130048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20927" cy="2273575"/>
                    </a:xfrm>
                    <a:prstGeom prst="rect">
                      <a:avLst/>
                    </a:prstGeom>
                  </pic:spPr>
                </pic:pic>
              </a:graphicData>
            </a:graphic>
          </wp:inline>
        </w:drawing>
      </w:r>
    </w:p>
    <w:p w14:paraId="41A026D1" w14:textId="1A76852F" w:rsidR="00505A6B" w:rsidRDefault="00900136" w:rsidP="00505A6B">
      <w:pPr>
        <w:spacing w:after="0" w:line="240" w:lineRule="auto"/>
        <w:jc w:val="both"/>
        <w:rPr>
          <w:rFonts w:ascii="Arial" w:hAnsi="Arial" w:cs="Arial"/>
          <w:b/>
          <w:bCs/>
          <w:sz w:val="20"/>
          <w:szCs w:val="20"/>
        </w:rPr>
      </w:pPr>
      <w:r>
        <w:rPr>
          <w:rFonts w:ascii="Arial" w:hAnsi="Arial" w:cs="Arial"/>
          <w:b/>
          <w:bCs/>
          <w:sz w:val="20"/>
          <w:szCs w:val="20"/>
        </w:rPr>
        <w:t>Supplementary Figure 5h</w:t>
      </w:r>
      <w:r w:rsidRPr="00DF014C">
        <w:rPr>
          <w:rFonts w:ascii="Arial" w:hAnsi="Arial" w:cs="Arial"/>
          <w:b/>
          <w:bCs/>
          <w:sz w:val="20"/>
          <w:szCs w:val="20"/>
        </w:rPr>
        <w:t>.</w:t>
      </w:r>
      <w:r w:rsidRPr="0096196B">
        <w:rPr>
          <w:rFonts w:ascii="Arial" w:hAnsi="Arial" w:cs="Arial"/>
          <w:b/>
          <w:bCs/>
          <w:sz w:val="20"/>
          <w:szCs w:val="20"/>
        </w:rPr>
        <w:t xml:space="preserve"> </w:t>
      </w:r>
      <w:r w:rsidR="00505A6B" w:rsidRPr="0096196B">
        <w:rPr>
          <w:rFonts w:ascii="Arial" w:hAnsi="Arial" w:cs="Arial"/>
          <w:b/>
          <w:bCs/>
          <w:sz w:val="20"/>
          <w:szCs w:val="20"/>
        </w:rPr>
        <w:t xml:space="preserve"> </w:t>
      </w:r>
      <w:r w:rsidR="00505A6B" w:rsidRPr="0096196B">
        <w:rPr>
          <w:rFonts w:ascii="Arial" w:hAnsi="Arial" w:cs="Arial"/>
          <w:sz w:val="20"/>
          <w:szCs w:val="20"/>
        </w:rPr>
        <w:t xml:space="preserve">The </w:t>
      </w:r>
      <w:r w:rsidR="00505A6B">
        <w:rPr>
          <w:rFonts w:ascii="Arial" w:hAnsi="Arial" w:cs="Arial"/>
          <w:sz w:val="20"/>
          <w:szCs w:val="20"/>
        </w:rPr>
        <w:t xml:space="preserve">sourced CDD values used for estimating actual </w:t>
      </w:r>
      <w:r w:rsidR="007E24C8">
        <w:rPr>
          <w:rFonts w:ascii="Arial" w:hAnsi="Arial" w:cs="Arial"/>
          <w:sz w:val="20"/>
          <w:szCs w:val="20"/>
        </w:rPr>
        <w:t>city-wide</w:t>
      </w:r>
      <w:r w:rsidR="00505A6B" w:rsidRPr="0096196B">
        <w:rPr>
          <w:rFonts w:ascii="Arial" w:hAnsi="Arial" w:cs="Arial"/>
          <w:sz w:val="20"/>
          <w:szCs w:val="20"/>
        </w:rPr>
        <w:t xml:space="preserve"> energy demand over period of 2020-2023 in monthly resolution is plotted against the estimated CDD-hum (using equation vi), which are used in this study as the proxy for urban energy demand. Here is the example of – </w:t>
      </w:r>
      <w:r w:rsidR="00505A6B">
        <w:rPr>
          <w:rFonts w:ascii="Arial" w:hAnsi="Arial" w:cs="Arial"/>
          <w:b/>
          <w:bCs/>
          <w:sz w:val="20"/>
          <w:szCs w:val="20"/>
        </w:rPr>
        <w:t>Los Angels.</w:t>
      </w:r>
    </w:p>
    <w:p w14:paraId="1826E534" w14:textId="6BF9E661" w:rsidR="00505A6B" w:rsidRDefault="00505A6B" w:rsidP="00505A6B">
      <w:pPr>
        <w:spacing w:after="0" w:line="240" w:lineRule="auto"/>
        <w:jc w:val="both"/>
        <w:rPr>
          <w:rFonts w:ascii="Arial" w:hAnsi="Arial" w:cs="Arial"/>
          <w:b/>
          <w:bCs/>
          <w:color w:val="000000" w:themeColor="text1"/>
        </w:rPr>
      </w:pPr>
      <w:r>
        <w:rPr>
          <w:rFonts w:ascii="Arial" w:hAnsi="Arial" w:cs="Arial"/>
          <w:b/>
          <w:bCs/>
          <w:noProof/>
          <w:color w:val="000000" w:themeColor="text1"/>
          <w14:ligatures w14:val="standardContextual"/>
        </w:rPr>
        <w:drawing>
          <wp:inline distT="0" distB="0" distL="0" distR="0" wp14:anchorId="6D081B42" wp14:editId="1E62E928">
            <wp:extent cx="5562600" cy="2290736"/>
            <wp:effectExtent l="0" t="0" r="0" b="0"/>
            <wp:docPr id="1949588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88112" name="Picture 19495881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66585" cy="2292377"/>
                    </a:xfrm>
                    <a:prstGeom prst="rect">
                      <a:avLst/>
                    </a:prstGeom>
                  </pic:spPr>
                </pic:pic>
              </a:graphicData>
            </a:graphic>
          </wp:inline>
        </w:drawing>
      </w:r>
    </w:p>
    <w:p w14:paraId="280247BC" w14:textId="1699A439" w:rsidR="00505A6B" w:rsidRDefault="00900136" w:rsidP="00505A6B">
      <w:pPr>
        <w:spacing w:after="0" w:line="240" w:lineRule="auto"/>
        <w:jc w:val="both"/>
        <w:rPr>
          <w:rFonts w:ascii="Arial" w:hAnsi="Arial" w:cs="Arial"/>
          <w:sz w:val="20"/>
          <w:szCs w:val="20"/>
        </w:rPr>
      </w:pPr>
      <w:r>
        <w:rPr>
          <w:rFonts w:ascii="Arial" w:hAnsi="Arial" w:cs="Arial"/>
          <w:b/>
          <w:bCs/>
          <w:sz w:val="20"/>
          <w:szCs w:val="20"/>
        </w:rPr>
        <w:t>Supplementary Figure 5i</w:t>
      </w:r>
      <w:r w:rsidRPr="00DF014C">
        <w:rPr>
          <w:rFonts w:ascii="Arial" w:hAnsi="Arial" w:cs="Arial"/>
          <w:b/>
          <w:bCs/>
          <w:sz w:val="20"/>
          <w:szCs w:val="20"/>
        </w:rPr>
        <w:t>.</w:t>
      </w:r>
      <w:r w:rsidR="00505A6B" w:rsidRPr="0096196B">
        <w:rPr>
          <w:rFonts w:ascii="Arial" w:hAnsi="Arial" w:cs="Arial"/>
          <w:b/>
          <w:bCs/>
          <w:sz w:val="20"/>
          <w:szCs w:val="20"/>
        </w:rPr>
        <w:t xml:space="preserve"> </w:t>
      </w:r>
      <w:r w:rsidR="00505A6B" w:rsidRPr="0096196B">
        <w:rPr>
          <w:rFonts w:ascii="Arial" w:hAnsi="Arial" w:cs="Arial"/>
          <w:sz w:val="20"/>
          <w:szCs w:val="20"/>
        </w:rPr>
        <w:t xml:space="preserve">The </w:t>
      </w:r>
      <w:r w:rsidR="00505A6B">
        <w:rPr>
          <w:rFonts w:ascii="Arial" w:hAnsi="Arial" w:cs="Arial"/>
          <w:sz w:val="20"/>
          <w:szCs w:val="20"/>
        </w:rPr>
        <w:t xml:space="preserve">sourced CDD values used for estimating actual </w:t>
      </w:r>
      <w:r w:rsidR="00577168">
        <w:rPr>
          <w:rFonts w:ascii="Arial" w:hAnsi="Arial" w:cs="Arial"/>
          <w:sz w:val="20"/>
          <w:szCs w:val="20"/>
        </w:rPr>
        <w:t>city-wide</w:t>
      </w:r>
      <w:r w:rsidR="00505A6B" w:rsidRPr="0096196B">
        <w:rPr>
          <w:rFonts w:ascii="Arial" w:hAnsi="Arial" w:cs="Arial"/>
          <w:sz w:val="20"/>
          <w:szCs w:val="20"/>
        </w:rPr>
        <w:t xml:space="preserve"> energy demand over period of 2020-2023 in monthly resolution is plotted against the estimated CDD-hum (using equation vi), which are used in this study as the proxy for urban energy demand. Here is the example of – </w:t>
      </w:r>
      <w:r w:rsidR="00505A6B">
        <w:rPr>
          <w:rFonts w:ascii="Arial" w:hAnsi="Arial" w:cs="Arial"/>
          <w:b/>
          <w:bCs/>
          <w:sz w:val="20"/>
          <w:szCs w:val="20"/>
        </w:rPr>
        <w:t>Miami.</w:t>
      </w:r>
    </w:p>
    <w:p w14:paraId="2E4203EF" w14:textId="085B2B2B" w:rsidR="00505A6B" w:rsidRDefault="00505A6B" w:rsidP="00505A6B">
      <w:pPr>
        <w:spacing w:after="0" w:line="240" w:lineRule="auto"/>
        <w:jc w:val="both"/>
        <w:rPr>
          <w:rFonts w:ascii="Arial" w:hAnsi="Arial" w:cs="Arial"/>
          <w:b/>
          <w:bCs/>
          <w:color w:val="000000" w:themeColor="text1"/>
        </w:rPr>
      </w:pPr>
      <w:r>
        <w:rPr>
          <w:rFonts w:ascii="Arial" w:hAnsi="Arial" w:cs="Arial"/>
          <w:b/>
          <w:bCs/>
          <w:noProof/>
          <w:color w:val="000000" w:themeColor="text1"/>
          <w14:ligatures w14:val="standardContextual"/>
        </w:rPr>
        <w:drawing>
          <wp:inline distT="0" distB="0" distL="0" distR="0" wp14:anchorId="2C93D2B6" wp14:editId="4C601DC5">
            <wp:extent cx="5657850" cy="2329961"/>
            <wp:effectExtent l="0" t="0" r="0" b="0"/>
            <wp:docPr id="16792392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39205" name="Picture 167923920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1340" cy="2331398"/>
                    </a:xfrm>
                    <a:prstGeom prst="rect">
                      <a:avLst/>
                    </a:prstGeom>
                  </pic:spPr>
                </pic:pic>
              </a:graphicData>
            </a:graphic>
          </wp:inline>
        </w:drawing>
      </w:r>
    </w:p>
    <w:p w14:paraId="17CA570D" w14:textId="2ACF9ECC" w:rsidR="00505A6B" w:rsidRPr="00D679EB" w:rsidRDefault="00900136" w:rsidP="00524F1F">
      <w:pPr>
        <w:spacing w:after="0" w:line="240" w:lineRule="auto"/>
        <w:jc w:val="both"/>
        <w:rPr>
          <w:rFonts w:ascii="Arial" w:hAnsi="Arial" w:cs="Arial"/>
          <w:sz w:val="20"/>
          <w:szCs w:val="20"/>
        </w:rPr>
      </w:pPr>
      <w:r>
        <w:rPr>
          <w:rFonts w:ascii="Arial" w:hAnsi="Arial" w:cs="Arial"/>
          <w:b/>
          <w:bCs/>
          <w:sz w:val="20"/>
          <w:szCs w:val="20"/>
        </w:rPr>
        <w:t>Supplementary Figure 5j</w:t>
      </w:r>
      <w:r w:rsidRPr="00DF014C">
        <w:rPr>
          <w:rFonts w:ascii="Arial" w:hAnsi="Arial" w:cs="Arial"/>
          <w:b/>
          <w:bCs/>
          <w:sz w:val="20"/>
          <w:szCs w:val="20"/>
        </w:rPr>
        <w:t>.</w:t>
      </w:r>
      <w:r>
        <w:rPr>
          <w:rFonts w:ascii="Arial" w:hAnsi="Arial" w:cs="Arial"/>
          <w:b/>
          <w:bCs/>
          <w:sz w:val="20"/>
          <w:szCs w:val="20"/>
        </w:rPr>
        <w:t xml:space="preserve"> </w:t>
      </w:r>
      <w:r w:rsidR="00505A6B" w:rsidRPr="0096196B">
        <w:rPr>
          <w:rFonts w:ascii="Arial" w:hAnsi="Arial" w:cs="Arial"/>
          <w:sz w:val="20"/>
          <w:szCs w:val="20"/>
        </w:rPr>
        <w:t xml:space="preserve">The </w:t>
      </w:r>
      <w:r w:rsidR="00505A6B">
        <w:rPr>
          <w:rFonts w:ascii="Arial" w:hAnsi="Arial" w:cs="Arial"/>
          <w:sz w:val="20"/>
          <w:szCs w:val="20"/>
        </w:rPr>
        <w:t xml:space="preserve">sourced CDD values used for estimating actual </w:t>
      </w:r>
      <w:r w:rsidR="00577168">
        <w:rPr>
          <w:rFonts w:ascii="Arial" w:hAnsi="Arial" w:cs="Arial"/>
          <w:sz w:val="20"/>
          <w:szCs w:val="20"/>
        </w:rPr>
        <w:t>city-wide</w:t>
      </w:r>
      <w:r w:rsidR="00505A6B" w:rsidRPr="0096196B">
        <w:rPr>
          <w:rFonts w:ascii="Arial" w:hAnsi="Arial" w:cs="Arial"/>
          <w:sz w:val="20"/>
          <w:szCs w:val="20"/>
        </w:rPr>
        <w:t xml:space="preserve"> energy demand over period of 2020-2023 in monthly resolution is plotted against the estimated CDD-hum (using equation vi), which are used in this study as the proxy for urban energy demand. Here is the example of – </w:t>
      </w:r>
      <w:r w:rsidR="00505A6B">
        <w:rPr>
          <w:rFonts w:ascii="Arial" w:hAnsi="Arial" w:cs="Arial"/>
          <w:b/>
          <w:bCs/>
          <w:sz w:val="20"/>
          <w:szCs w:val="20"/>
        </w:rPr>
        <w:t>Minneapolis.</w:t>
      </w:r>
    </w:p>
    <w:p w14:paraId="793305E8" w14:textId="530F468D" w:rsidR="00055458" w:rsidRDefault="00055458" w:rsidP="00524F1F">
      <w:pPr>
        <w:spacing w:after="0" w:line="240" w:lineRule="auto"/>
        <w:jc w:val="both"/>
        <w:rPr>
          <w:rFonts w:ascii="Arial" w:hAnsi="Arial" w:cs="Arial"/>
          <w:b/>
          <w:bCs/>
          <w:color w:val="000000" w:themeColor="text1"/>
        </w:rPr>
      </w:pPr>
      <w:r>
        <w:rPr>
          <w:rFonts w:ascii="Arial" w:hAnsi="Arial" w:cs="Arial"/>
          <w:b/>
          <w:bCs/>
          <w:noProof/>
          <w:color w:val="000000" w:themeColor="text1"/>
          <w14:ligatures w14:val="standardContextual"/>
        </w:rPr>
        <w:lastRenderedPageBreak/>
        <w:drawing>
          <wp:inline distT="0" distB="0" distL="0" distR="0" wp14:anchorId="259B18BE" wp14:editId="0A24BEF4">
            <wp:extent cx="5731510" cy="2360295"/>
            <wp:effectExtent l="0" t="0" r="2540" b="1905"/>
            <wp:docPr id="1076403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03330" name="Picture 10764033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360295"/>
                    </a:xfrm>
                    <a:prstGeom prst="rect">
                      <a:avLst/>
                    </a:prstGeom>
                  </pic:spPr>
                </pic:pic>
              </a:graphicData>
            </a:graphic>
          </wp:inline>
        </w:drawing>
      </w:r>
    </w:p>
    <w:p w14:paraId="2C81DC99" w14:textId="0A4BD02B" w:rsidR="00055458" w:rsidRDefault="00900136" w:rsidP="00055458">
      <w:pPr>
        <w:spacing w:after="0" w:line="240" w:lineRule="auto"/>
        <w:jc w:val="both"/>
        <w:rPr>
          <w:rFonts w:ascii="Arial" w:hAnsi="Arial" w:cs="Arial"/>
          <w:b/>
          <w:bCs/>
          <w:sz w:val="20"/>
          <w:szCs w:val="20"/>
        </w:rPr>
      </w:pPr>
      <w:r>
        <w:rPr>
          <w:rFonts w:ascii="Arial" w:hAnsi="Arial" w:cs="Arial"/>
          <w:b/>
          <w:bCs/>
          <w:sz w:val="20"/>
          <w:szCs w:val="20"/>
        </w:rPr>
        <w:t>Supplementary Figure 5k</w:t>
      </w:r>
      <w:r w:rsidRPr="00DF014C">
        <w:rPr>
          <w:rFonts w:ascii="Arial" w:hAnsi="Arial" w:cs="Arial"/>
          <w:b/>
          <w:bCs/>
          <w:sz w:val="20"/>
          <w:szCs w:val="20"/>
        </w:rPr>
        <w:t>.</w:t>
      </w:r>
      <w:r w:rsidR="00055458" w:rsidRPr="0096196B">
        <w:rPr>
          <w:rFonts w:ascii="Arial" w:hAnsi="Arial" w:cs="Arial"/>
          <w:b/>
          <w:bCs/>
          <w:sz w:val="20"/>
          <w:szCs w:val="20"/>
        </w:rPr>
        <w:t xml:space="preserve"> </w:t>
      </w:r>
      <w:r w:rsidR="00055458" w:rsidRPr="0096196B">
        <w:rPr>
          <w:rFonts w:ascii="Arial" w:hAnsi="Arial" w:cs="Arial"/>
          <w:sz w:val="20"/>
          <w:szCs w:val="20"/>
        </w:rPr>
        <w:t xml:space="preserve">The </w:t>
      </w:r>
      <w:r w:rsidR="00055458">
        <w:rPr>
          <w:rFonts w:ascii="Arial" w:hAnsi="Arial" w:cs="Arial"/>
          <w:sz w:val="20"/>
          <w:szCs w:val="20"/>
        </w:rPr>
        <w:t xml:space="preserve">sourced CDD values used for estimating actual </w:t>
      </w:r>
      <w:proofErr w:type="gramStart"/>
      <w:r w:rsidR="00055458">
        <w:rPr>
          <w:rFonts w:ascii="Arial" w:hAnsi="Arial" w:cs="Arial"/>
          <w:sz w:val="20"/>
          <w:szCs w:val="20"/>
        </w:rPr>
        <w:t>city wide</w:t>
      </w:r>
      <w:proofErr w:type="gramEnd"/>
      <w:r w:rsidR="00055458" w:rsidRPr="0096196B">
        <w:rPr>
          <w:rFonts w:ascii="Arial" w:hAnsi="Arial" w:cs="Arial"/>
          <w:sz w:val="20"/>
          <w:szCs w:val="20"/>
        </w:rPr>
        <w:t xml:space="preserve"> energy demand over period of 2020-2023 in monthly resolution is plotted against the estimated CDD-hum (using equation vi), which are used in this study as the proxy for urban energy demand. Here is the example of – </w:t>
      </w:r>
      <w:r w:rsidR="00055458">
        <w:rPr>
          <w:rFonts w:ascii="Arial" w:hAnsi="Arial" w:cs="Arial"/>
          <w:b/>
          <w:bCs/>
          <w:sz w:val="20"/>
          <w:szCs w:val="20"/>
        </w:rPr>
        <w:t>New York.</w:t>
      </w:r>
    </w:p>
    <w:p w14:paraId="49E59C6D" w14:textId="131F2524" w:rsidR="00055458" w:rsidRPr="00D679EB" w:rsidRDefault="00055458" w:rsidP="00524F1F">
      <w:pPr>
        <w:spacing w:after="0" w:line="240" w:lineRule="auto"/>
        <w:jc w:val="both"/>
        <w:rPr>
          <w:rFonts w:ascii="Arial" w:hAnsi="Arial" w:cs="Arial"/>
          <w:sz w:val="20"/>
          <w:szCs w:val="20"/>
        </w:rPr>
      </w:pPr>
      <w:r>
        <w:rPr>
          <w:rFonts w:ascii="Arial" w:hAnsi="Arial" w:cs="Arial"/>
          <w:noProof/>
          <w:sz w:val="20"/>
          <w:szCs w:val="20"/>
          <w14:ligatures w14:val="standardContextual"/>
        </w:rPr>
        <w:drawing>
          <wp:inline distT="0" distB="0" distL="0" distR="0" wp14:anchorId="45819B72" wp14:editId="793BE748">
            <wp:extent cx="5731510" cy="2360295"/>
            <wp:effectExtent l="0" t="0" r="2540" b="1905"/>
            <wp:docPr id="1894638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3833" name="Picture 18946383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360295"/>
                    </a:xfrm>
                    <a:prstGeom prst="rect">
                      <a:avLst/>
                    </a:prstGeom>
                  </pic:spPr>
                </pic:pic>
              </a:graphicData>
            </a:graphic>
          </wp:inline>
        </w:drawing>
      </w:r>
    </w:p>
    <w:p w14:paraId="1348F799" w14:textId="197DAF7B" w:rsidR="00055458" w:rsidRDefault="00900136" w:rsidP="00055458">
      <w:pPr>
        <w:spacing w:after="0" w:line="240" w:lineRule="auto"/>
        <w:jc w:val="both"/>
        <w:rPr>
          <w:rFonts w:ascii="Arial" w:hAnsi="Arial" w:cs="Arial"/>
          <w:b/>
          <w:bCs/>
          <w:sz w:val="20"/>
          <w:szCs w:val="20"/>
        </w:rPr>
      </w:pPr>
      <w:r>
        <w:rPr>
          <w:rFonts w:ascii="Arial" w:hAnsi="Arial" w:cs="Arial"/>
          <w:b/>
          <w:bCs/>
          <w:sz w:val="20"/>
          <w:szCs w:val="20"/>
        </w:rPr>
        <w:t>Supplementary Figure 5l</w:t>
      </w:r>
      <w:r w:rsidRPr="00DF014C">
        <w:rPr>
          <w:rFonts w:ascii="Arial" w:hAnsi="Arial" w:cs="Arial"/>
          <w:b/>
          <w:bCs/>
          <w:sz w:val="20"/>
          <w:szCs w:val="20"/>
        </w:rPr>
        <w:t>.</w:t>
      </w:r>
      <w:r w:rsidR="00055458" w:rsidRPr="0096196B">
        <w:rPr>
          <w:rFonts w:ascii="Arial" w:hAnsi="Arial" w:cs="Arial"/>
          <w:b/>
          <w:bCs/>
          <w:sz w:val="20"/>
          <w:szCs w:val="20"/>
        </w:rPr>
        <w:t xml:space="preserve"> </w:t>
      </w:r>
      <w:r w:rsidR="00055458" w:rsidRPr="0096196B">
        <w:rPr>
          <w:rFonts w:ascii="Arial" w:hAnsi="Arial" w:cs="Arial"/>
          <w:sz w:val="20"/>
          <w:szCs w:val="20"/>
        </w:rPr>
        <w:t xml:space="preserve">The </w:t>
      </w:r>
      <w:r w:rsidR="00055458">
        <w:rPr>
          <w:rFonts w:ascii="Arial" w:hAnsi="Arial" w:cs="Arial"/>
          <w:sz w:val="20"/>
          <w:szCs w:val="20"/>
        </w:rPr>
        <w:t xml:space="preserve">sourced CDD values used for estimating actual </w:t>
      </w:r>
      <w:proofErr w:type="gramStart"/>
      <w:r w:rsidR="00055458">
        <w:rPr>
          <w:rFonts w:ascii="Arial" w:hAnsi="Arial" w:cs="Arial"/>
          <w:sz w:val="20"/>
          <w:szCs w:val="20"/>
        </w:rPr>
        <w:t>city wide</w:t>
      </w:r>
      <w:proofErr w:type="gramEnd"/>
      <w:r w:rsidR="00055458" w:rsidRPr="0096196B">
        <w:rPr>
          <w:rFonts w:ascii="Arial" w:hAnsi="Arial" w:cs="Arial"/>
          <w:sz w:val="20"/>
          <w:szCs w:val="20"/>
        </w:rPr>
        <w:t xml:space="preserve"> energy demand over period of 2020-2023 in monthly resolution is plotted against the estimated CDD-hum (using equation vi), which are used in this study as the proxy for urban energy demand. Here is the example of – </w:t>
      </w:r>
      <w:r w:rsidR="00055458">
        <w:rPr>
          <w:rFonts w:ascii="Arial" w:hAnsi="Arial" w:cs="Arial"/>
          <w:b/>
          <w:bCs/>
          <w:sz w:val="20"/>
          <w:szCs w:val="20"/>
        </w:rPr>
        <w:t>Phoenix.</w:t>
      </w:r>
    </w:p>
    <w:p w14:paraId="1CBFD02C" w14:textId="55FE6CD3" w:rsidR="00055458" w:rsidRPr="00D679EB" w:rsidRDefault="00055458" w:rsidP="00524F1F">
      <w:pPr>
        <w:spacing w:after="0" w:line="240" w:lineRule="auto"/>
        <w:jc w:val="both"/>
        <w:rPr>
          <w:rFonts w:ascii="Arial" w:hAnsi="Arial" w:cs="Arial"/>
          <w:b/>
          <w:bCs/>
          <w:sz w:val="20"/>
          <w:szCs w:val="20"/>
        </w:rPr>
      </w:pPr>
      <w:r>
        <w:rPr>
          <w:rFonts w:ascii="Arial" w:hAnsi="Arial" w:cs="Arial"/>
          <w:b/>
          <w:bCs/>
          <w:noProof/>
          <w:sz w:val="20"/>
          <w:szCs w:val="20"/>
          <w14:ligatures w14:val="standardContextual"/>
        </w:rPr>
        <w:drawing>
          <wp:inline distT="0" distB="0" distL="0" distR="0" wp14:anchorId="493D7C2C" wp14:editId="16A95559">
            <wp:extent cx="5731510" cy="2360295"/>
            <wp:effectExtent l="0" t="0" r="2540" b="1905"/>
            <wp:docPr id="20637888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88875" name="Picture 206378887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360295"/>
                    </a:xfrm>
                    <a:prstGeom prst="rect">
                      <a:avLst/>
                    </a:prstGeom>
                  </pic:spPr>
                </pic:pic>
              </a:graphicData>
            </a:graphic>
          </wp:inline>
        </w:drawing>
      </w:r>
    </w:p>
    <w:p w14:paraId="372F13DF" w14:textId="0626ECFB" w:rsidR="00DF014C" w:rsidRPr="00557EAD" w:rsidRDefault="00900136" w:rsidP="00524F1F">
      <w:pPr>
        <w:spacing w:after="0" w:line="240" w:lineRule="auto"/>
        <w:jc w:val="both"/>
        <w:rPr>
          <w:rFonts w:ascii="Arial" w:hAnsi="Arial" w:cs="Arial"/>
          <w:b/>
          <w:bCs/>
          <w:sz w:val="20"/>
          <w:szCs w:val="20"/>
        </w:rPr>
      </w:pPr>
      <w:r>
        <w:rPr>
          <w:rFonts w:ascii="Arial" w:hAnsi="Arial" w:cs="Arial"/>
          <w:b/>
          <w:bCs/>
          <w:sz w:val="20"/>
          <w:szCs w:val="20"/>
        </w:rPr>
        <w:t>Supplementary Figure 5m</w:t>
      </w:r>
      <w:r w:rsidRPr="00DF014C">
        <w:rPr>
          <w:rFonts w:ascii="Arial" w:hAnsi="Arial" w:cs="Arial"/>
          <w:b/>
          <w:bCs/>
          <w:sz w:val="20"/>
          <w:szCs w:val="20"/>
        </w:rPr>
        <w:t>.</w:t>
      </w:r>
      <w:r w:rsidR="00055458" w:rsidRPr="0096196B">
        <w:rPr>
          <w:rFonts w:ascii="Arial" w:hAnsi="Arial" w:cs="Arial"/>
          <w:b/>
          <w:bCs/>
          <w:sz w:val="20"/>
          <w:szCs w:val="20"/>
        </w:rPr>
        <w:t xml:space="preserve"> </w:t>
      </w:r>
      <w:r w:rsidR="00055458" w:rsidRPr="0096196B">
        <w:rPr>
          <w:rFonts w:ascii="Arial" w:hAnsi="Arial" w:cs="Arial"/>
          <w:sz w:val="20"/>
          <w:szCs w:val="20"/>
        </w:rPr>
        <w:t xml:space="preserve">The </w:t>
      </w:r>
      <w:r w:rsidR="00055458">
        <w:rPr>
          <w:rFonts w:ascii="Arial" w:hAnsi="Arial" w:cs="Arial"/>
          <w:sz w:val="20"/>
          <w:szCs w:val="20"/>
        </w:rPr>
        <w:t xml:space="preserve">sourced CDD values used for estimating actual </w:t>
      </w:r>
      <w:r w:rsidR="00563EB2">
        <w:rPr>
          <w:rFonts w:ascii="Arial" w:hAnsi="Arial" w:cs="Arial"/>
          <w:sz w:val="20"/>
          <w:szCs w:val="20"/>
        </w:rPr>
        <w:t>city-wide</w:t>
      </w:r>
      <w:r w:rsidR="00055458" w:rsidRPr="0096196B">
        <w:rPr>
          <w:rFonts w:ascii="Arial" w:hAnsi="Arial" w:cs="Arial"/>
          <w:sz w:val="20"/>
          <w:szCs w:val="20"/>
        </w:rPr>
        <w:t xml:space="preserve"> energy demand over period of 2020-2023 in monthly resolution is plotted against the estimated CDD-hum (using equation vi), which are used in this study as the proxy for urban energy demand. Here is the example of – </w:t>
      </w:r>
      <w:r w:rsidR="00055458">
        <w:rPr>
          <w:rFonts w:ascii="Arial" w:hAnsi="Arial" w:cs="Arial"/>
          <w:b/>
          <w:bCs/>
          <w:sz w:val="20"/>
          <w:szCs w:val="20"/>
        </w:rPr>
        <w:t>Singapore.</w:t>
      </w:r>
      <w:bookmarkEnd w:id="3"/>
    </w:p>
    <w:p w14:paraId="0E21B943" w14:textId="1B12703A" w:rsidR="006F466E" w:rsidRPr="00DF014C" w:rsidRDefault="00165D66" w:rsidP="00524F1F">
      <w:pPr>
        <w:spacing w:after="0" w:line="240" w:lineRule="auto"/>
        <w:jc w:val="both"/>
        <w:rPr>
          <w:rFonts w:ascii="Arial" w:hAnsi="Arial" w:cs="Arial"/>
          <w:sz w:val="20"/>
          <w:szCs w:val="20"/>
        </w:rPr>
      </w:pPr>
      <w:r>
        <w:rPr>
          <w:rFonts w:ascii="Arial" w:hAnsi="Arial" w:cs="Arial"/>
          <w:noProof/>
          <w:sz w:val="20"/>
          <w:szCs w:val="20"/>
          <w14:ligatures w14:val="standardContextual"/>
        </w:rPr>
        <w:lastRenderedPageBreak/>
        <w:drawing>
          <wp:inline distT="0" distB="0" distL="0" distR="0" wp14:anchorId="3E26B523" wp14:editId="16CEB181">
            <wp:extent cx="5731510" cy="6769100"/>
            <wp:effectExtent l="0" t="0" r="2540" b="0"/>
            <wp:docPr id="973130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30959" name="Picture 9731309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6769100"/>
                    </a:xfrm>
                    <a:prstGeom prst="rect">
                      <a:avLst/>
                    </a:prstGeom>
                  </pic:spPr>
                </pic:pic>
              </a:graphicData>
            </a:graphic>
          </wp:inline>
        </w:drawing>
      </w:r>
    </w:p>
    <w:p w14:paraId="20D0D781" w14:textId="77777777" w:rsidR="00E17ABB" w:rsidRPr="00DF014C" w:rsidRDefault="00E17ABB" w:rsidP="00524F1F">
      <w:pPr>
        <w:spacing w:after="0" w:line="240" w:lineRule="auto"/>
        <w:jc w:val="both"/>
        <w:rPr>
          <w:rFonts w:ascii="Arial" w:hAnsi="Arial" w:cs="Arial"/>
          <w:b/>
          <w:bCs/>
          <w:sz w:val="20"/>
          <w:szCs w:val="20"/>
        </w:rPr>
      </w:pPr>
    </w:p>
    <w:p w14:paraId="24E5F1EC" w14:textId="5D43780E" w:rsidR="006F466E" w:rsidRPr="00DF014C" w:rsidRDefault="003950CA" w:rsidP="003561D4">
      <w:pPr>
        <w:spacing w:after="0" w:line="240" w:lineRule="auto"/>
        <w:jc w:val="both"/>
        <w:rPr>
          <w:rFonts w:ascii="Arial" w:hAnsi="Arial" w:cs="Arial"/>
          <w:sz w:val="20"/>
          <w:szCs w:val="20"/>
        </w:rPr>
      </w:pPr>
      <w:r>
        <w:rPr>
          <w:rFonts w:ascii="Arial" w:hAnsi="Arial" w:cs="Arial"/>
          <w:b/>
          <w:bCs/>
          <w:sz w:val="20"/>
          <w:szCs w:val="20"/>
        </w:rPr>
        <w:t>Supplementary Figure 6</w:t>
      </w:r>
      <w:r w:rsidRPr="00DF014C">
        <w:rPr>
          <w:rFonts w:ascii="Arial" w:hAnsi="Arial" w:cs="Arial"/>
          <w:b/>
          <w:bCs/>
          <w:sz w:val="20"/>
          <w:szCs w:val="20"/>
        </w:rPr>
        <w:t>.</w:t>
      </w:r>
      <w:r w:rsidR="006F466E" w:rsidRPr="00DF014C">
        <w:rPr>
          <w:rFonts w:ascii="Arial" w:hAnsi="Arial" w:cs="Arial"/>
          <w:b/>
          <w:bCs/>
          <w:sz w:val="20"/>
          <w:szCs w:val="20"/>
        </w:rPr>
        <w:t xml:space="preserve"> </w:t>
      </w:r>
      <w:r w:rsidR="006F466E" w:rsidRPr="00DF014C">
        <w:rPr>
          <w:rFonts w:ascii="Arial" w:hAnsi="Arial" w:cs="Arial"/>
          <w:sz w:val="20"/>
          <w:szCs w:val="20"/>
        </w:rPr>
        <w:t>Average annual cooling degree days for Indian cities over the past two decades, modelled with a cooling base temperature 22°C. The plots show daily average CDDs exceeding this threshold, indicating city-wide cooling demand across different city typologies: (a) Type-I cities_base 22°C, (b) Type-II cities_base 22°C, (c) Type-III cities_base 22°C, and (d) Type-IV cities_base 22°C. The color of bubble indicates the intensity of average CDD values and the bubble size varies in proportionate with the average days exceeding base temperature.</w:t>
      </w:r>
    </w:p>
    <w:p w14:paraId="13716059" w14:textId="6A095EC3" w:rsidR="006F466E" w:rsidRPr="00DF014C" w:rsidRDefault="00165D66" w:rsidP="00524F1F">
      <w:pPr>
        <w:spacing w:after="0" w:line="240" w:lineRule="auto"/>
        <w:jc w:val="both"/>
        <w:rPr>
          <w:rFonts w:ascii="Arial" w:hAnsi="Arial" w:cs="Arial"/>
          <w:sz w:val="20"/>
          <w:szCs w:val="20"/>
        </w:rPr>
      </w:pPr>
      <w:r>
        <w:rPr>
          <w:rFonts w:ascii="Arial" w:hAnsi="Arial" w:cs="Arial"/>
          <w:noProof/>
          <w:sz w:val="20"/>
          <w:szCs w:val="20"/>
          <w14:ligatures w14:val="standardContextual"/>
        </w:rPr>
        <w:lastRenderedPageBreak/>
        <w:drawing>
          <wp:inline distT="0" distB="0" distL="0" distR="0" wp14:anchorId="01A22D93" wp14:editId="51D5EC15">
            <wp:extent cx="5731510" cy="6769100"/>
            <wp:effectExtent l="0" t="0" r="2540" b="0"/>
            <wp:docPr id="1437257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57622" name="Picture 14372576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6769100"/>
                    </a:xfrm>
                    <a:prstGeom prst="rect">
                      <a:avLst/>
                    </a:prstGeom>
                  </pic:spPr>
                </pic:pic>
              </a:graphicData>
            </a:graphic>
          </wp:inline>
        </w:drawing>
      </w:r>
    </w:p>
    <w:p w14:paraId="4FC93528" w14:textId="77777777" w:rsidR="002275C6" w:rsidRPr="00DF014C" w:rsidRDefault="002275C6" w:rsidP="00524F1F">
      <w:pPr>
        <w:spacing w:after="0" w:line="240" w:lineRule="auto"/>
        <w:jc w:val="both"/>
        <w:rPr>
          <w:rFonts w:ascii="Arial" w:hAnsi="Arial" w:cs="Arial"/>
          <w:sz w:val="20"/>
          <w:szCs w:val="20"/>
        </w:rPr>
      </w:pPr>
    </w:p>
    <w:p w14:paraId="3F3A5266" w14:textId="1C193767" w:rsidR="00403A52" w:rsidRDefault="003950CA" w:rsidP="00524F1F">
      <w:pPr>
        <w:spacing w:after="0" w:line="240" w:lineRule="auto"/>
        <w:jc w:val="both"/>
        <w:rPr>
          <w:rFonts w:ascii="Arial" w:hAnsi="Arial" w:cs="Arial"/>
          <w:b/>
          <w:bCs/>
          <w:noProof/>
          <w:sz w:val="20"/>
          <w:szCs w:val="20"/>
          <w:lang w:eastAsia="en-IN"/>
        </w:rPr>
      </w:pPr>
      <w:r>
        <w:rPr>
          <w:rFonts w:ascii="Arial" w:hAnsi="Arial" w:cs="Arial"/>
          <w:b/>
          <w:bCs/>
          <w:sz w:val="20"/>
          <w:szCs w:val="20"/>
        </w:rPr>
        <w:t>Supplementary Figure 7</w:t>
      </w:r>
      <w:r w:rsidRPr="00DF014C">
        <w:rPr>
          <w:rFonts w:ascii="Arial" w:hAnsi="Arial" w:cs="Arial"/>
          <w:b/>
          <w:bCs/>
          <w:sz w:val="20"/>
          <w:szCs w:val="20"/>
        </w:rPr>
        <w:t>.</w:t>
      </w:r>
      <w:r w:rsidR="00F11534" w:rsidRPr="00DF014C">
        <w:rPr>
          <w:rFonts w:ascii="Arial" w:hAnsi="Arial" w:cs="Arial"/>
          <w:b/>
          <w:bCs/>
          <w:sz w:val="20"/>
          <w:szCs w:val="20"/>
        </w:rPr>
        <w:t xml:space="preserve"> </w:t>
      </w:r>
      <w:r w:rsidR="006F466E" w:rsidRPr="00DF014C">
        <w:rPr>
          <w:rFonts w:ascii="Arial" w:hAnsi="Arial" w:cs="Arial"/>
          <w:sz w:val="20"/>
          <w:szCs w:val="20"/>
        </w:rPr>
        <w:t>Average annual cooling degree days for Indian cities over the past two decades, modelled with a cooling base temperature 2</w:t>
      </w:r>
      <w:r w:rsidR="00E17ABB" w:rsidRPr="00DF014C">
        <w:rPr>
          <w:rFonts w:ascii="Arial" w:hAnsi="Arial" w:cs="Arial"/>
          <w:sz w:val="20"/>
          <w:szCs w:val="20"/>
        </w:rPr>
        <w:t>8</w:t>
      </w:r>
      <w:r w:rsidR="006F466E" w:rsidRPr="00DF014C">
        <w:rPr>
          <w:rFonts w:ascii="Arial" w:hAnsi="Arial" w:cs="Arial"/>
          <w:sz w:val="20"/>
          <w:szCs w:val="20"/>
        </w:rPr>
        <w:t>°C. The plots show daily average CDDs exceeding this threshold, indicating city-wide cooling demand across different city typologies: (a) Type-I cities_base 2</w:t>
      </w:r>
      <w:r w:rsidR="00E17ABB" w:rsidRPr="00DF014C">
        <w:rPr>
          <w:rFonts w:ascii="Arial" w:hAnsi="Arial" w:cs="Arial"/>
          <w:sz w:val="20"/>
          <w:szCs w:val="20"/>
        </w:rPr>
        <w:t>8</w:t>
      </w:r>
      <w:r w:rsidR="006F466E" w:rsidRPr="00DF014C">
        <w:rPr>
          <w:rFonts w:ascii="Arial" w:hAnsi="Arial" w:cs="Arial"/>
          <w:sz w:val="20"/>
          <w:szCs w:val="20"/>
        </w:rPr>
        <w:t>°C, (b) Type-II cities_base 2</w:t>
      </w:r>
      <w:r w:rsidR="00E17ABB" w:rsidRPr="00DF014C">
        <w:rPr>
          <w:rFonts w:ascii="Arial" w:hAnsi="Arial" w:cs="Arial"/>
          <w:sz w:val="20"/>
          <w:szCs w:val="20"/>
        </w:rPr>
        <w:t>8</w:t>
      </w:r>
      <w:r w:rsidR="006F466E" w:rsidRPr="00DF014C">
        <w:rPr>
          <w:rFonts w:ascii="Arial" w:hAnsi="Arial" w:cs="Arial"/>
          <w:sz w:val="20"/>
          <w:szCs w:val="20"/>
        </w:rPr>
        <w:t>°C, (c) Type-III cities_base 2</w:t>
      </w:r>
      <w:r w:rsidR="00E17ABB" w:rsidRPr="00DF014C">
        <w:rPr>
          <w:rFonts w:ascii="Arial" w:hAnsi="Arial" w:cs="Arial"/>
          <w:sz w:val="20"/>
          <w:szCs w:val="20"/>
        </w:rPr>
        <w:t>8</w:t>
      </w:r>
      <w:r w:rsidR="006F466E" w:rsidRPr="00DF014C">
        <w:rPr>
          <w:rFonts w:ascii="Arial" w:hAnsi="Arial" w:cs="Arial"/>
          <w:sz w:val="20"/>
          <w:szCs w:val="20"/>
        </w:rPr>
        <w:t>°C, and (d) Type-IV cities_base 2</w:t>
      </w:r>
      <w:r w:rsidR="00E17ABB" w:rsidRPr="00DF014C">
        <w:rPr>
          <w:rFonts w:ascii="Arial" w:hAnsi="Arial" w:cs="Arial"/>
          <w:sz w:val="20"/>
          <w:szCs w:val="20"/>
        </w:rPr>
        <w:t>8</w:t>
      </w:r>
      <w:r w:rsidR="006F466E" w:rsidRPr="00DF014C">
        <w:rPr>
          <w:rFonts w:ascii="Arial" w:hAnsi="Arial" w:cs="Arial"/>
          <w:sz w:val="20"/>
          <w:szCs w:val="20"/>
        </w:rPr>
        <w:t>°C</w:t>
      </w:r>
      <w:r w:rsidR="00E17ABB" w:rsidRPr="00DF014C">
        <w:rPr>
          <w:rFonts w:ascii="Arial" w:hAnsi="Arial" w:cs="Arial"/>
          <w:sz w:val="20"/>
          <w:szCs w:val="20"/>
        </w:rPr>
        <w:t>. The color of bubble indicates the intensity of average CDD values and the bubble size varies in proportionate with the average days exceeding base temperature.</w:t>
      </w:r>
      <w:r w:rsidR="00E3199C" w:rsidRPr="00DF014C">
        <w:rPr>
          <w:rFonts w:ascii="Arial" w:hAnsi="Arial" w:cs="Arial"/>
          <w:b/>
          <w:bCs/>
          <w:noProof/>
          <w:sz w:val="20"/>
          <w:szCs w:val="20"/>
          <w:lang w:eastAsia="en-IN"/>
        </w:rPr>
        <w:t xml:space="preserve"> </w:t>
      </w:r>
    </w:p>
    <w:p w14:paraId="6CDB8832" w14:textId="77777777" w:rsidR="007827A2" w:rsidRDefault="007827A2" w:rsidP="00524F1F">
      <w:pPr>
        <w:spacing w:after="0" w:line="240" w:lineRule="auto"/>
        <w:jc w:val="both"/>
        <w:rPr>
          <w:rFonts w:ascii="Arial" w:hAnsi="Arial" w:cs="Arial"/>
          <w:b/>
          <w:bCs/>
          <w:noProof/>
          <w:sz w:val="20"/>
          <w:szCs w:val="20"/>
          <w:lang w:eastAsia="en-IN"/>
        </w:rPr>
      </w:pPr>
    </w:p>
    <w:p w14:paraId="7C0CE3AC" w14:textId="77777777" w:rsidR="007827A2" w:rsidRDefault="007827A2" w:rsidP="00524F1F">
      <w:pPr>
        <w:spacing w:after="0" w:line="240" w:lineRule="auto"/>
        <w:jc w:val="both"/>
        <w:rPr>
          <w:rFonts w:ascii="Arial" w:hAnsi="Arial" w:cs="Arial"/>
          <w:b/>
          <w:bCs/>
          <w:noProof/>
          <w:sz w:val="20"/>
          <w:szCs w:val="20"/>
          <w:lang w:eastAsia="en-IN"/>
        </w:rPr>
      </w:pPr>
    </w:p>
    <w:p w14:paraId="0178AD8D" w14:textId="77777777" w:rsidR="007827A2" w:rsidRDefault="007827A2" w:rsidP="00524F1F">
      <w:pPr>
        <w:spacing w:after="0" w:line="240" w:lineRule="auto"/>
        <w:jc w:val="both"/>
        <w:rPr>
          <w:rFonts w:ascii="Arial" w:hAnsi="Arial" w:cs="Arial"/>
          <w:b/>
          <w:bCs/>
          <w:noProof/>
          <w:sz w:val="20"/>
          <w:szCs w:val="20"/>
          <w:lang w:eastAsia="en-IN"/>
        </w:rPr>
      </w:pPr>
    </w:p>
    <w:p w14:paraId="4F2E9485" w14:textId="77777777" w:rsidR="007827A2" w:rsidRDefault="007827A2" w:rsidP="00524F1F">
      <w:pPr>
        <w:spacing w:after="0" w:line="240" w:lineRule="auto"/>
        <w:jc w:val="both"/>
        <w:rPr>
          <w:rFonts w:ascii="Arial" w:hAnsi="Arial" w:cs="Arial"/>
          <w:b/>
          <w:bCs/>
          <w:noProof/>
          <w:sz w:val="20"/>
          <w:szCs w:val="20"/>
          <w:lang w:eastAsia="en-IN"/>
        </w:rPr>
      </w:pPr>
    </w:p>
    <w:p w14:paraId="4C8EF29A" w14:textId="77777777" w:rsidR="007827A2" w:rsidRDefault="007827A2" w:rsidP="00524F1F">
      <w:pPr>
        <w:spacing w:after="0" w:line="240" w:lineRule="auto"/>
        <w:jc w:val="both"/>
        <w:rPr>
          <w:rFonts w:ascii="Arial" w:hAnsi="Arial" w:cs="Arial"/>
          <w:b/>
          <w:bCs/>
          <w:noProof/>
          <w:sz w:val="20"/>
          <w:szCs w:val="20"/>
          <w:lang w:eastAsia="en-IN"/>
        </w:rPr>
      </w:pPr>
    </w:p>
    <w:p w14:paraId="025FA843" w14:textId="77777777" w:rsidR="007827A2" w:rsidRDefault="007827A2" w:rsidP="00524F1F">
      <w:pPr>
        <w:spacing w:after="0" w:line="240" w:lineRule="auto"/>
        <w:jc w:val="both"/>
        <w:rPr>
          <w:rFonts w:ascii="Arial" w:hAnsi="Arial" w:cs="Arial"/>
          <w:b/>
          <w:bCs/>
          <w:noProof/>
          <w:sz w:val="20"/>
          <w:szCs w:val="20"/>
          <w:lang w:eastAsia="en-IN"/>
        </w:rPr>
      </w:pPr>
    </w:p>
    <w:p w14:paraId="24105217" w14:textId="77777777" w:rsidR="007827A2" w:rsidRDefault="007827A2" w:rsidP="00524F1F">
      <w:pPr>
        <w:spacing w:after="0" w:line="240" w:lineRule="auto"/>
        <w:jc w:val="both"/>
        <w:rPr>
          <w:rFonts w:ascii="Arial" w:hAnsi="Arial" w:cs="Arial"/>
          <w:b/>
          <w:bCs/>
          <w:noProof/>
          <w:sz w:val="20"/>
          <w:szCs w:val="20"/>
          <w:lang w:eastAsia="en-IN"/>
        </w:rPr>
      </w:pPr>
    </w:p>
    <w:p w14:paraId="4C988385" w14:textId="77777777" w:rsidR="003B6C8E" w:rsidRDefault="003B6C8E" w:rsidP="003B6C8E">
      <w:pPr>
        <w:spacing w:before="100" w:beforeAutospacing="1" w:after="100" w:afterAutospacing="1" w:line="240" w:lineRule="auto"/>
        <w:ind w:right="-113"/>
        <w:jc w:val="both"/>
        <w:rPr>
          <w:rFonts w:ascii="Arial" w:hAnsi="Arial" w:cs="Arial"/>
          <w:b/>
          <w:bCs/>
        </w:rPr>
        <w:sectPr w:rsidR="003B6C8E" w:rsidSect="003B6C8E">
          <w:footerReference w:type="default" r:id="rId36"/>
          <w:pgSz w:w="11906" w:h="16838"/>
          <w:pgMar w:top="1440" w:right="1440" w:bottom="1440" w:left="1440" w:header="708" w:footer="708" w:gutter="0"/>
          <w:cols w:space="708"/>
          <w:docGrid w:linePitch="360"/>
        </w:sectPr>
      </w:pPr>
    </w:p>
    <w:p w14:paraId="6004DAE8" w14:textId="34F3E5EA" w:rsidR="007827A2" w:rsidRPr="00D679EB" w:rsidRDefault="003D091C" w:rsidP="007827A2">
      <w:pPr>
        <w:spacing w:after="0" w:line="240" w:lineRule="auto"/>
        <w:jc w:val="both"/>
        <w:rPr>
          <w:rFonts w:ascii="Arial" w:hAnsi="Arial" w:cs="Arial"/>
          <w:sz w:val="20"/>
          <w:szCs w:val="20"/>
        </w:rPr>
      </w:pPr>
      <w:bookmarkStart w:id="4" w:name="_Hlk202302408"/>
      <w:r>
        <w:rPr>
          <w:rFonts w:ascii="Arial" w:hAnsi="Arial" w:cs="Arial"/>
          <w:b/>
          <w:bCs/>
          <w:sz w:val="20"/>
          <w:szCs w:val="20"/>
        </w:rPr>
        <w:lastRenderedPageBreak/>
        <w:t>Supplementary Table 3</w:t>
      </w:r>
      <w:r w:rsidRPr="00D679EB">
        <w:rPr>
          <w:rFonts w:ascii="Arial" w:hAnsi="Arial" w:cs="Arial"/>
          <w:b/>
          <w:bCs/>
          <w:sz w:val="20"/>
          <w:szCs w:val="20"/>
        </w:rPr>
        <w:t>.</w:t>
      </w:r>
      <w:bookmarkEnd w:id="4"/>
      <w:r w:rsidR="00F15079">
        <w:rPr>
          <w:rFonts w:ascii="Arial" w:hAnsi="Arial" w:cs="Arial"/>
          <w:b/>
          <w:bCs/>
          <w:sz w:val="20"/>
          <w:szCs w:val="20"/>
        </w:rPr>
        <w:t xml:space="preserve"> </w:t>
      </w:r>
      <w:r w:rsidR="007827A2" w:rsidRPr="00D679EB">
        <w:rPr>
          <w:rFonts w:ascii="Arial" w:hAnsi="Arial" w:cs="Arial"/>
          <w:sz w:val="20"/>
          <w:szCs w:val="20"/>
        </w:rPr>
        <w:t xml:space="preserve">The estimated values of CDD-hum across Indian cities and their annual trends over the period 2002–2023 are presented as mean ± standard </w:t>
      </w:r>
      <w:r w:rsidR="005633DB">
        <w:rPr>
          <w:rFonts w:ascii="Arial" w:hAnsi="Arial" w:cs="Arial"/>
          <w:sz w:val="20"/>
          <w:szCs w:val="20"/>
        </w:rPr>
        <w:t>error</w:t>
      </w:r>
      <w:r w:rsidR="007827A2" w:rsidRPr="00D679EB">
        <w:rPr>
          <w:rFonts w:ascii="Arial" w:hAnsi="Arial" w:cs="Arial"/>
          <w:sz w:val="20"/>
          <w:szCs w:val="20"/>
        </w:rPr>
        <w:t>. The cities are grouped into inland and coastal categories, aligned with specific climatic zone coherence.</w:t>
      </w:r>
    </w:p>
    <w:p w14:paraId="2CEA1416" w14:textId="77777777" w:rsidR="00B063F0" w:rsidRDefault="00B063F0" w:rsidP="00524F1F">
      <w:pPr>
        <w:spacing w:after="0" w:line="240" w:lineRule="auto"/>
        <w:jc w:val="both"/>
        <w:rPr>
          <w:rFonts w:ascii="Arial" w:hAnsi="Arial" w:cs="Arial"/>
          <w:b/>
          <w:bCs/>
          <w:noProof/>
          <w:sz w:val="20"/>
          <w:szCs w:val="20"/>
          <w:lang w:eastAsia="en-IN"/>
        </w:rPr>
      </w:pPr>
    </w:p>
    <w:tbl>
      <w:tblPr>
        <w:tblStyle w:val="PlainTable2"/>
        <w:tblW w:w="5000" w:type="pct"/>
        <w:tblLook w:val="04A0" w:firstRow="1" w:lastRow="0" w:firstColumn="1" w:lastColumn="0" w:noHBand="0" w:noVBand="1"/>
      </w:tblPr>
      <w:tblGrid>
        <w:gridCol w:w="1550"/>
        <w:gridCol w:w="1152"/>
        <w:gridCol w:w="1130"/>
        <w:gridCol w:w="1281"/>
        <w:gridCol w:w="1381"/>
        <w:gridCol w:w="1269"/>
        <w:gridCol w:w="1263"/>
      </w:tblGrid>
      <w:tr w:rsidR="009F61D6" w:rsidRPr="0019253C" w14:paraId="34F2BF72" w14:textId="5EFB7B50" w:rsidTr="0081725D">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52" w:type="pct"/>
            <w:vMerge w:val="restart"/>
            <w:vAlign w:val="center"/>
          </w:tcPr>
          <w:p w14:paraId="1DD5DBD1" w14:textId="77777777" w:rsidR="009F61D6" w:rsidRPr="00D679EB" w:rsidRDefault="009F61D6" w:rsidP="0081725D">
            <w:pPr>
              <w:spacing w:after="0" w:line="240" w:lineRule="auto"/>
              <w:jc w:val="center"/>
              <w:rPr>
                <w:rFonts w:ascii="Arial" w:hAnsi="Arial" w:cs="Arial"/>
              </w:rPr>
            </w:pPr>
          </w:p>
          <w:p w14:paraId="305E947A" w14:textId="77777777" w:rsidR="009F61D6" w:rsidRPr="00D679EB" w:rsidRDefault="009F61D6" w:rsidP="0081725D">
            <w:pPr>
              <w:spacing w:after="0" w:line="240" w:lineRule="auto"/>
              <w:jc w:val="center"/>
              <w:rPr>
                <w:rFonts w:ascii="Arial" w:hAnsi="Arial" w:cs="Arial"/>
                <w:b w:val="0"/>
                <w:bCs w:val="0"/>
              </w:rPr>
            </w:pPr>
            <w:r w:rsidRPr="00D679EB">
              <w:rPr>
                <w:rFonts w:ascii="Arial" w:hAnsi="Arial" w:cs="Arial"/>
              </w:rPr>
              <w:t>Metric</w:t>
            </w:r>
          </w:p>
          <w:p w14:paraId="3772E4F6" w14:textId="77777777" w:rsidR="009F61D6" w:rsidRPr="00D679EB" w:rsidRDefault="009F61D6" w:rsidP="0081725D">
            <w:pPr>
              <w:spacing w:after="0" w:line="240" w:lineRule="auto"/>
              <w:jc w:val="center"/>
              <w:rPr>
                <w:rFonts w:ascii="Arial" w:hAnsi="Arial" w:cs="Arial"/>
                <w:b w:val="0"/>
                <w:bCs w:val="0"/>
              </w:rPr>
            </w:pPr>
            <w:r w:rsidRPr="00D679EB">
              <w:rPr>
                <w:rFonts w:ascii="Arial" w:hAnsi="Arial" w:cs="Arial"/>
              </w:rPr>
              <w:t>-estimated over time period</w:t>
            </w:r>
          </w:p>
          <w:p w14:paraId="5427E9D0" w14:textId="2E9DDAC7" w:rsidR="009F61D6" w:rsidRPr="00D679EB" w:rsidRDefault="009F61D6" w:rsidP="0081725D">
            <w:pPr>
              <w:spacing w:after="0" w:line="240" w:lineRule="auto"/>
              <w:jc w:val="center"/>
              <w:rPr>
                <w:rFonts w:ascii="Arial" w:hAnsi="Arial" w:cs="Arial"/>
                <w:b w:val="0"/>
                <w:bCs w:val="0"/>
              </w:rPr>
            </w:pPr>
            <w:r w:rsidRPr="00D679EB">
              <w:rPr>
                <w:rFonts w:ascii="Arial" w:hAnsi="Arial" w:cs="Arial"/>
              </w:rPr>
              <w:t>2002-2023</w:t>
            </w:r>
          </w:p>
        </w:tc>
        <w:tc>
          <w:tcPr>
            <w:tcW w:w="4148" w:type="pct"/>
            <w:gridSpan w:val="6"/>
            <w:vAlign w:val="center"/>
          </w:tcPr>
          <w:p w14:paraId="2594DC95" w14:textId="48C0637C" w:rsidR="009F61D6" w:rsidRPr="00D679EB" w:rsidRDefault="009F61D6" w:rsidP="008172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D679EB">
              <w:rPr>
                <w:rFonts w:ascii="Arial" w:hAnsi="Arial" w:cs="Arial"/>
              </w:rPr>
              <w:t>Indian Cities</w:t>
            </w:r>
          </w:p>
        </w:tc>
      </w:tr>
      <w:tr w:rsidR="009F61D6" w:rsidRPr="0019253C" w14:paraId="7CE1C3F9" w14:textId="5ADF0CEE" w:rsidTr="00817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2" w:type="pct"/>
            <w:vMerge/>
            <w:vAlign w:val="center"/>
          </w:tcPr>
          <w:p w14:paraId="0BD0C911" w14:textId="77777777" w:rsidR="009F61D6" w:rsidRPr="00D679EB" w:rsidRDefault="009F61D6" w:rsidP="0081725D">
            <w:pPr>
              <w:spacing w:after="0" w:line="240" w:lineRule="auto"/>
              <w:jc w:val="center"/>
              <w:rPr>
                <w:rFonts w:ascii="Arial" w:hAnsi="Arial" w:cs="Arial"/>
              </w:rPr>
            </w:pPr>
          </w:p>
        </w:tc>
        <w:tc>
          <w:tcPr>
            <w:tcW w:w="1266" w:type="pct"/>
            <w:gridSpan w:val="2"/>
            <w:vAlign w:val="center"/>
          </w:tcPr>
          <w:p w14:paraId="187028E8" w14:textId="259A56D2" w:rsidR="009F61D6" w:rsidRPr="00D679EB" w:rsidRDefault="009F61D6"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679EB">
              <w:rPr>
                <w:rFonts w:ascii="Arial" w:hAnsi="Arial" w:cs="Arial"/>
                <w:b/>
                <w:bCs/>
              </w:rPr>
              <w:t>Coastal, near coastal cities</w:t>
            </w:r>
          </w:p>
        </w:tc>
        <w:tc>
          <w:tcPr>
            <w:tcW w:w="2882" w:type="pct"/>
            <w:gridSpan w:val="4"/>
            <w:vAlign w:val="center"/>
          </w:tcPr>
          <w:p w14:paraId="29580F9E" w14:textId="2FA8C7B0" w:rsidR="009F61D6" w:rsidRPr="00D679EB" w:rsidRDefault="009F61D6"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679EB">
              <w:rPr>
                <w:rFonts w:ascii="Arial" w:hAnsi="Arial" w:cs="Arial"/>
                <w:b/>
                <w:bCs/>
              </w:rPr>
              <w:t>In land cities</w:t>
            </w:r>
          </w:p>
        </w:tc>
      </w:tr>
      <w:tr w:rsidR="00FE75EA" w:rsidRPr="0019253C" w14:paraId="13D46ECC" w14:textId="325BFA2A" w:rsidTr="0081725D">
        <w:trPr>
          <w:trHeight w:val="20"/>
        </w:trPr>
        <w:tc>
          <w:tcPr>
            <w:cnfStyle w:val="001000000000" w:firstRow="0" w:lastRow="0" w:firstColumn="1" w:lastColumn="0" w:oddVBand="0" w:evenVBand="0" w:oddHBand="0" w:evenHBand="0" w:firstRowFirstColumn="0" w:firstRowLastColumn="0" w:lastRowFirstColumn="0" w:lastRowLastColumn="0"/>
            <w:tcW w:w="852" w:type="pct"/>
            <w:vMerge/>
            <w:vAlign w:val="center"/>
          </w:tcPr>
          <w:p w14:paraId="5FA74716" w14:textId="77777777" w:rsidR="009F61D6" w:rsidRPr="00D679EB" w:rsidRDefault="009F61D6" w:rsidP="0081725D">
            <w:pPr>
              <w:spacing w:after="0" w:line="240" w:lineRule="auto"/>
              <w:jc w:val="center"/>
              <w:rPr>
                <w:rFonts w:ascii="Arial" w:hAnsi="Arial" w:cs="Arial"/>
              </w:rPr>
            </w:pPr>
          </w:p>
        </w:tc>
        <w:tc>
          <w:tcPr>
            <w:tcW w:w="639" w:type="pct"/>
            <w:vAlign w:val="center"/>
          </w:tcPr>
          <w:p w14:paraId="74D39D8F" w14:textId="3F9FEFA5" w:rsidR="009F61D6" w:rsidRPr="00D679EB" w:rsidRDefault="009F61D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79EB">
              <w:rPr>
                <w:rFonts w:ascii="Arial" w:hAnsi="Arial" w:cs="Arial"/>
                <w:b/>
                <w:bCs/>
              </w:rPr>
              <w:t>East coast</w:t>
            </w:r>
          </w:p>
          <w:p w14:paraId="58DCF0A8" w14:textId="4421A31F" w:rsidR="009F61D6" w:rsidRPr="00D679EB" w:rsidRDefault="009F61D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79EB">
              <w:rPr>
                <w:rFonts w:ascii="Arial" w:hAnsi="Arial" w:cs="Arial"/>
                <w:b/>
                <w:bCs/>
              </w:rPr>
              <w:t>(ec)</w:t>
            </w:r>
          </w:p>
        </w:tc>
        <w:tc>
          <w:tcPr>
            <w:tcW w:w="627" w:type="pct"/>
            <w:vAlign w:val="center"/>
          </w:tcPr>
          <w:p w14:paraId="51D29CA2" w14:textId="1F57DDE5" w:rsidR="009F61D6" w:rsidRPr="00D679EB" w:rsidRDefault="009F61D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79EB">
              <w:rPr>
                <w:rFonts w:ascii="Arial" w:hAnsi="Arial" w:cs="Arial"/>
                <w:b/>
                <w:bCs/>
              </w:rPr>
              <w:t>West coast</w:t>
            </w:r>
          </w:p>
          <w:p w14:paraId="1156C5FF" w14:textId="7AA67360" w:rsidR="009F61D6" w:rsidRPr="00D679EB" w:rsidRDefault="009F61D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79EB">
              <w:rPr>
                <w:rFonts w:ascii="Arial" w:hAnsi="Arial" w:cs="Arial"/>
                <w:b/>
                <w:bCs/>
              </w:rPr>
              <w:t>(wc)</w:t>
            </w:r>
          </w:p>
        </w:tc>
        <w:tc>
          <w:tcPr>
            <w:tcW w:w="711" w:type="pct"/>
            <w:vAlign w:val="center"/>
          </w:tcPr>
          <w:p w14:paraId="448F4F91" w14:textId="18EE41C3" w:rsidR="009F61D6" w:rsidRPr="00D679EB" w:rsidRDefault="00973224"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9253C">
              <w:rPr>
                <w:rFonts w:ascii="Arial" w:hAnsi="Arial" w:cs="Arial"/>
                <w:b/>
                <w:bCs/>
              </w:rPr>
              <w:t>I</w:t>
            </w:r>
            <w:r w:rsidR="009F61D6" w:rsidRPr="00D679EB">
              <w:rPr>
                <w:rFonts w:ascii="Arial" w:hAnsi="Arial" w:cs="Arial"/>
                <w:b/>
                <w:bCs/>
              </w:rPr>
              <w:t xml:space="preserve">ndo </w:t>
            </w:r>
            <w:r w:rsidRPr="0019253C">
              <w:rPr>
                <w:rFonts w:ascii="Arial" w:hAnsi="Arial" w:cs="Arial"/>
                <w:b/>
                <w:bCs/>
              </w:rPr>
              <w:t>Gangetic</w:t>
            </w:r>
            <w:r w:rsidR="009F61D6" w:rsidRPr="00D679EB">
              <w:rPr>
                <w:rFonts w:ascii="Arial" w:hAnsi="Arial" w:cs="Arial"/>
                <w:b/>
                <w:bCs/>
              </w:rPr>
              <w:t xml:space="preserve"> plain</w:t>
            </w:r>
          </w:p>
          <w:p w14:paraId="48F67378" w14:textId="7C7938C1" w:rsidR="009F61D6" w:rsidRPr="00D679EB" w:rsidRDefault="009F61D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79EB">
              <w:rPr>
                <w:rFonts w:ascii="Arial" w:hAnsi="Arial" w:cs="Arial"/>
                <w:b/>
                <w:bCs/>
              </w:rPr>
              <w:t>(ig)</w:t>
            </w:r>
          </w:p>
        </w:tc>
        <w:tc>
          <w:tcPr>
            <w:tcW w:w="766" w:type="pct"/>
            <w:vAlign w:val="center"/>
          </w:tcPr>
          <w:p w14:paraId="67A3F4A5" w14:textId="7D38FE81" w:rsidR="009F61D6" w:rsidRPr="00D679EB" w:rsidRDefault="009F61D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79EB">
              <w:rPr>
                <w:rFonts w:ascii="Arial" w:hAnsi="Arial" w:cs="Arial"/>
                <w:b/>
                <w:bCs/>
              </w:rPr>
              <w:t>south Himalayan foothills</w:t>
            </w:r>
          </w:p>
          <w:p w14:paraId="31B8A666" w14:textId="33273A87" w:rsidR="009F61D6" w:rsidRPr="00D679EB" w:rsidRDefault="009F61D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79EB">
              <w:rPr>
                <w:rFonts w:ascii="Arial" w:hAnsi="Arial" w:cs="Arial"/>
                <w:b/>
                <w:bCs/>
              </w:rPr>
              <w:t>(sh)</w:t>
            </w:r>
          </w:p>
        </w:tc>
        <w:tc>
          <w:tcPr>
            <w:tcW w:w="704" w:type="pct"/>
            <w:vAlign w:val="center"/>
          </w:tcPr>
          <w:p w14:paraId="7CCAB0A9" w14:textId="77777777" w:rsidR="009F61D6" w:rsidRPr="00D679EB" w:rsidRDefault="009F61D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79EB">
              <w:rPr>
                <w:rFonts w:ascii="Arial" w:hAnsi="Arial" w:cs="Arial"/>
                <w:b/>
                <w:bCs/>
              </w:rPr>
              <w:t>deccan plate</w:t>
            </w:r>
          </w:p>
          <w:p w14:paraId="28F148C6" w14:textId="79BA5A9C" w:rsidR="009F61D6" w:rsidRPr="00D679EB" w:rsidRDefault="009F61D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79EB">
              <w:rPr>
                <w:rFonts w:ascii="Arial" w:hAnsi="Arial" w:cs="Arial"/>
                <w:b/>
                <w:bCs/>
              </w:rPr>
              <w:t>(dp)</w:t>
            </w:r>
          </w:p>
        </w:tc>
        <w:tc>
          <w:tcPr>
            <w:tcW w:w="701" w:type="pct"/>
            <w:vAlign w:val="center"/>
          </w:tcPr>
          <w:p w14:paraId="4A1CF987" w14:textId="1037EE21" w:rsidR="00924D3A" w:rsidRPr="0019253C" w:rsidRDefault="009F61D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79EB">
              <w:rPr>
                <w:rFonts w:ascii="Arial" w:hAnsi="Arial" w:cs="Arial"/>
                <w:b/>
                <w:bCs/>
              </w:rPr>
              <w:t xml:space="preserve">Central </w:t>
            </w:r>
            <w:r w:rsidR="00973224" w:rsidRPr="0019253C">
              <w:rPr>
                <w:rFonts w:ascii="Arial" w:hAnsi="Arial" w:cs="Arial"/>
                <w:b/>
                <w:bCs/>
              </w:rPr>
              <w:t>India</w:t>
            </w:r>
            <w:r w:rsidRPr="00D679EB">
              <w:rPr>
                <w:rFonts w:ascii="Arial" w:hAnsi="Arial" w:cs="Arial"/>
                <w:b/>
                <w:bCs/>
              </w:rPr>
              <w:t xml:space="preserve">+ western </w:t>
            </w:r>
            <w:r w:rsidR="00973224" w:rsidRPr="0019253C">
              <w:rPr>
                <w:rFonts w:ascii="Arial" w:hAnsi="Arial" w:cs="Arial"/>
                <w:b/>
                <w:bCs/>
              </w:rPr>
              <w:t>India</w:t>
            </w:r>
          </w:p>
          <w:p w14:paraId="3E07A5E1" w14:textId="6924F6CD" w:rsidR="009F61D6" w:rsidRPr="00D679EB" w:rsidRDefault="009F61D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79EB">
              <w:rPr>
                <w:rFonts w:ascii="Arial" w:hAnsi="Arial" w:cs="Arial"/>
                <w:b/>
                <w:bCs/>
              </w:rPr>
              <w:t>(ci)</w:t>
            </w:r>
          </w:p>
        </w:tc>
      </w:tr>
      <w:tr w:rsidR="00FE75EA" w:rsidRPr="0019253C" w14:paraId="6321ACBC" w14:textId="46737697" w:rsidTr="0081725D">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852" w:type="pct"/>
            <w:vAlign w:val="center"/>
          </w:tcPr>
          <w:p w14:paraId="73E6BABD" w14:textId="5768F5BE" w:rsidR="00FE75EA" w:rsidRPr="00D679EB" w:rsidRDefault="00FE75EA" w:rsidP="0081725D">
            <w:pPr>
              <w:spacing w:after="0" w:line="240" w:lineRule="auto"/>
              <w:jc w:val="center"/>
              <w:rPr>
                <w:rFonts w:ascii="Arial" w:hAnsi="Arial" w:cs="Arial"/>
                <w:b w:val="0"/>
                <w:bCs w:val="0"/>
              </w:rPr>
            </w:pPr>
            <w:r w:rsidRPr="00D679EB">
              <w:rPr>
                <w:rFonts w:ascii="Arial" w:hAnsi="Arial" w:cs="Arial"/>
              </w:rPr>
              <w:t>Regional climate patterns</w:t>
            </w:r>
          </w:p>
          <w:p w14:paraId="57AB567C" w14:textId="6BED3D26" w:rsidR="00FE75EA" w:rsidRPr="00D679EB" w:rsidRDefault="00FE75EA" w:rsidP="0081725D">
            <w:pPr>
              <w:spacing w:after="0" w:line="240" w:lineRule="auto"/>
              <w:jc w:val="center"/>
              <w:rPr>
                <w:rFonts w:ascii="Arial" w:hAnsi="Arial" w:cs="Arial"/>
                <w:b w:val="0"/>
                <w:bCs w:val="0"/>
              </w:rPr>
            </w:pPr>
            <w:r w:rsidRPr="00D679EB">
              <w:rPr>
                <w:rFonts w:ascii="Arial" w:hAnsi="Arial" w:cs="Arial"/>
              </w:rPr>
              <w:t>(BEE classification)</w:t>
            </w:r>
          </w:p>
        </w:tc>
        <w:tc>
          <w:tcPr>
            <w:tcW w:w="639" w:type="pct"/>
            <w:vAlign w:val="center"/>
          </w:tcPr>
          <w:p w14:paraId="6F5DEA1B" w14:textId="35766492" w:rsidR="00FE75EA" w:rsidRPr="00D679EB" w:rsidRDefault="00FE75EA"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679EB">
              <w:rPr>
                <w:rFonts w:ascii="Arial" w:hAnsi="Arial" w:cs="Arial"/>
                <w:bCs/>
              </w:rPr>
              <w:t>Warm and humid</w:t>
            </w:r>
          </w:p>
        </w:tc>
        <w:tc>
          <w:tcPr>
            <w:tcW w:w="627" w:type="pct"/>
            <w:vAlign w:val="center"/>
          </w:tcPr>
          <w:p w14:paraId="17E1D31F" w14:textId="14C268AA" w:rsidR="00FE75EA" w:rsidRPr="00D679EB" w:rsidRDefault="00FE75EA"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679EB">
              <w:rPr>
                <w:rFonts w:ascii="Arial" w:hAnsi="Arial" w:cs="Arial"/>
                <w:bCs/>
              </w:rPr>
              <w:t>Warm and humid</w:t>
            </w:r>
          </w:p>
        </w:tc>
        <w:tc>
          <w:tcPr>
            <w:tcW w:w="711" w:type="pct"/>
            <w:vAlign w:val="center"/>
          </w:tcPr>
          <w:p w14:paraId="663DB097" w14:textId="10276B06" w:rsidR="00FE75EA" w:rsidRPr="00D679EB" w:rsidRDefault="00E84DE2"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679EB">
              <w:rPr>
                <w:rFonts w:ascii="Arial" w:hAnsi="Arial" w:cs="Arial"/>
                <w:bCs/>
              </w:rPr>
              <w:t xml:space="preserve">Warm and </w:t>
            </w:r>
            <w:r w:rsidR="00973224" w:rsidRPr="0019253C">
              <w:rPr>
                <w:rFonts w:ascii="Arial" w:hAnsi="Arial" w:cs="Arial"/>
                <w:bCs/>
              </w:rPr>
              <w:t>humid +</w:t>
            </w:r>
            <w:r w:rsidR="00FE75EA" w:rsidRPr="00D679EB">
              <w:rPr>
                <w:rFonts w:ascii="Arial" w:hAnsi="Arial" w:cs="Arial"/>
                <w:bCs/>
              </w:rPr>
              <w:t xml:space="preserve"> composite</w:t>
            </w:r>
          </w:p>
        </w:tc>
        <w:tc>
          <w:tcPr>
            <w:tcW w:w="766" w:type="pct"/>
            <w:vAlign w:val="center"/>
          </w:tcPr>
          <w:p w14:paraId="7130C788" w14:textId="18C13F41" w:rsidR="00FE75EA" w:rsidRPr="00D679EB" w:rsidRDefault="00FE75EA"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679EB">
              <w:rPr>
                <w:rFonts w:ascii="Arial" w:hAnsi="Arial" w:cs="Arial"/>
                <w:bCs/>
              </w:rPr>
              <w:t>Hot and dry + composite</w:t>
            </w:r>
          </w:p>
        </w:tc>
        <w:tc>
          <w:tcPr>
            <w:tcW w:w="704" w:type="pct"/>
            <w:vAlign w:val="center"/>
          </w:tcPr>
          <w:p w14:paraId="3B3405D0" w14:textId="5D11066F" w:rsidR="00FE75EA" w:rsidRPr="00D679EB" w:rsidRDefault="00FE75EA"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679EB">
              <w:rPr>
                <w:rFonts w:ascii="Arial" w:hAnsi="Arial" w:cs="Arial"/>
                <w:bCs/>
              </w:rPr>
              <w:t>Warm and humid</w:t>
            </w:r>
          </w:p>
        </w:tc>
        <w:tc>
          <w:tcPr>
            <w:tcW w:w="701" w:type="pct"/>
            <w:vAlign w:val="center"/>
          </w:tcPr>
          <w:p w14:paraId="52572892" w14:textId="6836E8E7" w:rsidR="00FE75EA" w:rsidRPr="00D679EB" w:rsidRDefault="00FE75EA"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679EB">
              <w:rPr>
                <w:rFonts w:ascii="Arial" w:hAnsi="Arial" w:cs="Arial"/>
                <w:bCs/>
              </w:rPr>
              <w:t>Hot and dry</w:t>
            </w:r>
          </w:p>
        </w:tc>
      </w:tr>
      <w:tr w:rsidR="00FE75EA" w:rsidRPr="0019253C" w14:paraId="0D5D5389" w14:textId="74BC480C" w:rsidTr="0081725D">
        <w:trPr>
          <w:trHeight w:val="20"/>
        </w:trPr>
        <w:tc>
          <w:tcPr>
            <w:cnfStyle w:val="001000000000" w:firstRow="0" w:lastRow="0" w:firstColumn="1" w:lastColumn="0" w:oddVBand="0" w:evenVBand="0" w:oddHBand="0" w:evenHBand="0" w:firstRowFirstColumn="0" w:firstRowLastColumn="0" w:lastRowFirstColumn="0" w:lastRowLastColumn="0"/>
            <w:tcW w:w="852" w:type="pct"/>
            <w:vAlign w:val="center"/>
            <w:hideMark/>
          </w:tcPr>
          <w:p w14:paraId="1DEC9266" w14:textId="77777777" w:rsidR="00FE75EA" w:rsidRPr="00D679EB" w:rsidRDefault="00FE75EA" w:rsidP="0081725D">
            <w:pPr>
              <w:spacing w:after="0" w:line="240" w:lineRule="auto"/>
              <w:jc w:val="center"/>
              <w:rPr>
                <w:rFonts w:ascii="Arial" w:hAnsi="Arial" w:cs="Arial"/>
                <w:b w:val="0"/>
                <w:bCs w:val="0"/>
              </w:rPr>
            </w:pPr>
            <w:r w:rsidRPr="00D679EB">
              <w:rPr>
                <w:rFonts w:ascii="Arial" w:hAnsi="Arial" w:cs="Arial"/>
              </w:rPr>
              <w:t>Average CDD-hum</w:t>
            </w:r>
          </w:p>
          <w:p w14:paraId="17B90E53" w14:textId="77777777" w:rsidR="00FE75EA" w:rsidRPr="00D679EB" w:rsidRDefault="00FE75EA" w:rsidP="0081725D">
            <w:pPr>
              <w:spacing w:after="0" w:line="240" w:lineRule="auto"/>
              <w:jc w:val="center"/>
              <w:rPr>
                <w:rFonts w:ascii="Arial" w:hAnsi="Arial" w:cs="Arial"/>
                <w:b w:val="0"/>
                <w:bCs w:val="0"/>
              </w:rPr>
            </w:pPr>
            <w:r w:rsidRPr="00D679EB">
              <w:rPr>
                <w:rFonts w:ascii="Arial" w:hAnsi="Arial" w:cs="Arial"/>
              </w:rPr>
              <w:t>(22°C)</w:t>
            </w:r>
          </w:p>
        </w:tc>
        <w:tc>
          <w:tcPr>
            <w:tcW w:w="639" w:type="pct"/>
            <w:vAlign w:val="center"/>
          </w:tcPr>
          <w:p w14:paraId="72FD3157" w14:textId="1EDFA41B" w:rsidR="00FE75EA" w:rsidRPr="00D679EB" w:rsidRDefault="00A14D20"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4367.36 ± 161.59 (Median: 4458.34)</w:t>
            </w:r>
          </w:p>
        </w:tc>
        <w:tc>
          <w:tcPr>
            <w:tcW w:w="627" w:type="pct"/>
            <w:vAlign w:val="center"/>
          </w:tcPr>
          <w:p w14:paraId="1411CBC9" w14:textId="21A7C53C" w:rsidR="00FE75EA" w:rsidRPr="00D679EB" w:rsidRDefault="00A14D20"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3007.71 ± 363.07 (Median: 2937.39)</w:t>
            </w:r>
          </w:p>
        </w:tc>
        <w:tc>
          <w:tcPr>
            <w:tcW w:w="711" w:type="pct"/>
            <w:vAlign w:val="center"/>
          </w:tcPr>
          <w:p w14:paraId="166E0F42" w14:textId="0743DADA" w:rsidR="00FE75EA" w:rsidRPr="00D679EB" w:rsidRDefault="00A14D20"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3771.27 ± 73.56 (Median: 3704.53)</w:t>
            </w:r>
          </w:p>
        </w:tc>
        <w:tc>
          <w:tcPr>
            <w:tcW w:w="766" w:type="pct"/>
            <w:vAlign w:val="center"/>
          </w:tcPr>
          <w:p w14:paraId="5DC93853" w14:textId="64A4E28A" w:rsidR="00FE75EA" w:rsidRPr="00D679EB" w:rsidRDefault="00A14D20"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1182.24 ± 573.75 (Median: 712.89)</w:t>
            </w:r>
          </w:p>
        </w:tc>
        <w:tc>
          <w:tcPr>
            <w:tcW w:w="704" w:type="pct"/>
            <w:vAlign w:val="center"/>
          </w:tcPr>
          <w:p w14:paraId="30677E19" w14:textId="32D25961" w:rsidR="00FE75EA" w:rsidRPr="00D679EB" w:rsidRDefault="00A14D20"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3414.77 ± 164.20 (Median: 3717.59)</w:t>
            </w:r>
          </w:p>
        </w:tc>
        <w:tc>
          <w:tcPr>
            <w:tcW w:w="701" w:type="pct"/>
            <w:vAlign w:val="center"/>
          </w:tcPr>
          <w:p w14:paraId="7EDEB710" w14:textId="3DD843FD" w:rsidR="00FE75EA" w:rsidRPr="00D679EB" w:rsidRDefault="00A14D20"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3836.51 ± 326.61 (Median: 3985.08)</w:t>
            </w:r>
          </w:p>
        </w:tc>
      </w:tr>
      <w:tr w:rsidR="00FE75EA" w:rsidRPr="0019253C" w14:paraId="3ABE2594" w14:textId="4121CFEE" w:rsidTr="00817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2" w:type="pct"/>
            <w:vAlign w:val="center"/>
            <w:hideMark/>
          </w:tcPr>
          <w:p w14:paraId="505A6910" w14:textId="77777777" w:rsidR="00FE75EA" w:rsidRPr="00D679EB" w:rsidRDefault="00FE75EA" w:rsidP="0081725D">
            <w:pPr>
              <w:spacing w:after="0" w:line="240" w:lineRule="auto"/>
              <w:jc w:val="center"/>
              <w:rPr>
                <w:rFonts w:ascii="Arial" w:hAnsi="Arial" w:cs="Arial"/>
                <w:b w:val="0"/>
                <w:bCs w:val="0"/>
              </w:rPr>
            </w:pPr>
            <w:r w:rsidRPr="00D679EB">
              <w:rPr>
                <w:rFonts w:ascii="Arial" w:hAnsi="Arial" w:cs="Arial"/>
              </w:rPr>
              <w:t>Average CDD-hum (28°C)</w:t>
            </w:r>
          </w:p>
        </w:tc>
        <w:tc>
          <w:tcPr>
            <w:tcW w:w="639" w:type="pct"/>
            <w:vAlign w:val="center"/>
          </w:tcPr>
          <w:p w14:paraId="1EBFE149" w14:textId="42EBE97E"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2771.75 ± 130.87 (Median: 2711.49)</w:t>
            </w:r>
          </w:p>
        </w:tc>
        <w:tc>
          <w:tcPr>
            <w:tcW w:w="627" w:type="pct"/>
            <w:vAlign w:val="center"/>
          </w:tcPr>
          <w:p w14:paraId="3BF57E0D" w14:textId="059A2565"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1608.34 ± 259.00 (Median: 1437.23)</w:t>
            </w:r>
          </w:p>
        </w:tc>
        <w:tc>
          <w:tcPr>
            <w:tcW w:w="711" w:type="pct"/>
            <w:vAlign w:val="center"/>
          </w:tcPr>
          <w:p w14:paraId="42326BB6" w14:textId="1751A5DD"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2546.82 ± 67.75 (Median: 2437.36)</w:t>
            </w:r>
          </w:p>
        </w:tc>
        <w:tc>
          <w:tcPr>
            <w:tcW w:w="766" w:type="pct"/>
            <w:vAlign w:val="center"/>
          </w:tcPr>
          <w:p w14:paraId="235AF5D1" w14:textId="4AA7BE32"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682.27 ± 427.64 (Median: 285.11)</w:t>
            </w:r>
          </w:p>
        </w:tc>
        <w:tc>
          <w:tcPr>
            <w:tcW w:w="704" w:type="pct"/>
            <w:vAlign w:val="center"/>
          </w:tcPr>
          <w:p w14:paraId="73951E73" w14:textId="158B3F8F"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2163.53 ± 124.31 (Median: 2400.08)</w:t>
            </w:r>
          </w:p>
        </w:tc>
        <w:tc>
          <w:tcPr>
            <w:tcW w:w="701" w:type="pct"/>
            <w:vAlign w:val="center"/>
          </w:tcPr>
          <w:p w14:paraId="3BD6BDD1" w14:textId="0BCCD855"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2584.84 ± 267.90 (Median: 2744.98)</w:t>
            </w:r>
          </w:p>
        </w:tc>
      </w:tr>
      <w:tr w:rsidR="00143E93" w:rsidRPr="0019253C" w14:paraId="6F4E105A" w14:textId="77777777" w:rsidTr="0081725D">
        <w:trPr>
          <w:trHeight w:val="20"/>
        </w:trPr>
        <w:tc>
          <w:tcPr>
            <w:cnfStyle w:val="001000000000" w:firstRow="0" w:lastRow="0" w:firstColumn="1" w:lastColumn="0" w:oddVBand="0" w:evenVBand="0" w:oddHBand="0" w:evenHBand="0" w:firstRowFirstColumn="0" w:firstRowLastColumn="0" w:lastRowFirstColumn="0" w:lastRowLastColumn="0"/>
            <w:tcW w:w="852" w:type="pct"/>
            <w:vAlign w:val="center"/>
            <w:hideMark/>
          </w:tcPr>
          <w:p w14:paraId="2BB465B9" w14:textId="77777777" w:rsidR="00FE75EA" w:rsidRPr="00D679EB" w:rsidRDefault="00FE75EA" w:rsidP="0081725D">
            <w:pPr>
              <w:spacing w:after="0" w:line="240" w:lineRule="auto"/>
              <w:jc w:val="center"/>
              <w:rPr>
                <w:rFonts w:ascii="Arial" w:hAnsi="Arial" w:cs="Arial"/>
                <w:b w:val="0"/>
                <w:bCs w:val="0"/>
              </w:rPr>
            </w:pPr>
            <w:r w:rsidRPr="00D679EB">
              <w:rPr>
                <w:rFonts w:ascii="Arial" w:hAnsi="Arial" w:cs="Arial"/>
              </w:rPr>
              <w:t>Days &gt; 22°C (days/year)</w:t>
            </w:r>
          </w:p>
        </w:tc>
        <w:tc>
          <w:tcPr>
            <w:tcW w:w="639" w:type="pct"/>
            <w:vAlign w:val="center"/>
          </w:tcPr>
          <w:p w14:paraId="58E67120" w14:textId="19B8C01D" w:rsidR="00FE75EA" w:rsidRPr="00D679EB" w:rsidRDefault="007C43C1"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330 ± 1</w:t>
            </w:r>
          </w:p>
        </w:tc>
        <w:tc>
          <w:tcPr>
            <w:tcW w:w="627" w:type="pct"/>
            <w:vAlign w:val="center"/>
          </w:tcPr>
          <w:p w14:paraId="70BF74EF" w14:textId="78AA643C" w:rsidR="00FE75EA" w:rsidRPr="00D679EB" w:rsidRDefault="007C43C1"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322 ± 4</w:t>
            </w:r>
          </w:p>
        </w:tc>
        <w:tc>
          <w:tcPr>
            <w:tcW w:w="711" w:type="pct"/>
            <w:vAlign w:val="center"/>
          </w:tcPr>
          <w:p w14:paraId="1B8EBB88" w14:textId="649821AC" w:rsidR="00FE75EA" w:rsidRPr="00D679EB" w:rsidRDefault="007C43C1"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250 ± 1</w:t>
            </w:r>
          </w:p>
        </w:tc>
        <w:tc>
          <w:tcPr>
            <w:tcW w:w="766" w:type="pct"/>
            <w:vAlign w:val="center"/>
          </w:tcPr>
          <w:p w14:paraId="4DBD2141" w14:textId="27FCD80F" w:rsidR="00FE75EA" w:rsidRPr="00D679EB" w:rsidRDefault="007C43C1"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150 ± 7</w:t>
            </w:r>
          </w:p>
        </w:tc>
        <w:tc>
          <w:tcPr>
            <w:tcW w:w="704" w:type="pct"/>
            <w:vAlign w:val="center"/>
          </w:tcPr>
          <w:p w14:paraId="6BB19413" w14:textId="12FA3741" w:rsidR="00FE75EA" w:rsidRPr="00D679EB" w:rsidRDefault="007C43C1"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286 ± 1</w:t>
            </w:r>
          </w:p>
        </w:tc>
        <w:tc>
          <w:tcPr>
            <w:tcW w:w="701" w:type="pct"/>
            <w:vAlign w:val="center"/>
          </w:tcPr>
          <w:p w14:paraId="0B3D7669" w14:textId="2CFF5290" w:rsidR="00FE75EA" w:rsidRPr="00D679EB" w:rsidRDefault="007C43C1"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261 ± 2</w:t>
            </w:r>
          </w:p>
        </w:tc>
      </w:tr>
      <w:tr w:rsidR="00143E93" w:rsidRPr="0019253C" w14:paraId="406DFA1E" w14:textId="77777777" w:rsidTr="00817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2" w:type="pct"/>
            <w:vAlign w:val="center"/>
            <w:hideMark/>
          </w:tcPr>
          <w:p w14:paraId="5E07AE92" w14:textId="77777777" w:rsidR="00FE75EA" w:rsidRPr="00D679EB" w:rsidRDefault="00FE75EA" w:rsidP="0081725D">
            <w:pPr>
              <w:spacing w:after="0" w:line="240" w:lineRule="auto"/>
              <w:jc w:val="center"/>
              <w:rPr>
                <w:rFonts w:ascii="Arial" w:hAnsi="Arial" w:cs="Arial"/>
                <w:b w:val="0"/>
                <w:bCs w:val="0"/>
              </w:rPr>
            </w:pPr>
            <w:r w:rsidRPr="00D679EB">
              <w:rPr>
                <w:rFonts w:ascii="Arial" w:hAnsi="Arial" w:cs="Arial"/>
              </w:rPr>
              <w:t>Days &gt; 28°C (days/year)</w:t>
            </w:r>
          </w:p>
        </w:tc>
        <w:tc>
          <w:tcPr>
            <w:tcW w:w="639" w:type="pct"/>
            <w:vAlign w:val="center"/>
          </w:tcPr>
          <w:p w14:paraId="74AB6272" w14:textId="689F5CB7"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21</w:t>
            </w:r>
            <w:r w:rsidR="007750AD" w:rsidRPr="0019253C">
              <w:rPr>
                <w:rFonts w:ascii="Arial" w:hAnsi="Arial" w:cs="Arial"/>
                <w:color w:val="000000"/>
              </w:rPr>
              <w:t>2</w:t>
            </w:r>
            <w:r w:rsidRPr="00D679EB">
              <w:rPr>
                <w:rFonts w:ascii="Arial" w:hAnsi="Arial" w:cs="Arial"/>
                <w:color w:val="000000"/>
              </w:rPr>
              <w:t xml:space="preserve"> ± </w:t>
            </w:r>
            <w:r w:rsidR="007750AD" w:rsidRPr="0019253C">
              <w:rPr>
                <w:rFonts w:ascii="Arial" w:hAnsi="Arial" w:cs="Arial"/>
                <w:color w:val="000000"/>
              </w:rPr>
              <w:t>2</w:t>
            </w:r>
          </w:p>
        </w:tc>
        <w:tc>
          <w:tcPr>
            <w:tcW w:w="627" w:type="pct"/>
            <w:vAlign w:val="center"/>
          </w:tcPr>
          <w:p w14:paraId="1C4E9D9B" w14:textId="77F61D0A"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15</w:t>
            </w:r>
            <w:r w:rsidR="007750AD" w:rsidRPr="0019253C">
              <w:rPr>
                <w:rFonts w:ascii="Arial" w:hAnsi="Arial" w:cs="Arial"/>
                <w:color w:val="000000"/>
              </w:rPr>
              <w:t>7</w:t>
            </w:r>
            <w:r w:rsidRPr="00D679EB">
              <w:rPr>
                <w:rFonts w:ascii="Arial" w:hAnsi="Arial" w:cs="Arial"/>
                <w:color w:val="000000"/>
              </w:rPr>
              <w:t xml:space="preserve"> ± </w:t>
            </w:r>
            <w:r w:rsidR="007750AD" w:rsidRPr="0019253C">
              <w:rPr>
                <w:rFonts w:ascii="Arial" w:hAnsi="Arial" w:cs="Arial"/>
                <w:color w:val="000000"/>
              </w:rPr>
              <w:t>4</w:t>
            </w:r>
          </w:p>
        </w:tc>
        <w:tc>
          <w:tcPr>
            <w:tcW w:w="711" w:type="pct"/>
            <w:vAlign w:val="center"/>
          </w:tcPr>
          <w:p w14:paraId="6DEC9610" w14:textId="6501FE29"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16</w:t>
            </w:r>
            <w:r w:rsidR="007750AD" w:rsidRPr="0019253C">
              <w:rPr>
                <w:rFonts w:ascii="Arial" w:hAnsi="Arial" w:cs="Arial"/>
                <w:color w:val="000000"/>
              </w:rPr>
              <w:t>5</w:t>
            </w:r>
            <w:r w:rsidRPr="00D679EB">
              <w:rPr>
                <w:rFonts w:ascii="Arial" w:hAnsi="Arial" w:cs="Arial"/>
                <w:color w:val="000000"/>
              </w:rPr>
              <w:t xml:space="preserve"> ± </w:t>
            </w:r>
            <w:r w:rsidR="007750AD" w:rsidRPr="0019253C">
              <w:rPr>
                <w:rFonts w:ascii="Arial" w:hAnsi="Arial" w:cs="Arial"/>
                <w:color w:val="000000"/>
              </w:rPr>
              <w:t>1</w:t>
            </w:r>
          </w:p>
        </w:tc>
        <w:tc>
          <w:tcPr>
            <w:tcW w:w="766" w:type="pct"/>
            <w:vAlign w:val="center"/>
          </w:tcPr>
          <w:p w14:paraId="2845DE52" w14:textId="15A184B8"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5</w:t>
            </w:r>
            <w:r w:rsidR="007750AD" w:rsidRPr="0019253C">
              <w:rPr>
                <w:rFonts w:ascii="Arial" w:hAnsi="Arial" w:cs="Arial"/>
                <w:color w:val="000000"/>
              </w:rPr>
              <w:t>9</w:t>
            </w:r>
            <w:r w:rsidRPr="00D679EB">
              <w:rPr>
                <w:rFonts w:ascii="Arial" w:hAnsi="Arial" w:cs="Arial"/>
                <w:color w:val="000000"/>
              </w:rPr>
              <w:t xml:space="preserve"> ± 5</w:t>
            </w:r>
          </w:p>
        </w:tc>
        <w:tc>
          <w:tcPr>
            <w:tcW w:w="704" w:type="pct"/>
            <w:vAlign w:val="center"/>
          </w:tcPr>
          <w:p w14:paraId="1B6EC908" w14:textId="25C6C616"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15</w:t>
            </w:r>
            <w:r w:rsidR="007750AD" w:rsidRPr="0019253C">
              <w:rPr>
                <w:rFonts w:ascii="Arial" w:hAnsi="Arial" w:cs="Arial"/>
                <w:color w:val="000000"/>
              </w:rPr>
              <w:t>5</w:t>
            </w:r>
            <w:r w:rsidRPr="00D679EB">
              <w:rPr>
                <w:rFonts w:ascii="Arial" w:hAnsi="Arial" w:cs="Arial"/>
                <w:color w:val="000000"/>
              </w:rPr>
              <w:t xml:space="preserve"> ± </w:t>
            </w:r>
            <w:r w:rsidR="007750AD" w:rsidRPr="0019253C">
              <w:rPr>
                <w:rFonts w:ascii="Arial" w:hAnsi="Arial" w:cs="Arial"/>
                <w:color w:val="000000"/>
              </w:rPr>
              <w:t>1</w:t>
            </w:r>
          </w:p>
        </w:tc>
        <w:tc>
          <w:tcPr>
            <w:tcW w:w="701" w:type="pct"/>
            <w:vAlign w:val="center"/>
          </w:tcPr>
          <w:p w14:paraId="48EBAAF5" w14:textId="3D53DDDD" w:rsidR="00FE75EA"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169 ± 2</w:t>
            </w:r>
          </w:p>
        </w:tc>
      </w:tr>
      <w:tr w:rsidR="00B81302" w:rsidRPr="0019253C" w14:paraId="4BB8FD2C" w14:textId="77777777" w:rsidTr="0081725D">
        <w:trPr>
          <w:trHeight w:val="20"/>
        </w:trPr>
        <w:tc>
          <w:tcPr>
            <w:cnfStyle w:val="001000000000" w:firstRow="0" w:lastRow="0" w:firstColumn="1" w:lastColumn="0" w:oddVBand="0" w:evenVBand="0" w:oddHBand="0" w:evenHBand="0" w:firstRowFirstColumn="0" w:firstRowLastColumn="0" w:lastRowFirstColumn="0" w:lastRowLastColumn="0"/>
            <w:tcW w:w="852" w:type="pct"/>
            <w:vAlign w:val="center"/>
            <w:hideMark/>
          </w:tcPr>
          <w:p w14:paraId="4C986A29" w14:textId="77777777" w:rsidR="00B81302" w:rsidRPr="00D679EB" w:rsidRDefault="00B81302" w:rsidP="0081725D">
            <w:pPr>
              <w:spacing w:after="0" w:line="240" w:lineRule="auto"/>
              <w:jc w:val="center"/>
              <w:rPr>
                <w:rFonts w:ascii="Arial" w:hAnsi="Arial" w:cs="Arial"/>
                <w:b w:val="0"/>
                <w:bCs w:val="0"/>
              </w:rPr>
            </w:pPr>
            <w:r w:rsidRPr="00D679EB">
              <w:rPr>
                <w:rFonts w:ascii="Arial" w:hAnsi="Arial" w:cs="Arial"/>
              </w:rPr>
              <w:t>CDD Increase (22°C) (°C-year)</w:t>
            </w:r>
          </w:p>
        </w:tc>
        <w:tc>
          <w:tcPr>
            <w:tcW w:w="639" w:type="pct"/>
            <w:vAlign w:val="center"/>
          </w:tcPr>
          <w:p w14:paraId="007FF731" w14:textId="6B15C1F9" w:rsidR="00B81302" w:rsidRPr="00D679EB" w:rsidRDefault="00B81302"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D679EB">
              <w:rPr>
                <w:rFonts w:ascii="Arial" w:hAnsi="Arial" w:cs="Arial"/>
              </w:rPr>
              <w:t>17.88 ± 6.40 (Median: 6.23)</w:t>
            </w:r>
          </w:p>
        </w:tc>
        <w:tc>
          <w:tcPr>
            <w:tcW w:w="627" w:type="pct"/>
            <w:vAlign w:val="center"/>
          </w:tcPr>
          <w:p w14:paraId="4F25A237" w14:textId="29055F90" w:rsidR="00B81302" w:rsidRPr="00D679EB" w:rsidRDefault="00B81302"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D679EB">
              <w:rPr>
                <w:rFonts w:ascii="Arial" w:hAnsi="Arial" w:cs="Arial"/>
              </w:rPr>
              <w:t>10.98 ± 2.79 (Median: 10.93)</w:t>
            </w:r>
          </w:p>
        </w:tc>
        <w:tc>
          <w:tcPr>
            <w:tcW w:w="711" w:type="pct"/>
            <w:vAlign w:val="center"/>
          </w:tcPr>
          <w:p w14:paraId="483AC3CE" w14:textId="6676A458" w:rsidR="00B81302" w:rsidRPr="00D679EB" w:rsidRDefault="00B81302"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D679EB">
              <w:rPr>
                <w:rFonts w:ascii="Arial" w:hAnsi="Arial" w:cs="Arial"/>
              </w:rPr>
              <w:t>6.98 ± 1.61 (Median: 5.57)</w:t>
            </w:r>
          </w:p>
        </w:tc>
        <w:tc>
          <w:tcPr>
            <w:tcW w:w="766" w:type="pct"/>
            <w:vAlign w:val="center"/>
          </w:tcPr>
          <w:p w14:paraId="117687BD" w14:textId="04AC0118" w:rsidR="00B81302" w:rsidRPr="00D679EB" w:rsidRDefault="00B81302"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D679EB">
              <w:rPr>
                <w:rFonts w:ascii="Arial" w:hAnsi="Arial" w:cs="Arial"/>
              </w:rPr>
              <w:t>31.44 ± 18.01 (Median: 18.95)</w:t>
            </w:r>
          </w:p>
        </w:tc>
        <w:tc>
          <w:tcPr>
            <w:tcW w:w="704" w:type="pct"/>
            <w:vAlign w:val="center"/>
          </w:tcPr>
          <w:p w14:paraId="0B420AB2" w14:textId="262BE19C" w:rsidR="00B81302" w:rsidRPr="00D679EB" w:rsidRDefault="00B81302"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D679EB">
              <w:rPr>
                <w:rFonts w:ascii="Arial" w:hAnsi="Arial" w:cs="Arial"/>
              </w:rPr>
              <w:t>6.00 ± 0.73 (Median: 5.89)</w:t>
            </w:r>
          </w:p>
        </w:tc>
        <w:tc>
          <w:tcPr>
            <w:tcW w:w="701" w:type="pct"/>
            <w:vAlign w:val="center"/>
          </w:tcPr>
          <w:p w14:paraId="4DA95199" w14:textId="15A40AAF" w:rsidR="00B81302" w:rsidRPr="00D679EB" w:rsidRDefault="00B81302"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D679EB">
              <w:rPr>
                <w:rFonts w:ascii="Arial" w:hAnsi="Arial" w:cs="Arial"/>
              </w:rPr>
              <w:t>4.48 ± 1.12 (Median: 5.71)</w:t>
            </w:r>
          </w:p>
        </w:tc>
      </w:tr>
      <w:tr w:rsidR="00B81302" w:rsidRPr="0019253C" w14:paraId="30D8E208" w14:textId="77777777" w:rsidTr="00817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2" w:type="pct"/>
            <w:vAlign w:val="center"/>
            <w:hideMark/>
          </w:tcPr>
          <w:p w14:paraId="5FD045C1" w14:textId="77777777" w:rsidR="00B81302" w:rsidRPr="00D679EB" w:rsidRDefault="00B81302" w:rsidP="0081725D">
            <w:pPr>
              <w:spacing w:after="0" w:line="240" w:lineRule="auto"/>
              <w:jc w:val="center"/>
              <w:rPr>
                <w:rFonts w:ascii="Arial" w:hAnsi="Arial" w:cs="Arial"/>
                <w:b w:val="0"/>
                <w:bCs w:val="0"/>
              </w:rPr>
            </w:pPr>
            <w:r w:rsidRPr="00D679EB">
              <w:rPr>
                <w:rFonts w:ascii="Arial" w:hAnsi="Arial" w:cs="Arial"/>
              </w:rPr>
              <w:t>CDD Increase (28°C) (°C-year)</w:t>
            </w:r>
          </w:p>
        </w:tc>
        <w:tc>
          <w:tcPr>
            <w:tcW w:w="639" w:type="pct"/>
            <w:vAlign w:val="center"/>
          </w:tcPr>
          <w:p w14:paraId="2A03E769" w14:textId="332B77EE" w:rsidR="00B81302"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D679EB">
              <w:rPr>
                <w:rFonts w:ascii="Arial" w:hAnsi="Arial" w:cs="Arial"/>
              </w:rPr>
              <w:t>14.28 ± 6.16 (Median: 3.77)</w:t>
            </w:r>
          </w:p>
        </w:tc>
        <w:tc>
          <w:tcPr>
            <w:tcW w:w="627" w:type="pct"/>
            <w:vAlign w:val="center"/>
          </w:tcPr>
          <w:p w14:paraId="19A8D64B" w14:textId="0D541768" w:rsidR="00B81302"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D679EB">
              <w:rPr>
                <w:rFonts w:ascii="Arial" w:hAnsi="Arial" w:cs="Arial"/>
              </w:rPr>
              <w:t>7.37 ± 2.16 (Median: 7.11)</w:t>
            </w:r>
          </w:p>
        </w:tc>
        <w:tc>
          <w:tcPr>
            <w:tcW w:w="711" w:type="pct"/>
            <w:vAlign w:val="center"/>
          </w:tcPr>
          <w:p w14:paraId="72D17657" w14:textId="75EBB090" w:rsidR="00B81302"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D679EB">
              <w:rPr>
                <w:rFonts w:ascii="Arial" w:hAnsi="Arial" w:cs="Arial"/>
              </w:rPr>
              <w:t>5.44 ± 0.97 (Median: 5.03)</w:t>
            </w:r>
          </w:p>
        </w:tc>
        <w:tc>
          <w:tcPr>
            <w:tcW w:w="766" w:type="pct"/>
            <w:vAlign w:val="center"/>
          </w:tcPr>
          <w:p w14:paraId="68B5E795" w14:textId="6418A2D9" w:rsidR="00B81302"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D679EB">
              <w:rPr>
                <w:rFonts w:ascii="Arial" w:hAnsi="Arial" w:cs="Arial"/>
              </w:rPr>
              <w:t>4.01 ± 1.72 (Median: 2.51)</w:t>
            </w:r>
          </w:p>
        </w:tc>
        <w:tc>
          <w:tcPr>
            <w:tcW w:w="704" w:type="pct"/>
            <w:vAlign w:val="center"/>
          </w:tcPr>
          <w:p w14:paraId="25822243" w14:textId="2175FCA0" w:rsidR="00B81302"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D679EB">
              <w:rPr>
                <w:rFonts w:ascii="Arial" w:hAnsi="Arial" w:cs="Arial"/>
              </w:rPr>
              <w:t>6.70 ± 0.74 (Median: 5.73)</w:t>
            </w:r>
          </w:p>
        </w:tc>
        <w:tc>
          <w:tcPr>
            <w:tcW w:w="701" w:type="pct"/>
            <w:vAlign w:val="center"/>
          </w:tcPr>
          <w:p w14:paraId="0B2B3C25" w14:textId="6AF74248" w:rsidR="00B81302"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D679EB">
              <w:rPr>
                <w:rFonts w:ascii="Arial" w:hAnsi="Arial" w:cs="Arial"/>
              </w:rPr>
              <w:t>3.74 ± 1.17 (Median: 3.83)</w:t>
            </w:r>
          </w:p>
        </w:tc>
      </w:tr>
      <w:tr w:rsidR="007F1CD9" w:rsidRPr="0019253C" w14:paraId="02985197" w14:textId="14AF048D" w:rsidTr="0081725D">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6D4775AD" w14:textId="33F1E9FB" w:rsidR="007F1CD9" w:rsidRPr="00D679EB" w:rsidRDefault="007F1CD9" w:rsidP="0081725D">
            <w:pPr>
              <w:spacing w:after="0" w:line="240" w:lineRule="auto"/>
              <w:jc w:val="center"/>
              <w:rPr>
                <w:rFonts w:ascii="Arial" w:hAnsi="Arial" w:cs="Arial"/>
              </w:rPr>
            </w:pPr>
            <w:r w:rsidRPr="00D679EB">
              <w:rPr>
                <w:rFonts w:ascii="Arial" w:hAnsi="Arial" w:cs="Arial"/>
              </w:rPr>
              <w:t>CDD-hum overall rising trend</w:t>
            </w:r>
          </w:p>
        </w:tc>
      </w:tr>
      <w:tr w:rsidR="007F1CD9" w:rsidRPr="0019253C" w14:paraId="47B45399" w14:textId="697A68F4" w:rsidTr="00817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2" w:type="pct"/>
            <w:vAlign w:val="center"/>
          </w:tcPr>
          <w:p w14:paraId="287ECAEC" w14:textId="77777777" w:rsidR="007F1CD9" w:rsidRPr="00D679EB" w:rsidRDefault="007F1CD9" w:rsidP="0081725D">
            <w:pPr>
              <w:spacing w:after="0" w:line="240" w:lineRule="auto"/>
              <w:jc w:val="center"/>
              <w:rPr>
                <w:rFonts w:ascii="Arial" w:hAnsi="Arial" w:cs="Arial"/>
                <w:b w:val="0"/>
                <w:bCs w:val="0"/>
              </w:rPr>
            </w:pPr>
            <w:r w:rsidRPr="00D679EB">
              <w:rPr>
                <w:rFonts w:ascii="Arial" w:hAnsi="Arial" w:cs="Arial"/>
              </w:rPr>
              <w:t>CDD-hum overall trend (°C-year) in simple linear regression</w:t>
            </w:r>
          </w:p>
        </w:tc>
        <w:tc>
          <w:tcPr>
            <w:tcW w:w="639" w:type="pct"/>
            <w:vAlign w:val="center"/>
          </w:tcPr>
          <w:p w14:paraId="4BCB00E9"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14.41 ± 5.03</w:t>
            </w:r>
          </w:p>
          <w:p w14:paraId="40B6229F" w14:textId="0E46350E"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627" w:type="pct"/>
            <w:vAlign w:val="center"/>
          </w:tcPr>
          <w:p w14:paraId="3389A638"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10.16 ± 2.77</w:t>
            </w:r>
          </w:p>
          <w:p w14:paraId="666EE928"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11" w:type="pct"/>
            <w:vAlign w:val="center"/>
          </w:tcPr>
          <w:p w14:paraId="6AA82BA2"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6.48 ± 1.05</w:t>
            </w:r>
          </w:p>
          <w:p w14:paraId="265AFC83" w14:textId="227465B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66" w:type="pct"/>
            <w:vAlign w:val="center"/>
          </w:tcPr>
          <w:p w14:paraId="12D3518D"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19.31 ± 12.72</w:t>
            </w:r>
          </w:p>
          <w:p w14:paraId="0B9603C3" w14:textId="3E283178"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04" w:type="pct"/>
            <w:vAlign w:val="center"/>
          </w:tcPr>
          <w:p w14:paraId="245B592C"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6.88 ± 1.2</w:t>
            </w:r>
          </w:p>
          <w:p w14:paraId="151AFEF9" w14:textId="68B335EA"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01" w:type="pct"/>
            <w:vAlign w:val="center"/>
          </w:tcPr>
          <w:p w14:paraId="1FCE422D"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8.58 ± 3.27</w:t>
            </w:r>
          </w:p>
          <w:p w14:paraId="1C364D64"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F1CD9" w:rsidRPr="0019253C" w14:paraId="12D71674" w14:textId="77777777" w:rsidTr="0081725D">
        <w:trPr>
          <w:trHeight w:val="20"/>
        </w:trPr>
        <w:tc>
          <w:tcPr>
            <w:cnfStyle w:val="001000000000" w:firstRow="0" w:lastRow="0" w:firstColumn="1" w:lastColumn="0" w:oddVBand="0" w:evenVBand="0" w:oddHBand="0" w:evenHBand="0" w:firstRowFirstColumn="0" w:firstRowLastColumn="0" w:lastRowFirstColumn="0" w:lastRowLastColumn="0"/>
            <w:tcW w:w="852" w:type="pct"/>
            <w:vAlign w:val="center"/>
          </w:tcPr>
          <w:p w14:paraId="6BF7F6D0" w14:textId="77777777" w:rsidR="007F1CD9" w:rsidRPr="00D679EB" w:rsidRDefault="007F1CD9" w:rsidP="0081725D">
            <w:pPr>
              <w:spacing w:after="0" w:line="240" w:lineRule="auto"/>
              <w:jc w:val="center"/>
              <w:rPr>
                <w:rFonts w:ascii="Arial" w:hAnsi="Arial" w:cs="Arial"/>
                <w:b w:val="0"/>
                <w:bCs w:val="0"/>
              </w:rPr>
            </w:pPr>
            <w:r w:rsidRPr="00D679EB">
              <w:rPr>
                <w:rFonts w:ascii="Arial" w:hAnsi="Arial" w:cs="Arial"/>
              </w:rPr>
              <w:t>CDD-hum overall trend (%) in simple linear regression</w:t>
            </w:r>
          </w:p>
        </w:tc>
        <w:tc>
          <w:tcPr>
            <w:tcW w:w="639" w:type="pct"/>
            <w:vAlign w:val="center"/>
          </w:tcPr>
          <w:p w14:paraId="2D619092" w14:textId="77777777"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0.43 ± 0.16</w:t>
            </w:r>
          </w:p>
          <w:p w14:paraId="63E6CF93" w14:textId="209F554E"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27" w:type="pct"/>
            <w:vAlign w:val="center"/>
          </w:tcPr>
          <w:p w14:paraId="08F981C3" w14:textId="77777777"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0.46 ± 0.14</w:t>
            </w:r>
          </w:p>
          <w:p w14:paraId="5FCA1AAA" w14:textId="77777777"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11" w:type="pct"/>
            <w:vAlign w:val="center"/>
          </w:tcPr>
          <w:p w14:paraId="7C652262" w14:textId="77777777"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0.21 ± 0.03</w:t>
            </w:r>
          </w:p>
          <w:p w14:paraId="28B61A2A" w14:textId="4CE3F20F"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66" w:type="pct"/>
            <w:vAlign w:val="center"/>
          </w:tcPr>
          <w:p w14:paraId="7F259044" w14:textId="77777777"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4.81 ± 2.69</w:t>
            </w:r>
          </w:p>
          <w:p w14:paraId="6D1675FA" w14:textId="12F5C2BD"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04" w:type="pct"/>
            <w:vAlign w:val="center"/>
          </w:tcPr>
          <w:p w14:paraId="18136039" w14:textId="77777777"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0.26 ± 0.04</w:t>
            </w:r>
          </w:p>
          <w:p w14:paraId="11B8E4EB" w14:textId="03DB6672"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01" w:type="pct"/>
            <w:vAlign w:val="center"/>
          </w:tcPr>
          <w:p w14:paraId="609147D9" w14:textId="77777777"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0.26 ± 0.1</w:t>
            </w:r>
          </w:p>
          <w:p w14:paraId="51D274C5" w14:textId="77777777" w:rsidR="007F1CD9" w:rsidRPr="00D679EB" w:rsidRDefault="007F1CD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750AD" w:rsidRPr="0019253C" w14:paraId="5346B953" w14:textId="11D68FEC" w:rsidTr="00817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2" w:type="pct"/>
            <w:vAlign w:val="center"/>
          </w:tcPr>
          <w:p w14:paraId="21823D78" w14:textId="77777777" w:rsidR="007F1CD9" w:rsidRPr="00D679EB" w:rsidRDefault="007F1CD9" w:rsidP="0081725D">
            <w:pPr>
              <w:spacing w:after="0" w:line="240" w:lineRule="auto"/>
              <w:jc w:val="center"/>
              <w:rPr>
                <w:rFonts w:ascii="Arial" w:hAnsi="Arial" w:cs="Arial"/>
                <w:b w:val="0"/>
                <w:bCs w:val="0"/>
              </w:rPr>
            </w:pPr>
            <w:r w:rsidRPr="00D679EB">
              <w:rPr>
                <w:rFonts w:ascii="Arial" w:hAnsi="Arial" w:cs="Arial"/>
              </w:rPr>
              <w:t>CDD-hum overall trend (%) in Log-linear regression</w:t>
            </w:r>
          </w:p>
        </w:tc>
        <w:tc>
          <w:tcPr>
            <w:tcW w:w="639" w:type="pct"/>
            <w:vAlign w:val="center"/>
          </w:tcPr>
          <w:p w14:paraId="7BBC20AC"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0.44 ± 0.17</w:t>
            </w:r>
          </w:p>
          <w:p w14:paraId="7DB06E3E" w14:textId="60DE53C6"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627" w:type="pct"/>
            <w:vAlign w:val="center"/>
          </w:tcPr>
          <w:p w14:paraId="720F5FBA"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0.43 ± 0.14</w:t>
            </w:r>
          </w:p>
          <w:p w14:paraId="06A1087D"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711" w:type="pct"/>
            <w:vAlign w:val="center"/>
          </w:tcPr>
          <w:p w14:paraId="33DB4CB2"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0.18 ± 0.03</w:t>
            </w:r>
          </w:p>
          <w:p w14:paraId="74822932" w14:textId="57F5AAA9"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766" w:type="pct"/>
            <w:vAlign w:val="center"/>
          </w:tcPr>
          <w:p w14:paraId="7CF03837"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4.71 ± 3.38</w:t>
            </w:r>
          </w:p>
          <w:p w14:paraId="407359ED" w14:textId="7F9DD232"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704" w:type="pct"/>
            <w:vAlign w:val="center"/>
          </w:tcPr>
          <w:p w14:paraId="3CF477CA"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0.25 ± 0.03</w:t>
            </w:r>
          </w:p>
          <w:p w14:paraId="244DAF31" w14:textId="5BF275CB"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701" w:type="pct"/>
            <w:vAlign w:val="center"/>
          </w:tcPr>
          <w:p w14:paraId="102A8991"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0.24 ± 0.1</w:t>
            </w:r>
          </w:p>
          <w:p w14:paraId="38CC9546" w14:textId="77777777" w:rsidR="007F1CD9" w:rsidRPr="00D679EB" w:rsidRDefault="007F1CD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bl>
    <w:p w14:paraId="04963C9C" w14:textId="77777777" w:rsidR="00912E46" w:rsidRDefault="00912E46" w:rsidP="00912E46">
      <w:pPr>
        <w:spacing w:after="0" w:line="240" w:lineRule="auto"/>
        <w:jc w:val="both"/>
        <w:rPr>
          <w:rFonts w:ascii="Arial" w:hAnsi="Arial" w:cs="Arial"/>
          <w:b/>
          <w:bCs/>
          <w:sz w:val="20"/>
          <w:szCs w:val="20"/>
        </w:rPr>
      </w:pPr>
    </w:p>
    <w:p w14:paraId="6B0C0B97" w14:textId="77777777" w:rsidR="0054336D" w:rsidRPr="007B6A3D" w:rsidRDefault="0054336D" w:rsidP="0054336D">
      <w:pPr>
        <w:spacing w:after="0" w:line="240" w:lineRule="auto"/>
        <w:jc w:val="center"/>
        <w:rPr>
          <w:rFonts w:ascii="Arial" w:hAnsi="Arial" w:cs="Arial"/>
          <w:b/>
          <w:bCs/>
        </w:rPr>
      </w:pPr>
      <w:r w:rsidRPr="007B6A3D">
        <w:rPr>
          <w:rFonts w:ascii="Arial" w:hAnsi="Arial" w:cs="Arial"/>
          <w:b/>
          <w:bCs/>
          <w:noProof/>
          <w14:ligatures w14:val="standardContextual"/>
        </w:rPr>
        <w:lastRenderedPageBreak/>
        <w:drawing>
          <wp:inline distT="0" distB="0" distL="0" distR="0" wp14:anchorId="43E17F5E" wp14:editId="07AC6B87">
            <wp:extent cx="4944140" cy="5210355"/>
            <wp:effectExtent l="0" t="0" r="8890" b="9525"/>
            <wp:docPr id="192009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2855" name="Picture 6285285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60146" cy="5227223"/>
                    </a:xfrm>
                    <a:prstGeom prst="rect">
                      <a:avLst/>
                    </a:prstGeom>
                  </pic:spPr>
                </pic:pic>
              </a:graphicData>
            </a:graphic>
          </wp:inline>
        </w:drawing>
      </w:r>
    </w:p>
    <w:p w14:paraId="482594D2" w14:textId="77777777" w:rsidR="0054336D" w:rsidRPr="007B6A3D" w:rsidRDefault="0054336D" w:rsidP="0054336D">
      <w:pPr>
        <w:spacing w:after="0" w:line="240" w:lineRule="auto"/>
        <w:jc w:val="center"/>
        <w:rPr>
          <w:rFonts w:ascii="Arial" w:hAnsi="Arial" w:cs="Arial"/>
          <w:b/>
          <w:bCs/>
        </w:rPr>
      </w:pPr>
      <w:r>
        <w:rPr>
          <w:rFonts w:ascii="Arial" w:hAnsi="Arial" w:cs="Arial"/>
          <w:b/>
          <w:bCs/>
          <w:noProof/>
          <w14:ligatures w14:val="standardContextual"/>
        </w:rPr>
        <w:drawing>
          <wp:inline distT="0" distB="0" distL="0" distR="0" wp14:anchorId="7DA3CA4A" wp14:editId="0F948574">
            <wp:extent cx="5551714" cy="2356372"/>
            <wp:effectExtent l="0" t="0" r="0" b="6350"/>
            <wp:docPr id="155358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89098" name="Picture 155358909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54874" cy="2357713"/>
                    </a:xfrm>
                    <a:prstGeom prst="rect">
                      <a:avLst/>
                    </a:prstGeom>
                  </pic:spPr>
                </pic:pic>
              </a:graphicData>
            </a:graphic>
          </wp:inline>
        </w:drawing>
      </w:r>
    </w:p>
    <w:p w14:paraId="64CB0498" w14:textId="77777777" w:rsidR="0054336D" w:rsidRPr="007B6A3D" w:rsidRDefault="0054336D" w:rsidP="0054336D">
      <w:pPr>
        <w:spacing w:after="0" w:line="240" w:lineRule="auto"/>
        <w:jc w:val="both"/>
        <w:rPr>
          <w:rFonts w:ascii="Arial" w:hAnsi="Arial" w:cs="Arial"/>
          <w:b/>
          <w:bCs/>
        </w:rPr>
      </w:pPr>
    </w:p>
    <w:p w14:paraId="778CA8A3" w14:textId="3205B653" w:rsidR="00EB0B1D" w:rsidRDefault="003950CA" w:rsidP="00EB0B1D">
      <w:pPr>
        <w:spacing w:before="100" w:beforeAutospacing="1" w:after="100" w:afterAutospacing="1" w:line="240" w:lineRule="auto"/>
        <w:ind w:right="-113"/>
        <w:jc w:val="both"/>
        <w:rPr>
          <w:rFonts w:ascii="Arial" w:hAnsi="Arial" w:cs="Arial"/>
          <w:b/>
          <w:bCs/>
          <w:sz w:val="20"/>
          <w:szCs w:val="20"/>
        </w:rPr>
      </w:pPr>
      <w:r>
        <w:rPr>
          <w:rFonts w:ascii="Arial" w:hAnsi="Arial" w:cs="Arial"/>
          <w:b/>
          <w:bCs/>
          <w:sz w:val="20"/>
          <w:szCs w:val="20"/>
        </w:rPr>
        <w:t>Supplementary Figure 8</w:t>
      </w:r>
      <w:r w:rsidRPr="00DF014C">
        <w:rPr>
          <w:rFonts w:ascii="Arial" w:hAnsi="Arial" w:cs="Arial"/>
          <w:b/>
          <w:bCs/>
          <w:sz w:val="20"/>
          <w:szCs w:val="20"/>
        </w:rPr>
        <w:t>.</w:t>
      </w:r>
      <w:r w:rsidR="0054336D" w:rsidRPr="001C72A4">
        <w:rPr>
          <w:rFonts w:ascii="Arial" w:hAnsi="Arial" w:cs="Arial"/>
          <w:b/>
          <w:bCs/>
          <w:sz w:val="20"/>
          <w:szCs w:val="20"/>
        </w:rPr>
        <w:t xml:space="preserve"> </w:t>
      </w:r>
      <w:r w:rsidR="0054336D" w:rsidRPr="001C72A4">
        <w:rPr>
          <w:rFonts w:ascii="Arial" w:hAnsi="Arial" w:cs="Arial"/>
          <w:sz w:val="20"/>
          <w:szCs w:val="20"/>
        </w:rPr>
        <w:t>The rising trend of CDD-hum for Indian cities over the past two decades, modelled with a cooling base temperature range of 22–28°C. The plots show the increase in CDD-hum per year averaged over the CDD-hum</w:t>
      </w:r>
      <w:r w:rsidR="0054336D" w:rsidRPr="001C72A4" w:rsidDel="00775E89">
        <w:rPr>
          <w:rFonts w:ascii="Arial" w:hAnsi="Arial" w:cs="Arial"/>
          <w:sz w:val="20"/>
          <w:szCs w:val="20"/>
        </w:rPr>
        <w:t xml:space="preserve"> </w:t>
      </w:r>
      <w:r w:rsidR="0054336D" w:rsidRPr="001C72A4">
        <w:rPr>
          <w:rFonts w:ascii="Arial" w:hAnsi="Arial" w:cs="Arial"/>
          <w:sz w:val="20"/>
          <w:szCs w:val="20"/>
        </w:rPr>
        <w:t>22 to CDD-hum</w:t>
      </w:r>
      <w:r w:rsidR="0054336D" w:rsidRPr="001C72A4" w:rsidDel="00775E89">
        <w:rPr>
          <w:rFonts w:ascii="Arial" w:hAnsi="Arial" w:cs="Arial"/>
          <w:sz w:val="20"/>
          <w:szCs w:val="20"/>
        </w:rPr>
        <w:t xml:space="preserve"> </w:t>
      </w:r>
      <w:r w:rsidR="0054336D" w:rsidRPr="001C72A4">
        <w:rPr>
          <w:rFonts w:ascii="Arial" w:hAnsi="Arial" w:cs="Arial"/>
          <w:sz w:val="20"/>
          <w:szCs w:val="20"/>
        </w:rPr>
        <w:t>28 range, determined through linear regression of data from 2002 to 2023 across different city profiles: (a) Type-I cities, (b) Type-II cities, (c) Type-III cities, and (d) Type-IV cities. The bubble size represents the relative increase per year in CDD-hum. Bar plots (i–ii) represent the corresponding absolute and percentage changes in CDDs across city typologies.</w:t>
      </w:r>
      <w:r w:rsidR="0054336D" w:rsidRPr="001C72A4">
        <w:rPr>
          <w:rFonts w:ascii="Arial" w:hAnsi="Arial" w:cs="Arial"/>
          <w:b/>
          <w:bCs/>
          <w:sz w:val="20"/>
          <w:szCs w:val="20"/>
        </w:rPr>
        <w:t xml:space="preserve"> </w:t>
      </w:r>
    </w:p>
    <w:p w14:paraId="5B7C8B48" w14:textId="1171CDC2" w:rsidR="00653102" w:rsidRPr="00EB0B1D" w:rsidRDefault="003D091C" w:rsidP="003D091C">
      <w:pPr>
        <w:spacing w:before="100" w:beforeAutospacing="1" w:after="100" w:afterAutospacing="1" w:line="240" w:lineRule="auto"/>
        <w:ind w:right="-113"/>
        <w:jc w:val="both"/>
        <w:rPr>
          <w:rFonts w:ascii="Arial" w:hAnsi="Arial" w:cs="Arial"/>
          <w:b/>
          <w:bCs/>
          <w:sz w:val="20"/>
          <w:szCs w:val="20"/>
        </w:rPr>
      </w:pPr>
      <w:r>
        <w:rPr>
          <w:rFonts w:ascii="Arial" w:hAnsi="Arial" w:cs="Arial"/>
          <w:b/>
          <w:bCs/>
          <w:sz w:val="20"/>
          <w:szCs w:val="20"/>
        </w:rPr>
        <w:lastRenderedPageBreak/>
        <w:t>Supplementary Table 4</w:t>
      </w:r>
      <w:r w:rsidRPr="00D679EB">
        <w:rPr>
          <w:rFonts w:ascii="Arial" w:hAnsi="Arial" w:cs="Arial"/>
          <w:b/>
          <w:bCs/>
          <w:sz w:val="20"/>
          <w:szCs w:val="20"/>
        </w:rPr>
        <w:t>.</w:t>
      </w:r>
      <w:r w:rsidR="00912E46" w:rsidRPr="00D236D1">
        <w:rPr>
          <w:rFonts w:ascii="Arial" w:hAnsi="Arial" w:cs="Arial"/>
          <w:sz w:val="20"/>
          <w:szCs w:val="20"/>
        </w:rPr>
        <w:t xml:space="preserve"> The estimated values of CDD-hum across </w:t>
      </w:r>
      <w:r w:rsidR="005633DB">
        <w:rPr>
          <w:rFonts w:ascii="Arial" w:hAnsi="Arial" w:cs="Arial"/>
          <w:sz w:val="20"/>
          <w:szCs w:val="20"/>
        </w:rPr>
        <w:t>representative global</w:t>
      </w:r>
      <w:r w:rsidR="00912E46" w:rsidRPr="00D236D1">
        <w:rPr>
          <w:rFonts w:ascii="Arial" w:hAnsi="Arial" w:cs="Arial"/>
          <w:sz w:val="20"/>
          <w:szCs w:val="20"/>
        </w:rPr>
        <w:t xml:space="preserve"> cities</w:t>
      </w:r>
      <w:r w:rsidR="001C67DB">
        <w:rPr>
          <w:rFonts w:ascii="Arial" w:hAnsi="Arial" w:cs="Arial"/>
          <w:sz w:val="20"/>
          <w:szCs w:val="20"/>
        </w:rPr>
        <w:t xml:space="preserve"> </w:t>
      </w:r>
      <w:r w:rsidR="00973224">
        <w:rPr>
          <w:rFonts w:ascii="Arial" w:hAnsi="Arial" w:cs="Arial"/>
          <w:sz w:val="20"/>
          <w:szCs w:val="20"/>
        </w:rPr>
        <w:t>(excluding</w:t>
      </w:r>
      <w:r w:rsidR="001C67DB">
        <w:rPr>
          <w:rFonts w:ascii="Arial" w:hAnsi="Arial" w:cs="Arial"/>
          <w:sz w:val="20"/>
          <w:szCs w:val="20"/>
        </w:rPr>
        <w:t xml:space="preserve"> Indian cities)</w:t>
      </w:r>
      <w:r w:rsidR="00912E46" w:rsidRPr="00D236D1">
        <w:rPr>
          <w:rFonts w:ascii="Arial" w:hAnsi="Arial" w:cs="Arial"/>
          <w:sz w:val="20"/>
          <w:szCs w:val="20"/>
        </w:rPr>
        <w:t xml:space="preserve"> and their annual trends over the period 2002–2023 are presented as mean ± standard </w:t>
      </w:r>
      <w:r w:rsidR="005633DB">
        <w:rPr>
          <w:rFonts w:ascii="Arial" w:hAnsi="Arial" w:cs="Arial"/>
          <w:sz w:val="20"/>
          <w:szCs w:val="20"/>
        </w:rPr>
        <w:t>error</w:t>
      </w:r>
      <w:r w:rsidR="00912E46" w:rsidRPr="00D236D1">
        <w:rPr>
          <w:rFonts w:ascii="Arial" w:hAnsi="Arial" w:cs="Arial"/>
          <w:sz w:val="20"/>
          <w:szCs w:val="20"/>
        </w:rPr>
        <w:t>. The cities are grouped into inland and coastal categories, aligned with specific climatic zone coherence.</w:t>
      </w:r>
    </w:p>
    <w:p w14:paraId="004D31FA" w14:textId="77777777" w:rsidR="00653102" w:rsidRDefault="00653102" w:rsidP="00524F1F">
      <w:pPr>
        <w:spacing w:after="0" w:line="240" w:lineRule="auto"/>
        <w:jc w:val="both"/>
        <w:rPr>
          <w:rFonts w:ascii="Arial" w:hAnsi="Arial" w:cs="Arial"/>
          <w:b/>
          <w:bCs/>
          <w:noProof/>
          <w:sz w:val="20"/>
          <w:szCs w:val="20"/>
          <w:lang w:eastAsia="en-IN"/>
        </w:rPr>
      </w:pPr>
    </w:p>
    <w:tbl>
      <w:tblPr>
        <w:tblStyle w:val="PlainTable2"/>
        <w:tblW w:w="5000" w:type="pct"/>
        <w:tblLook w:val="04A0" w:firstRow="1" w:lastRow="0" w:firstColumn="1" w:lastColumn="0" w:noHBand="0" w:noVBand="1"/>
      </w:tblPr>
      <w:tblGrid>
        <w:gridCol w:w="1360"/>
        <w:gridCol w:w="1008"/>
        <w:gridCol w:w="995"/>
        <w:gridCol w:w="1122"/>
        <w:gridCol w:w="1210"/>
        <w:gridCol w:w="1112"/>
        <w:gridCol w:w="1112"/>
        <w:gridCol w:w="1107"/>
      </w:tblGrid>
      <w:tr w:rsidR="00912E46" w:rsidRPr="0019253C" w14:paraId="59AFE2EF" w14:textId="77777777" w:rsidTr="0081725D">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754" w:type="pct"/>
            <w:vMerge w:val="restart"/>
            <w:vAlign w:val="center"/>
          </w:tcPr>
          <w:p w14:paraId="394B4690" w14:textId="77777777" w:rsidR="00912E46" w:rsidRPr="0019253C" w:rsidRDefault="00912E46" w:rsidP="0081725D">
            <w:pPr>
              <w:spacing w:after="0" w:line="240" w:lineRule="auto"/>
              <w:jc w:val="center"/>
              <w:rPr>
                <w:rFonts w:ascii="Arial" w:hAnsi="Arial" w:cs="Arial"/>
              </w:rPr>
            </w:pPr>
          </w:p>
          <w:p w14:paraId="17DEC47A" w14:textId="77777777" w:rsidR="00912E46" w:rsidRPr="0019253C" w:rsidRDefault="00912E46" w:rsidP="0081725D">
            <w:pPr>
              <w:spacing w:after="0" w:line="240" w:lineRule="auto"/>
              <w:jc w:val="center"/>
              <w:rPr>
                <w:rFonts w:ascii="Arial" w:hAnsi="Arial" w:cs="Arial"/>
                <w:b w:val="0"/>
                <w:bCs w:val="0"/>
              </w:rPr>
            </w:pPr>
            <w:r w:rsidRPr="0019253C">
              <w:rPr>
                <w:rFonts w:ascii="Arial" w:hAnsi="Arial" w:cs="Arial"/>
              </w:rPr>
              <w:t>Metric</w:t>
            </w:r>
          </w:p>
          <w:p w14:paraId="58243EB5" w14:textId="77777777" w:rsidR="00912E46" w:rsidRPr="0019253C" w:rsidRDefault="00912E46" w:rsidP="0081725D">
            <w:pPr>
              <w:spacing w:after="0" w:line="240" w:lineRule="auto"/>
              <w:jc w:val="center"/>
              <w:rPr>
                <w:rFonts w:ascii="Arial" w:hAnsi="Arial" w:cs="Arial"/>
                <w:b w:val="0"/>
                <w:bCs w:val="0"/>
              </w:rPr>
            </w:pPr>
            <w:r w:rsidRPr="0019253C">
              <w:rPr>
                <w:rFonts w:ascii="Arial" w:hAnsi="Arial" w:cs="Arial"/>
              </w:rPr>
              <w:t>-estimated over time period</w:t>
            </w:r>
          </w:p>
          <w:p w14:paraId="01867D0D" w14:textId="77777777" w:rsidR="00912E46" w:rsidRPr="0019253C" w:rsidRDefault="00912E46" w:rsidP="0081725D">
            <w:pPr>
              <w:spacing w:after="0" w:line="240" w:lineRule="auto"/>
              <w:jc w:val="center"/>
              <w:rPr>
                <w:rFonts w:ascii="Arial" w:hAnsi="Arial" w:cs="Arial"/>
                <w:b w:val="0"/>
                <w:bCs w:val="0"/>
              </w:rPr>
            </w:pPr>
            <w:r w:rsidRPr="0019253C">
              <w:rPr>
                <w:rFonts w:ascii="Arial" w:hAnsi="Arial" w:cs="Arial"/>
              </w:rPr>
              <w:t>2002-2023</w:t>
            </w:r>
          </w:p>
        </w:tc>
        <w:tc>
          <w:tcPr>
            <w:tcW w:w="4246" w:type="pct"/>
            <w:gridSpan w:val="7"/>
            <w:vAlign w:val="center"/>
          </w:tcPr>
          <w:p w14:paraId="1F78004A" w14:textId="3FC50BEB" w:rsidR="00912E46" w:rsidRPr="0019253C" w:rsidRDefault="00912E46" w:rsidP="008172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9253C">
              <w:rPr>
                <w:rFonts w:ascii="Arial" w:hAnsi="Arial" w:cs="Arial"/>
              </w:rPr>
              <w:t>Global Cities</w:t>
            </w:r>
          </w:p>
        </w:tc>
      </w:tr>
      <w:tr w:rsidR="00912E46" w:rsidRPr="0019253C" w14:paraId="5E7BB62C" w14:textId="77777777" w:rsidTr="00817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4" w:type="pct"/>
            <w:vMerge/>
            <w:vAlign w:val="center"/>
          </w:tcPr>
          <w:p w14:paraId="20F910ED" w14:textId="77777777" w:rsidR="00912E46" w:rsidRPr="0019253C" w:rsidRDefault="00912E46" w:rsidP="0081725D">
            <w:pPr>
              <w:spacing w:after="0" w:line="240" w:lineRule="auto"/>
              <w:jc w:val="center"/>
              <w:rPr>
                <w:rFonts w:ascii="Arial" w:hAnsi="Arial" w:cs="Arial"/>
              </w:rPr>
            </w:pPr>
          </w:p>
        </w:tc>
        <w:tc>
          <w:tcPr>
            <w:tcW w:w="1108" w:type="pct"/>
            <w:gridSpan w:val="2"/>
            <w:vAlign w:val="center"/>
          </w:tcPr>
          <w:p w14:paraId="5B6FFE91" w14:textId="615B1822" w:rsidR="00912E46" w:rsidRPr="0019253C" w:rsidRDefault="00912E46"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9253C">
              <w:rPr>
                <w:rFonts w:ascii="Arial" w:hAnsi="Arial" w:cs="Arial"/>
                <w:b/>
                <w:bCs/>
              </w:rPr>
              <w:t>US</w:t>
            </w:r>
          </w:p>
        </w:tc>
        <w:tc>
          <w:tcPr>
            <w:tcW w:w="1293" w:type="pct"/>
            <w:gridSpan w:val="2"/>
            <w:vAlign w:val="center"/>
          </w:tcPr>
          <w:p w14:paraId="18EB1447" w14:textId="19E0249B" w:rsidR="00912E46" w:rsidRPr="0019253C" w:rsidRDefault="00912E46"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9253C">
              <w:rPr>
                <w:rFonts w:ascii="Arial" w:hAnsi="Arial" w:cs="Arial"/>
                <w:b/>
                <w:bCs/>
              </w:rPr>
              <w:t>EUROPE</w:t>
            </w:r>
          </w:p>
        </w:tc>
        <w:tc>
          <w:tcPr>
            <w:tcW w:w="1232" w:type="pct"/>
            <w:gridSpan w:val="2"/>
            <w:vAlign w:val="center"/>
          </w:tcPr>
          <w:p w14:paraId="10A95E36" w14:textId="11E42446" w:rsidR="001C67DB" w:rsidRPr="0019253C" w:rsidRDefault="00912E46"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9253C">
              <w:rPr>
                <w:rFonts w:ascii="Arial" w:hAnsi="Arial" w:cs="Arial"/>
                <w:b/>
                <w:bCs/>
              </w:rPr>
              <w:t>ASIA</w:t>
            </w:r>
          </w:p>
          <w:p w14:paraId="0D759BDF" w14:textId="6179972C" w:rsidR="00912E46" w:rsidRPr="0019253C" w:rsidRDefault="001C67DB"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9253C">
              <w:rPr>
                <w:rFonts w:ascii="Arial" w:hAnsi="Arial" w:cs="Arial"/>
                <w:b/>
                <w:bCs/>
              </w:rPr>
              <w:t>(excluding Indian cities)</w:t>
            </w:r>
          </w:p>
        </w:tc>
        <w:tc>
          <w:tcPr>
            <w:tcW w:w="613" w:type="pct"/>
            <w:vAlign w:val="center"/>
          </w:tcPr>
          <w:p w14:paraId="73E976B3" w14:textId="1705BE5E" w:rsidR="00912E46" w:rsidRPr="0019253C" w:rsidRDefault="00912E46"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9253C">
              <w:rPr>
                <w:rFonts w:ascii="Arial" w:hAnsi="Arial" w:cs="Arial"/>
                <w:b/>
                <w:bCs/>
              </w:rPr>
              <w:t>AUS</w:t>
            </w:r>
          </w:p>
        </w:tc>
      </w:tr>
      <w:tr w:rsidR="00912E46" w:rsidRPr="0019253C" w14:paraId="6DC6F88C" w14:textId="77777777" w:rsidTr="0081725D">
        <w:trPr>
          <w:trHeight w:val="20"/>
        </w:trPr>
        <w:tc>
          <w:tcPr>
            <w:cnfStyle w:val="001000000000" w:firstRow="0" w:lastRow="0" w:firstColumn="1" w:lastColumn="0" w:oddVBand="0" w:evenVBand="0" w:oddHBand="0" w:evenHBand="0" w:firstRowFirstColumn="0" w:firstRowLastColumn="0" w:lastRowFirstColumn="0" w:lastRowLastColumn="0"/>
            <w:tcW w:w="754" w:type="pct"/>
            <w:vMerge/>
            <w:vAlign w:val="center"/>
          </w:tcPr>
          <w:p w14:paraId="5F0E9087" w14:textId="77777777" w:rsidR="00912E46" w:rsidRPr="0019253C" w:rsidRDefault="00912E46" w:rsidP="0081725D">
            <w:pPr>
              <w:spacing w:after="0" w:line="240" w:lineRule="auto"/>
              <w:jc w:val="center"/>
              <w:rPr>
                <w:rFonts w:ascii="Arial" w:hAnsi="Arial" w:cs="Arial"/>
              </w:rPr>
            </w:pPr>
          </w:p>
        </w:tc>
        <w:tc>
          <w:tcPr>
            <w:tcW w:w="559" w:type="pct"/>
            <w:vAlign w:val="center"/>
          </w:tcPr>
          <w:p w14:paraId="33A1CFFD" w14:textId="30C4245D" w:rsidR="00912E46" w:rsidRPr="00D679EB" w:rsidRDefault="00912E4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79EB">
              <w:rPr>
                <w:rFonts w:ascii="Arial" w:hAnsi="Arial" w:cs="Arial"/>
              </w:rPr>
              <w:t>In-land</w:t>
            </w:r>
          </w:p>
        </w:tc>
        <w:tc>
          <w:tcPr>
            <w:tcW w:w="549" w:type="pct"/>
            <w:vAlign w:val="center"/>
          </w:tcPr>
          <w:p w14:paraId="73D8B309" w14:textId="6FC1225C" w:rsidR="00912E46" w:rsidRPr="00D679EB" w:rsidRDefault="00912E4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79EB">
              <w:rPr>
                <w:rFonts w:ascii="Arial" w:hAnsi="Arial" w:cs="Arial"/>
              </w:rPr>
              <w:t>coastal</w:t>
            </w:r>
          </w:p>
        </w:tc>
        <w:tc>
          <w:tcPr>
            <w:tcW w:w="622" w:type="pct"/>
            <w:vAlign w:val="center"/>
          </w:tcPr>
          <w:p w14:paraId="0C784EEC" w14:textId="1589CBF4" w:rsidR="00912E46" w:rsidRPr="00D679EB" w:rsidRDefault="00912E4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79EB">
              <w:rPr>
                <w:rFonts w:ascii="Arial" w:hAnsi="Arial" w:cs="Arial"/>
              </w:rPr>
              <w:t>In-land</w:t>
            </w:r>
          </w:p>
        </w:tc>
        <w:tc>
          <w:tcPr>
            <w:tcW w:w="671" w:type="pct"/>
            <w:vAlign w:val="center"/>
          </w:tcPr>
          <w:p w14:paraId="6A1F8B2D" w14:textId="62620AAF" w:rsidR="00912E46" w:rsidRPr="00D679EB" w:rsidRDefault="00912E4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79EB">
              <w:rPr>
                <w:rFonts w:ascii="Arial" w:hAnsi="Arial" w:cs="Arial"/>
              </w:rPr>
              <w:t>coastal</w:t>
            </w:r>
          </w:p>
        </w:tc>
        <w:tc>
          <w:tcPr>
            <w:tcW w:w="616" w:type="pct"/>
            <w:vAlign w:val="center"/>
          </w:tcPr>
          <w:p w14:paraId="11EA469E" w14:textId="0D797A82" w:rsidR="00912E46" w:rsidRPr="00D679EB" w:rsidRDefault="00912E4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79EB">
              <w:rPr>
                <w:rFonts w:ascii="Arial" w:hAnsi="Arial" w:cs="Arial"/>
              </w:rPr>
              <w:t>In-land</w:t>
            </w:r>
          </w:p>
        </w:tc>
        <w:tc>
          <w:tcPr>
            <w:tcW w:w="616" w:type="pct"/>
            <w:vAlign w:val="center"/>
          </w:tcPr>
          <w:p w14:paraId="30EADBA3" w14:textId="085D92B0" w:rsidR="00912E46" w:rsidRPr="00D679EB" w:rsidRDefault="00912E4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79EB">
              <w:rPr>
                <w:rFonts w:ascii="Arial" w:hAnsi="Arial" w:cs="Arial"/>
              </w:rPr>
              <w:t>coastal</w:t>
            </w:r>
          </w:p>
        </w:tc>
        <w:tc>
          <w:tcPr>
            <w:tcW w:w="613" w:type="pct"/>
            <w:vAlign w:val="center"/>
          </w:tcPr>
          <w:p w14:paraId="2FEB37C3" w14:textId="6D15E0D4" w:rsidR="00912E46" w:rsidRPr="00D679EB" w:rsidRDefault="00912E46"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79EB">
              <w:rPr>
                <w:rFonts w:ascii="Arial" w:hAnsi="Arial" w:cs="Arial"/>
              </w:rPr>
              <w:t>Coastal majorly</w:t>
            </w:r>
          </w:p>
        </w:tc>
      </w:tr>
      <w:tr w:rsidR="00912E46" w:rsidRPr="0019253C" w14:paraId="36103657" w14:textId="77777777" w:rsidTr="0081725D">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754" w:type="pct"/>
            <w:vAlign w:val="center"/>
            <w:hideMark/>
          </w:tcPr>
          <w:p w14:paraId="3D52C408" w14:textId="56DFB6EE" w:rsidR="00912E46" w:rsidRPr="0019253C" w:rsidRDefault="00912E46" w:rsidP="0081725D">
            <w:pPr>
              <w:spacing w:after="0" w:line="240" w:lineRule="auto"/>
              <w:jc w:val="center"/>
              <w:rPr>
                <w:rFonts w:ascii="Arial" w:hAnsi="Arial" w:cs="Arial"/>
                <w:b w:val="0"/>
                <w:bCs w:val="0"/>
              </w:rPr>
            </w:pPr>
            <w:r w:rsidRPr="0019253C">
              <w:rPr>
                <w:rFonts w:ascii="Arial" w:hAnsi="Arial" w:cs="Arial"/>
              </w:rPr>
              <w:t>Average CDD-hum</w:t>
            </w:r>
          </w:p>
        </w:tc>
        <w:tc>
          <w:tcPr>
            <w:tcW w:w="559" w:type="pct"/>
            <w:vAlign w:val="center"/>
          </w:tcPr>
          <w:p w14:paraId="2B372EEA" w14:textId="2CED4AFB" w:rsidR="00912E46" w:rsidRPr="0019253C" w:rsidRDefault="001C67DB"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1451.00 ± 392.26 (Median: 1081.63)</w:t>
            </w:r>
          </w:p>
        </w:tc>
        <w:tc>
          <w:tcPr>
            <w:tcW w:w="549" w:type="pct"/>
            <w:vAlign w:val="center"/>
          </w:tcPr>
          <w:p w14:paraId="7F0F8FD6" w14:textId="26625641" w:rsidR="00912E46" w:rsidRPr="0019253C" w:rsidRDefault="001C67DB"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859.30 ± 258.32 (Median: 450.68)</w:t>
            </w:r>
          </w:p>
        </w:tc>
        <w:tc>
          <w:tcPr>
            <w:tcW w:w="622" w:type="pct"/>
            <w:vAlign w:val="center"/>
          </w:tcPr>
          <w:p w14:paraId="130DF3DD" w14:textId="2593B1A3" w:rsidR="00912E46" w:rsidRPr="0019253C" w:rsidRDefault="001C67DB"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340.89 ± 84.66 (Median: 217.15)</w:t>
            </w:r>
          </w:p>
        </w:tc>
        <w:tc>
          <w:tcPr>
            <w:tcW w:w="671" w:type="pct"/>
            <w:vAlign w:val="center"/>
          </w:tcPr>
          <w:p w14:paraId="19512726" w14:textId="2E1292A2" w:rsidR="00912E46" w:rsidRPr="0019253C" w:rsidRDefault="001C67DB"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595.35 ± 128.11 (Median: 495.54)</w:t>
            </w:r>
          </w:p>
        </w:tc>
        <w:tc>
          <w:tcPr>
            <w:tcW w:w="616" w:type="pct"/>
            <w:vAlign w:val="center"/>
          </w:tcPr>
          <w:p w14:paraId="1EA314C8" w14:textId="19901138" w:rsidR="00912E46" w:rsidRPr="0019253C" w:rsidRDefault="001C67DB"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1927.39 ± 633.93 (Median: 1515.96)</w:t>
            </w:r>
          </w:p>
        </w:tc>
        <w:tc>
          <w:tcPr>
            <w:tcW w:w="616" w:type="pct"/>
            <w:vAlign w:val="center"/>
          </w:tcPr>
          <w:p w14:paraId="5957A9AE" w14:textId="46F145F1" w:rsidR="00912E46" w:rsidRPr="0019253C" w:rsidRDefault="001C67DB"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2067.78 ± 482.06 (Median: 1931.03)</w:t>
            </w:r>
          </w:p>
        </w:tc>
        <w:tc>
          <w:tcPr>
            <w:tcW w:w="613" w:type="pct"/>
            <w:vAlign w:val="center"/>
          </w:tcPr>
          <w:p w14:paraId="13155FFD" w14:textId="31151C06" w:rsidR="00912E46" w:rsidRPr="0019253C" w:rsidRDefault="001C67DB"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726.95 ± 159.77 (Median: 746.20)</w:t>
            </w:r>
          </w:p>
        </w:tc>
      </w:tr>
      <w:tr w:rsidR="00912E46" w:rsidRPr="0019253C" w14:paraId="4C729149" w14:textId="77777777" w:rsidTr="0081725D">
        <w:trPr>
          <w:trHeight w:val="20"/>
        </w:trPr>
        <w:tc>
          <w:tcPr>
            <w:cnfStyle w:val="001000000000" w:firstRow="0" w:lastRow="0" w:firstColumn="1" w:lastColumn="0" w:oddVBand="0" w:evenVBand="0" w:oddHBand="0" w:evenHBand="0" w:firstRowFirstColumn="0" w:firstRowLastColumn="0" w:lastRowFirstColumn="0" w:lastRowLastColumn="0"/>
            <w:tcW w:w="754" w:type="pct"/>
            <w:vAlign w:val="center"/>
            <w:hideMark/>
          </w:tcPr>
          <w:p w14:paraId="33B13738" w14:textId="7236CCD6" w:rsidR="00912E46" w:rsidRPr="0019253C" w:rsidRDefault="00912E46" w:rsidP="0081725D">
            <w:pPr>
              <w:spacing w:after="0" w:line="240" w:lineRule="auto"/>
              <w:jc w:val="center"/>
              <w:rPr>
                <w:rFonts w:ascii="Arial" w:hAnsi="Arial" w:cs="Arial"/>
                <w:b w:val="0"/>
                <w:bCs w:val="0"/>
              </w:rPr>
            </w:pPr>
            <w:r w:rsidRPr="0019253C">
              <w:rPr>
                <w:rFonts w:ascii="Arial" w:hAnsi="Arial" w:cs="Arial"/>
              </w:rPr>
              <w:t>Days &gt; threshold (days/year)</w:t>
            </w:r>
          </w:p>
        </w:tc>
        <w:tc>
          <w:tcPr>
            <w:tcW w:w="559" w:type="pct"/>
            <w:vAlign w:val="center"/>
          </w:tcPr>
          <w:p w14:paraId="30A02B66" w14:textId="3320FDFD" w:rsidR="00912E46" w:rsidRPr="0019253C" w:rsidRDefault="001C67DB"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13</w:t>
            </w:r>
            <w:r w:rsidR="007732F1" w:rsidRPr="00D679EB">
              <w:rPr>
                <w:rFonts w:ascii="Arial" w:hAnsi="Arial" w:cs="Arial"/>
                <w:color w:val="000000"/>
              </w:rPr>
              <w:t>6</w:t>
            </w:r>
            <w:r w:rsidRPr="00D679EB">
              <w:rPr>
                <w:rFonts w:ascii="Arial" w:hAnsi="Arial" w:cs="Arial"/>
                <w:color w:val="000000"/>
              </w:rPr>
              <w:t xml:space="preserve"> ± </w:t>
            </w:r>
            <w:r w:rsidR="007732F1" w:rsidRPr="00D679EB">
              <w:rPr>
                <w:rFonts w:ascii="Arial" w:hAnsi="Arial" w:cs="Arial"/>
                <w:color w:val="000000"/>
              </w:rPr>
              <w:t>4</w:t>
            </w:r>
          </w:p>
        </w:tc>
        <w:tc>
          <w:tcPr>
            <w:tcW w:w="549" w:type="pct"/>
            <w:vAlign w:val="center"/>
          </w:tcPr>
          <w:p w14:paraId="0BADA98C" w14:textId="022AB1A7" w:rsidR="00912E46" w:rsidRPr="0019253C" w:rsidRDefault="001C67DB"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1</w:t>
            </w:r>
            <w:r w:rsidR="007732F1" w:rsidRPr="00D679EB">
              <w:rPr>
                <w:rFonts w:ascii="Arial" w:hAnsi="Arial" w:cs="Arial"/>
                <w:color w:val="000000"/>
              </w:rPr>
              <w:t>20</w:t>
            </w:r>
            <w:r w:rsidRPr="00D679EB">
              <w:rPr>
                <w:rFonts w:ascii="Arial" w:hAnsi="Arial" w:cs="Arial"/>
                <w:color w:val="000000"/>
              </w:rPr>
              <w:t xml:space="preserve"> ± </w:t>
            </w:r>
            <w:r w:rsidR="007732F1" w:rsidRPr="00D679EB">
              <w:rPr>
                <w:rFonts w:ascii="Arial" w:hAnsi="Arial" w:cs="Arial"/>
                <w:color w:val="000000"/>
              </w:rPr>
              <w:t>6</w:t>
            </w:r>
          </w:p>
        </w:tc>
        <w:tc>
          <w:tcPr>
            <w:tcW w:w="622" w:type="pct"/>
            <w:vAlign w:val="center"/>
          </w:tcPr>
          <w:p w14:paraId="204E09E5" w14:textId="3CD09946" w:rsidR="00912E46" w:rsidRPr="0019253C" w:rsidRDefault="001C67DB"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5</w:t>
            </w:r>
            <w:r w:rsidR="007732F1" w:rsidRPr="00D679EB">
              <w:rPr>
                <w:rFonts w:ascii="Arial" w:hAnsi="Arial" w:cs="Arial"/>
                <w:color w:val="000000"/>
              </w:rPr>
              <w:t>8</w:t>
            </w:r>
            <w:r w:rsidRPr="00D679EB">
              <w:rPr>
                <w:rFonts w:ascii="Arial" w:hAnsi="Arial" w:cs="Arial"/>
                <w:color w:val="000000"/>
              </w:rPr>
              <w:t xml:space="preserve"> ± </w:t>
            </w:r>
            <w:r w:rsidR="007732F1" w:rsidRPr="00D679EB">
              <w:rPr>
                <w:rFonts w:ascii="Arial" w:hAnsi="Arial" w:cs="Arial"/>
                <w:color w:val="000000"/>
              </w:rPr>
              <w:t>2</w:t>
            </w:r>
          </w:p>
        </w:tc>
        <w:tc>
          <w:tcPr>
            <w:tcW w:w="671" w:type="pct"/>
            <w:vAlign w:val="center"/>
          </w:tcPr>
          <w:p w14:paraId="6CDE6C35" w14:textId="35A4A3E2" w:rsidR="00912E46" w:rsidRPr="0019253C" w:rsidRDefault="001C67DB"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99 ±</w:t>
            </w:r>
            <w:r w:rsidR="007732F1" w:rsidRPr="00D679EB">
              <w:rPr>
                <w:rFonts w:ascii="Arial" w:hAnsi="Arial" w:cs="Arial"/>
                <w:color w:val="000000"/>
              </w:rPr>
              <w:t>2</w:t>
            </w:r>
          </w:p>
        </w:tc>
        <w:tc>
          <w:tcPr>
            <w:tcW w:w="616" w:type="pct"/>
            <w:vAlign w:val="center"/>
          </w:tcPr>
          <w:p w14:paraId="31759CAB" w14:textId="35504444" w:rsidR="00912E46" w:rsidRPr="0019253C" w:rsidRDefault="001C67DB"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182 ± 8</w:t>
            </w:r>
          </w:p>
        </w:tc>
        <w:tc>
          <w:tcPr>
            <w:tcW w:w="616" w:type="pct"/>
            <w:vAlign w:val="center"/>
          </w:tcPr>
          <w:p w14:paraId="2BEA1B2D" w14:textId="1194BB16" w:rsidR="00912E46" w:rsidRPr="0019253C" w:rsidRDefault="001C67DB"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22</w:t>
            </w:r>
            <w:r w:rsidR="007732F1" w:rsidRPr="00D679EB">
              <w:rPr>
                <w:rFonts w:ascii="Arial" w:hAnsi="Arial" w:cs="Arial"/>
                <w:color w:val="000000"/>
              </w:rPr>
              <w:t>3</w:t>
            </w:r>
            <w:r w:rsidRPr="00D679EB">
              <w:rPr>
                <w:rFonts w:ascii="Arial" w:hAnsi="Arial" w:cs="Arial"/>
                <w:color w:val="000000"/>
              </w:rPr>
              <w:t xml:space="preserve"> ± 8</w:t>
            </w:r>
          </w:p>
        </w:tc>
        <w:tc>
          <w:tcPr>
            <w:tcW w:w="613" w:type="pct"/>
            <w:vAlign w:val="center"/>
          </w:tcPr>
          <w:p w14:paraId="4F2152CE" w14:textId="6185E264" w:rsidR="00912E46" w:rsidRPr="0019253C" w:rsidRDefault="001C67DB"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12</w:t>
            </w:r>
            <w:r w:rsidR="007732F1" w:rsidRPr="00D679EB">
              <w:rPr>
                <w:rFonts w:ascii="Arial" w:hAnsi="Arial" w:cs="Arial"/>
                <w:color w:val="000000"/>
              </w:rPr>
              <w:t>4</w:t>
            </w:r>
            <w:r w:rsidRPr="00D679EB">
              <w:rPr>
                <w:rFonts w:ascii="Arial" w:hAnsi="Arial" w:cs="Arial"/>
                <w:color w:val="000000"/>
              </w:rPr>
              <w:t xml:space="preserve"> ± 5</w:t>
            </w:r>
          </w:p>
        </w:tc>
      </w:tr>
      <w:tr w:rsidR="00912E46" w:rsidRPr="0019253C" w14:paraId="1F0B2516" w14:textId="77777777" w:rsidTr="00817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4" w:type="pct"/>
            <w:vAlign w:val="center"/>
          </w:tcPr>
          <w:p w14:paraId="524050C2" w14:textId="77777777" w:rsidR="00912E46" w:rsidRPr="0019253C" w:rsidRDefault="00912E46" w:rsidP="0081725D">
            <w:pPr>
              <w:spacing w:after="0" w:line="240" w:lineRule="auto"/>
              <w:jc w:val="center"/>
              <w:rPr>
                <w:rFonts w:ascii="Arial" w:hAnsi="Arial" w:cs="Arial"/>
                <w:b w:val="0"/>
                <w:bCs w:val="0"/>
              </w:rPr>
            </w:pPr>
            <w:r w:rsidRPr="0019253C">
              <w:rPr>
                <w:rFonts w:ascii="Arial" w:hAnsi="Arial" w:cs="Arial"/>
              </w:rPr>
              <w:t>CDD-hum overall trend (°C-year) in simple linear regression</w:t>
            </w:r>
          </w:p>
        </w:tc>
        <w:tc>
          <w:tcPr>
            <w:tcW w:w="559" w:type="pct"/>
            <w:vAlign w:val="center"/>
          </w:tcPr>
          <w:p w14:paraId="71D941DF" w14:textId="280F2CDC"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9.87 ± 3.68</w:t>
            </w:r>
          </w:p>
        </w:tc>
        <w:tc>
          <w:tcPr>
            <w:tcW w:w="549" w:type="pct"/>
            <w:vAlign w:val="center"/>
          </w:tcPr>
          <w:p w14:paraId="2448900B" w14:textId="75583154"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8.15 ± 1.75</w:t>
            </w:r>
          </w:p>
        </w:tc>
        <w:tc>
          <w:tcPr>
            <w:tcW w:w="622" w:type="pct"/>
            <w:vAlign w:val="center"/>
          </w:tcPr>
          <w:p w14:paraId="11EDE073" w14:textId="4117D203"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5.65 ± 1.28</w:t>
            </w:r>
          </w:p>
        </w:tc>
        <w:tc>
          <w:tcPr>
            <w:tcW w:w="671" w:type="pct"/>
            <w:vAlign w:val="center"/>
          </w:tcPr>
          <w:p w14:paraId="3802A8E2" w14:textId="77BC180C"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7.16 ± 2.24</w:t>
            </w:r>
          </w:p>
        </w:tc>
        <w:tc>
          <w:tcPr>
            <w:tcW w:w="616" w:type="pct"/>
            <w:vAlign w:val="center"/>
          </w:tcPr>
          <w:p w14:paraId="39607A2A" w14:textId="0F55650D"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10.74 ± 4.52</w:t>
            </w:r>
          </w:p>
        </w:tc>
        <w:tc>
          <w:tcPr>
            <w:tcW w:w="616" w:type="pct"/>
            <w:vAlign w:val="center"/>
          </w:tcPr>
          <w:p w14:paraId="2F637567" w14:textId="5DC60D1B"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14.12 ± 3.73</w:t>
            </w:r>
          </w:p>
        </w:tc>
        <w:tc>
          <w:tcPr>
            <w:tcW w:w="613" w:type="pct"/>
            <w:vAlign w:val="center"/>
          </w:tcPr>
          <w:p w14:paraId="101C0C28" w14:textId="68A6112C"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2.97 ± 0.88</w:t>
            </w:r>
          </w:p>
        </w:tc>
      </w:tr>
      <w:tr w:rsidR="00912E46" w:rsidRPr="0019253C" w14:paraId="3C2B7746" w14:textId="77777777" w:rsidTr="0081725D">
        <w:trPr>
          <w:trHeight w:val="20"/>
        </w:trPr>
        <w:tc>
          <w:tcPr>
            <w:cnfStyle w:val="001000000000" w:firstRow="0" w:lastRow="0" w:firstColumn="1" w:lastColumn="0" w:oddVBand="0" w:evenVBand="0" w:oddHBand="0" w:evenHBand="0" w:firstRowFirstColumn="0" w:firstRowLastColumn="0" w:lastRowFirstColumn="0" w:lastRowLastColumn="0"/>
            <w:tcW w:w="754" w:type="pct"/>
            <w:vAlign w:val="center"/>
          </w:tcPr>
          <w:p w14:paraId="099A8C92" w14:textId="77777777" w:rsidR="00912E46" w:rsidRPr="0019253C" w:rsidRDefault="00912E46" w:rsidP="0081725D">
            <w:pPr>
              <w:spacing w:after="0" w:line="240" w:lineRule="auto"/>
              <w:jc w:val="center"/>
              <w:rPr>
                <w:rFonts w:ascii="Arial" w:hAnsi="Arial" w:cs="Arial"/>
                <w:b w:val="0"/>
                <w:bCs w:val="0"/>
              </w:rPr>
            </w:pPr>
            <w:r w:rsidRPr="0019253C">
              <w:rPr>
                <w:rFonts w:ascii="Arial" w:hAnsi="Arial" w:cs="Arial"/>
              </w:rPr>
              <w:t>CDD-hum overall trend (%) in simple linear regression</w:t>
            </w:r>
          </w:p>
        </w:tc>
        <w:tc>
          <w:tcPr>
            <w:tcW w:w="559" w:type="pct"/>
            <w:vAlign w:val="center"/>
          </w:tcPr>
          <w:p w14:paraId="2FCC9018" w14:textId="66F6FC02" w:rsidR="00912E46" w:rsidRPr="00D679EB" w:rsidRDefault="00D502A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0.59 ± 0.12</w:t>
            </w:r>
          </w:p>
        </w:tc>
        <w:tc>
          <w:tcPr>
            <w:tcW w:w="549" w:type="pct"/>
            <w:vAlign w:val="center"/>
          </w:tcPr>
          <w:p w14:paraId="5B45E40A" w14:textId="741B861E" w:rsidR="00912E46" w:rsidRPr="00D679EB" w:rsidRDefault="00D502A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1.32 ± 0.25</w:t>
            </w:r>
          </w:p>
        </w:tc>
        <w:tc>
          <w:tcPr>
            <w:tcW w:w="622" w:type="pct"/>
            <w:vAlign w:val="center"/>
          </w:tcPr>
          <w:p w14:paraId="7106FDE2" w14:textId="2E5E3C78" w:rsidR="00912E46" w:rsidRPr="00D679EB" w:rsidRDefault="00D502A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2.1 ± 0.28</w:t>
            </w:r>
          </w:p>
        </w:tc>
        <w:tc>
          <w:tcPr>
            <w:tcW w:w="671" w:type="pct"/>
            <w:vAlign w:val="center"/>
          </w:tcPr>
          <w:p w14:paraId="18DD5E28" w14:textId="010F3596" w:rsidR="00912E46" w:rsidRPr="00D679EB" w:rsidRDefault="00D502A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1.18 ± 0.38</w:t>
            </w:r>
          </w:p>
        </w:tc>
        <w:tc>
          <w:tcPr>
            <w:tcW w:w="616" w:type="pct"/>
            <w:vAlign w:val="center"/>
          </w:tcPr>
          <w:p w14:paraId="1388E073" w14:textId="0143B08C" w:rsidR="00912E46" w:rsidRPr="00D679EB" w:rsidRDefault="00D502A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0.51 ± 0.06</w:t>
            </w:r>
          </w:p>
        </w:tc>
        <w:tc>
          <w:tcPr>
            <w:tcW w:w="616" w:type="pct"/>
            <w:vAlign w:val="center"/>
          </w:tcPr>
          <w:p w14:paraId="4F7B1F40" w14:textId="47B01B49" w:rsidR="00912E46" w:rsidRPr="00D679EB" w:rsidRDefault="00D502A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0.75 ± 0.19</w:t>
            </w:r>
          </w:p>
        </w:tc>
        <w:tc>
          <w:tcPr>
            <w:tcW w:w="613" w:type="pct"/>
            <w:vAlign w:val="center"/>
          </w:tcPr>
          <w:p w14:paraId="342CF7CE" w14:textId="681DAE11" w:rsidR="00912E46" w:rsidRPr="00D679EB" w:rsidRDefault="00D502A9" w:rsidP="008172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IN"/>
              </w:rPr>
            </w:pPr>
            <w:r w:rsidRPr="00D679EB">
              <w:rPr>
                <w:rFonts w:ascii="Arial" w:hAnsi="Arial" w:cs="Arial"/>
                <w:color w:val="000000"/>
              </w:rPr>
              <w:t>0.4 ± 0.08</w:t>
            </w:r>
          </w:p>
        </w:tc>
      </w:tr>
      <w:tr w:rsidR="00912E46" w:rsidRPr="0019253C" w14:paraId="45E160A2" w14:textId="77777777" w:rsidTr="00817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4" w:type="pct"/>
            <w:vAlign w:val="center"/>
          </w:tcPr>
          <w:p w14:paraId="6A8B7F4F" w14:textId="77777777" w:rsidR="00912E46" w:rsidRPr="0019253C" w:rsidRDefault="00912E46" w:rsidP="0081725D">
            <w:pPr>
              <w:spacing w:after="0" w:line="240" w:lineRule="auto"/>
              <w:jc w:val="center"/>
              <w:rPr>
                <w:rFonts w:ascii="Arial" w:hAnsi="Arial" w:cs="Arial"/>
                <w:b w:val="0"/>
                <w:bCs w:val="0"/>
              </w:rPr>
            </w:pPr>
            <w:r w:rsidRPr="0019253C">
              <w:rPr>
                <w:rFonts w:ascii="Arial" w:hAnsi="Arial" w:cs="Arial"/>
              </w:rPr>
              <w:t>CDD-hum overall trend (%) in Log-linear regression</w:t>
            </w:r>
          </w:p>
        </w:tc>
        <w:tc>
          <w:tcPr>
            <w:tcW w:w="559" w:type="pct"/>
            <w:vAlign w:val="center"/>
          </w:tcPr>
          <w:p w14:paraId="074BAFB7" w14:textId="7DBDF26D"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0.68 ± 0.11</w:t>
            </w:r>
          </w:p>
        </w:tc>
        <w:tc>
          <w:tcPr>
            <w:tcW w:w="549" w:type="pct"/>
            <w:vAlign w:val="center"/>
          </w:tcPr>
          <w:p w14:paraId="1A4BA3AD" w14:textId="55EB9764"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1.35 ± 0.24</w:t>
            </w:r>
          </w:p>
        </w:tc>
        <w:tc>
          <w:tcPr>
            <w:tcW w:w="622" w:type="pct"/>
            <w:vAlign w:val="center"/>
          </w:tcPr>
          <w:p w14:paraId="50A939A6" w14:textId="37DE38CB"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2.38 ± 0.34</w:t>
            </w:r>
          </w:p>
        </w:tc>
        <w:tc>
          <w:tcPr>
            <w:tcW w:w="671" w:type="pct"/>
            <w:vAlign w:val="center"/>
          </w:tcPr>
          <w:p w14:paraId="5B027F5F" w14:textId="67223686"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1.25 ± 0.39</w:t>
            </w:r>
          </w:p>
        </w:tc>
        <w:tc>
          <w:tcPr>
            <w:tcW w:w="616" w:type="pct"/>
            <w:vAlign w:val="center"/>
          </w:tcPr>
          <w:p w14:paraId="6B4AF6A5" w14:textId="1FE27E0C"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0.49 ± 0.08</w:t>
            </w:r>
          </w:p>
        </w:tc>
        <w:tc>
          <w:tcPr>
            <w:tcW w:w="616" w:type="pct"/>
            <w:vAlign w:val="center"/>
          </w:tcPr>
          <w:p w14:paraId="0ABF5766" w14:textId="49ECE22C"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0.75 ± 0.2</w:t>
            </w:r>
          </w:p>
        </w:tc>
        <w:tc>
          <w:tcPr>
            <w:tcW w:w="613" w:type="pct"/>
            <w:vAlign w:val="center"/>
          </w:tcPr>
          <w:p w14:paraId="3AD62F4D" w14:textId="52C25E4F" w:rsidR="00912E46" w:rsidRPr="00D679EB" w:rsidRDefault="00D502A9" w:rsidP="008172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IN"/>
              </w:rPr>
            </w:pPr>
            <w:r w:rsidRPr="00D679EB">
              <w:rPr>
                <w:rFonts w:ascii="Arial" w:hAnsi="Arial" w:cs="Arial"/>
                <w:color w:val="000000"/>
              </w:rPr>
              <w:t>0.29 ± 0.08</w:t>
            </w:r>
          </w:p>
        </w:tc>
      </w:tr>
    </w:tbl>
    <w:p w14:paraId="24964C81" w14:textId="77777777" w:rsidR="00653102" w:rsidRDefault="00653102" w:rsidP="00524F1F">
      <w:pPr>
        <w:spacing w:after="0" w:line="240" w:lineRule="auto"/>
        <w:jc w:val="both"/>
        <w:rPr>
          <w:rFonts w:ascii="Arial" w:hAnsi="Arial" w:cs="Arial"/>
          <w:b/>
          <w:bCs/>
          <w:noProof/>
          <w:sz w:val="20"/>
          <w:szCs w:val="20"/>
          <w:lang w:eastAsia="en-IN"/>
        </w:rPr>
      </w:pPr>
    </w:p>
    <w:p w14:paraId="17AF4579" w14:textId="77777777" w:rsidR="003B6C8E" w:rsidRDefault="003B6C8E" w:rsidP="0064198A">
      <w:pPr>
        <w:spacing w:after="0" w:line="240" w:lineRule="auto"/>
        <w:jc w:val="both"/>
        <w:rPr>
          <w:rFonts w:ascii="Arial" w:hAnsi="Arial" w:cs="Arial"/>
          <w:b/>
          <w:bCs/>
        </w:rPr>
      </w:pPr>
    </w:p>
    <w:p w14:paraId="2FBAADA3" w14:textId="73034B82" w:rsidR="0064198A" w:rsidRPr="001C73B7" w:rsidRDefault="0064198A" w:rsidP="0064198A">
      <w:pPr>
        <w:spacing w:after="0" w:line="240" w:lineRule="auto"/>
        <w:jc w:val="both"/>
        <w:rPr>
          <w:rFonts w:ascii="Arial" w:hAnsi="Arial" w:cs="Arial"/>
          <w:b/>
          <w:bCs/>
        </w:rPr>
      </w:pPr>
      <w:r w:rsidRPr="001C73B7">
        <w:rPr>
          <w:rFonts w:ascii="Arial" w:hAnsi="Arial" w:cs="Arial"/>
          <w:b/>
          <w:bCs/>
        </w:rPr>
        <w:t>Explanation</w:t>
      </w:r>
      <w:r>
        <w:rPr>
          <w:rFonts w:ascii="Arial" w:hAnsi="Arial" w:cs="Arial"/>
          <w:b/>
          <w:bCs/>
        </w:rPr>
        <w:t xml:space="preserve"> on Figure </w:t>
      </w:r>
      <w:r w:rsidR="00235C94">
        <w:rPr>
          <w:rFonts w:ascii="Arial" w:hAnsi="Arial" w:cs="Arial"/>
          <w:b/>
          <w:bCs/>
        </w:rPr>
        <w:t>9</w:t>
      </w:r>
      <w:r w:rsidRPr="001C73B7">
        <w:rPr>
          <w:rFonts w:ascii="Arial" w:hAnsi="Arial" w:cs="Arial"/>
          <w:b/>
          <w:bCs/>
        </w:rPr>
        <w:t xml:space="preserve">- </w:t>
      </w:r>
    </w:p>
    <w:p w14:paraId="27A423F4" w14:textId="6120A825" w:rsidR="0064198A" w:rsidRPr="009E50A1" w:rsidRDefault="0064198A" w:rsidP="0064198A">
      <w:pPr>
        <w:spacing w:after="0"/>
        <w:jc w:val="both"/>
        <w:rPr>
          <w:sz w:val="20"/>
          <w:szCs w:val="20"/>
        </w:rPr>
      </w:pPr>
      <w:r w:rsidRPr="009E50A1">
        <w:rPr>
          <w:rFonts w:ascii="Arial" w:hAnsi="Arial" w:cs="Arial"/>
          <w:sz w:val="20"/>
          <w:szCs w:val="20"/>
        </w:rPr>
        <w:t>Spatial clustering in subplots show that horizontal expansion alone does not consistently drive increased cooling demand. Cities with balanced horizontal and vertical growth exhibit higher CDD-hum values compared to those with lateral growth but limited vertical intensification. This emphasizes the importance of integrated spatial structuring in cooling energy requirements. Subplots (i-l) highlight a clustering pattern among cities with high population density and vertical expansion, indicating that denser and taller cities require more cooling energy due to their volumetric configuration. However, subplots (m-p) show significant variability in cities with rapid population growth, suggesting that increased density does not always correlate with proportional vertical expansion, reflecting the complexity of urban growth trajectories and their non-linear impact on cooling demand. Subplots (q-t) demonstrate that higher built-ground coverage, especially when coupled with vertical intensification, leads to elevated CDD-hum values. Increased built-ground coverage contributes to greater imperviousness and infilling, exacerbating cooling energy demand. These initial observations lay the groundwork for further examining the complex relationship between urban morphology and cooling energy demand, highlighting the critical role of spatial structuring, vertical densification, and lateral expansion in shaping long-term CDD-hum variations and trends, rather than relying on simple decadal averages.</w:t>
      </w:r>
    </w:p>
    <w:p w14:paraId="07E82501" w14:textId="77777777" w:rsidR="00653102" w:rsidRDefault="00653102" w:rsidP="00524F1F">
      <w:pPr>
        <w:spacing w:after="0" w:line="240" w:lineRule="auto"/>
        <w:jc w:val="both"/>
        <w:rPr>
          <w:rFonts w:ascii="Arial" w:hAnsi="Arial" w:cs="Arial"/>
          <w:b/>
          <w:bCs/>
          <w:noProof/>
          <w:sz w:val="20"/>
          <w:szCs w:val="20"/>
          <w:lang w:eastAsia="en-IN"/>
        </w:rPr>
      </w:pPr>
    </w:p>
    <w:p w14:paraId="3D43AB15" w14:textId="77777777" w:rsidR="007827A2" w:rsidRDefault="007827A2" w:rsidP="00524F1F">
      <w:pPr>
        <w:spacing w:after="0" w:line="240" w:lineRule="auto"/>
        <w:jc w:val="both"/>
        <w:rPr>
          <w:rFonts w:ascii="Arial" w:hAnsi="Arial" w:cs="Arial"/>
          <w:b/>
          <w:bCs/>
          <w:noProof/>
          <w:sz w:val="20"/>
          <w:szCs w:val="20"/>
          <w:lang w:eastAsia="en-IN"/>
        </w:rPr>
      </w:pPr>
    </w:p>
    <w:p w14:paraId="1AE5BB99" w14:textId="7247955F" w:rsidR="00403A52" w:rsidRDefault="00403A52" w:rsidP="003561D4">
      <w:pPr>
        <w:spacing w:after="0" w:line="240" w:lineRule="auto"/>
        <w:jc w:val="center"/>
        <w:rPr>
          <w:rFonts w:ascii="Arial" w:hAnsi="Arial" w:cs="Arial"/>
          <w:b/>
          <w:bCs/>
          <w:noProof/>
          <w:lang w:eastAsia="en-IN"/>
        </w:rPr>
      </w:pPr>
      <w:r>
        <w:rPr>
          <w:rFonts w:ascii="Arial" w:hAnsi="Arial" w:cs="Arial"/>
          <w:b/>
          <w:bCs/>
          <w:noProof/>
          <w:lang w:eastAsia="en-IN"/>
          <w14:ligatures w14:val="standardContextual"/>
        </w:rPr>
        <w:drawing>
          <wp:inline distT="0" distB="0" distL="0" distR="0" wp14:anchorId="3B42B894" wp14:editId="09AFCF20">
            <wp:extent cx="5573926" cy="6962775"/>
            <wp:effectExtent l="0" t="0" r="8255" b="0"/>
            <wp:docPr id="2556576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57672" name="Picture 25565767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86836" cy="6978902"/>
                    </a:xfrm>
                    <a:prstGeom prst="rect">
                      <a:avLst/>
                    </a:prstGeom>
                  </pic:spPr>
                </pic:pic>
              </a:graphicData>
            </a:graphic>
          </wp:inline>
        </w:drawing>
      </w:r>
    </w:p>
    <w:p w14:paraId="508D3798" w14:textId="77777777" w:rsidR="0019253C" w:rsidRDefault="0019253C" w:rsidP="003561D4">
      <w:pPr>
        <w:spacing w:after="0" w:line="240" w:lineRule="auto"/>
        <w:jc w:val="both"/>
        <w:rPr>
          <w:rFonts w:ascii="Arial" w:hAnsi="Arial" w:cs="Arial"/>
          <w:b/>
          <w:bCs/>
          <w:sz w:val="20"/>
          <w:szCs w:val="20"/>
        </w:rPr>
      </w:pPr>
    </w:p>
    <w:p w14:paraId="007A93EF" w14:textId="72123A08" w:rsidR="00403A52" w:rsidRPr="00D679EB" w:rsidRDefault="0026263F" w:rsidP="003561D4">
      <w:pPr>
        <w:spacing w:after="0" w:line="240" w:lineRule="auto"/>
        <w:jc w:val="both"/>
        <w:rPr>
          <w:rFonts w:ascii="Arial" w:hAnsi="Arial" w:cs="Arial"/>
          <w:sz w:val="20"/>
          <w:szCs w:val="20"/>
        </w:rPr>
      </w:pPr>
      <w:r>
        <w:rPr>
          <w:rFonts w:ascii="Arial" w:hAnsi="Arial" w:cs="Arial"/>
          <w:b/>
          <w:bCs/>
          <w:sz w:val="20"/>
          <w:szCs w:val="20"/>
        </w:rPr>
        <w:t>Supplementary Figure 9</w:t>
      </w:r>
      <w:r w:rsidRPr="00DF014C">
        <w:rPr>
          <w:rFonts w:ascii="Arial" w:hAnsi="Arial" w:cs="Arial"/>
          <w:b/>
          <w:bCs/>
          <w:sz w:val="20"/>
          <w:szCs w:val="20"/>
        </w:rPr>
        <w:t>.</w:t>
      </w:r>
      <w:r w:rsidR="00403A52" w:rsidRPr="00D679EB">
        <w:rPr>
          <w:rFonts w:ascii="Arial" w:hAnsi="Arial" w:cs="Arial"/>
          <w:b/>
          <w:bCs/>
          <w:sz w:val="20"/>
          <w:szCs w:val="20"/>
        </w:rPr>
        <w:t xml:space="preserve"> </w:t>
      </w:r>
      <w:r w:rsidR="00403A52" w:rsidRPr="00D679EB">
        <w:rPr>
          <w:rFonts w:ascii="Arial" w:hAnsi="Arial" w:cs="Arial"/>
          <w:sz w:val="20"/>
          <w:szCs w:val="20"/>
        </w:rPr>
        <w:t xml:space="preserve">Distribution of city-scale average CDD-hum values in relation to urban growth characteristics over the past two decades (2002–2023). The bubble size represents the magnitude of average CDD-hum. Subplots (a–d) correspond to typologies I–IV, showing the relationship between city horizontal expanse (x-axis) and vertical extent (y-axis). Subplots (e–h) illustrate annual horizontal growth trends against vertical extent, capturing how lateral expansion influences vertical development across typologies. Subplots (i–l) depict population density versus vertical extent, highlighting clustering patterns among denser cities. Subplots (m–p) examine annual population density growth trends against vertical extent, revealing variations in growth trajectories. Finally, subplots (q–t) explore the role of built-ground coverage in relation to vertical rise, demonstrating how urban compactness and imperviousness affect cooling demand. The visualization underscores the </w:t>
      </w:r>
      <w:r w:rsidR="00403A52" w:rsidRPr="00D679EB">
        <w:rPr>
          <w:rFonts w:ascii="Arial" w:hAnsi="Arial" w:cs="Arial"/>
          <w:sz w:val="20"/>
          <w:szCs w:val="20"/>
        </w:rPr>
        <w:lastRenderedPageBreak/>
        <w:t>interplay between urban form, growth dynamics, and cooling energy demand across diverse city classifications.</w:t>
      </w:r>
    </w:p>
    <w:p w14:paraId="694648ED" w14:textId="7989EC7F" w:rsidR="00B53D3F" w:rsidRDefault="00B53D3F" w:rsidP="003561D4">
      <w:pPr>
        <w:spacing w:after="0" w:line="240" w:lineRule="auto"/>
        <w:jc w:val="both"/>
        <w:rPr>
          <w:rFonts w:ascii="Arial" w:hAnsi="Arial" w:cs="Arial"/>
          <w:b/>
          <w:bCs/>
          <w:noProof/>
          <w:sz w:val="20"/>
          <w:szCs w:val="20"/>
          <w:lang w:eastAsia="en-IN"/>
        </w:rPr>
      </w:pPr>
    </w:p>
    <w:p w14:paraId="761E056A" w14:textId="6FAADBEE" w:rsidR="0064198A" w:rsidRPr="00524F1F" w:rsidRDefault="0064198A" w:rsidP="0064198A">
      <w:pPr>
        <w:spacing w:after="0" w:line="240" w:lineRule="auto"/>
        <w:jc w:val="both"/>
        <w:rPr>
          <w:rFonts w:ascii="Arial" w:hAnsi="Arial" w:cs="Arial"/>
          <w:b/>
          <w:bCs/>
        </w:rPr>
      </w:pPr>
      <w:r w:rsidRPr="00524F1F">
        <w:rPr>
          <w:rFonts w:ascii="Arial" w:hAnsi="Arial" w:cs="Arial"/>
          <w:b/>
          <w:bCs/>
        </w:rPr>
        <w:t>Explanation</w:t>
      </w:r>
      <w:r w:rsidRPr="006B61CD">
        <w:rPr>
          <w:rFonts w:ascii="Arial" w:hAnsi="Arial" w:cs="Arial"/>
          <w:b/>
          <w:bCs/>
        </w:rPr>
        <w:t xml:space="preserve"> </w:t>
      </w:r>
      <w:r>
        <w:rPr>
          <w:rFonts w:ascii="Arial" w:hAnsi="Arial" w:cs="Arial"/>
          <w:b/>
          <w:bCs/>
        </w:rPr>
        <w:t xml:space="preserve">on Figure </w:t>
      </w:r>
      <w:r w:rsidR="00235C94">
        <w:rPr>
          <w:rFonts w:ascii="Arial" w:hAnsi="Arial" w:cs="Arial"/>
          <w:b/>
          <w:bCs/>
        </w:rPr>
        <w:t>10</w:t>
      </w:r>
      <w:r w:rsidRPr="00524F1F">
        <w:rPr>
          <w:rFonts w:ascii="Arial" w:hAnsi="Arial" w:cs="Arial"/>
          <w:b/>
          <w:bCs/>
        </w:rPr>
        <w:t xml:space="preserve">- </w:t>
      </w:r>
    </w:p>
    <w:p w14:paraId="78C2A2EC" w14:textId="77777777" w:rsidR="0064198A" w:rsidRPr="009E50A1" w:rsidRDefault="0064198A" w:rsidP="0064198A">
      <w:pPr>
        <w:spacing w:after="0"/>
        <w:jc w:val="both"/>
        <w:rPr>
          <w:rFonts w:ascii="Arial" w:hAnsi="Arial" w:cs="Arial"/>
          <w:sz w:val="20"/>
          <w:szCs w:val="20"/>
        </w:rPr>
      </w:pPr>
      <w:r w:rsidRPr="009E50A1">
        <w:rPr>
          <w:rFonts w:ascii="Arial" w:hAnsi="Arial" w:cs="Arial"/>
          <w:sz w:val="20"/>
          <w:szCs w:val="20"/>
        </w:rPr>
        <w:t>In subplots, city-volumetric measures are scaled to a 0–1 range based on data range across cities, to facilitate comparison in the scatter plot. The scatter plots highlight that Type-I cities dominate with the largest bubble sizes, scattered across the plot-space, indicating substantial growth in cooling demand driven by both volumetric expanse and rapid vertical expansion. In contrast, Type-II cities exhibit greater variability in horizontal growth rates and cooling trends, reflecting diverse urbanization trajectories characterized by both vertical and horizontal expansion. Smaller bubbles clustering near the origin in Type-III and Type-IV cities correspond to slower cooling demand growth due to less intense volumetric urbanization, where vertical rise is balanced by infilling and population growth (subplots e–h).</w:t>
      </w:r>
      <w:r w:rsidRPr="009E50A1">
        <w:rPr>
          <w:rFonts w:ascii="Segoe UI" w:hAnsi="Segoe UI" w:cs="Segoe UI"/>
          <w:sz w:val="20"/>
          <w:szCs w:val="20"/>
        </w:rPr>
        <w:t xml:space="preserve"> </w:t>
      </w:r>
      <w:r w:rsidRPr="009E50A1">
        <w:rPr>
          <w:rFonts w:ascii="Arial" w:hAnsi="Arial" w:cs="Arial"/>
          <w:sz w:val="20"/>
          <w:szCs w:val="20"/>
        </w:rPr>
        <w:t xml:space="preserve"> Subplots (m–p), which examine annual population density growth versus vertical extent, show significant scatter among cities, particularly in Type-I and Type-II typologies. While some cities with rapid population density growth (range &gt;0.6 annually). exhibit proportional vertical expansion (range &gt;0.6), others deviate from this trend, reflecting the decoupling of density growth and volumetric development. This decoupling highlights the complexity of urbanization trajectories and their non-linear influence on cooling demand trends. In contrast, Type-III and IV cities display smaller bubble sizes with limited vertical expansion (range &lt;0.3) and slower population density growth (range &lt;0.3 annually), indicating more stable urban configurations and lower CDD-hum trend growth. Subplots (q–t), which explore built-ground coverage versus vertical extent, reveal that cities with higher built-ground coverage (range &gt;0.5) paired with significant vertical intensification consistently exhibit elevated CDD-hum trends, as evident in larger bubble sizes for Type-I and II cities. This correlation underscores the role of impervious surfaces in amplifying heat retention and cooling energy demands. Conversely, Type-IV cities, characterized by lower built-ground coverage (normalized range &lt;0.3) and smaller bubble sizes, demonstrate minimal impact on cooling demand trends due to their compact and less urbanized forms. </w:t>
      </w:r>
    </w:p>
    <w:p w14:paraId="4E52669B" w14:textId="77777777" w:rsidR="0064198A" w:rsidRPr="00524F1F" w:rsidRDefault="0064198A" w:rsidP="003561D4">
      <w:pPr>
        <w:spacing w:after="0" w:line="240" w:lineRule="auto"/>
        <w:jc w:val="both"/>
        <w:rPr>
          <w:rFonts w:ascii="Arial" w:hAnsi="Arial" w:cs="Arial"/>
          <w:b/>
          <w:bCs/>
          <w:noProof/>
          <w:color w:val="1F4E79" w:themeColor="accent5" w:themeShade="80"/>
          <w:sz w:val="20"/>
          <w:szCs w:val="20"/>
          <w:lang w:eastAsia="en-IN"/>
        </w:rPr>
      </w:pPr>
    </w:p>
    <w:p w14:paraId="6CD0D475" w14:textId="77777777" w:rsidR="005C46FF" w:rsidRDefault="005C46FF" w:rsidP="003561D4">
      <w:pPr>
        <w:spacing w:after="0" w:line="240" w:lineRule="auto"/>
        <w:jc w:val="center"/>
        <w:rPr>
          <w:rFonts w:ascii="Arial" w:hAnsi="Arial" w:cs="Arial"/>
        </w:rPr>
      </w:pPr>
      <w:r>
        <w:rPr>
          <w:rFonts w:ascii="Arial" w:hAnsi="Arial" w:cs="Arial"/>
          <w:noProof/>
          <w14:ligatures w14:val="standardContextual"/>
        </w:rPr>
        <w:lastRenderedPageBreak/>
        <w:drawing>
          <wp:inline distT="0" distB="0" distL="0" distR="0" wp14:anchorId="43578B31" wp14:editId="7922517B">
            <wp:extent cx="5419725" cy="6786366"/>
            <wp:effectExtent l="0" t="0" r="0" b="0"/>
            <wp:docPr id="59788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80506" name="Picture 59788050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23519" cy="6791117"/>
                    </a:xfrm>
                    <a:prstGeom prst="rect">
                      <a:avLst/>
                    </a:prstGeom>
                  </pic:spPr>
                </pic:pic>
              </a:graphicData>
            </a:graphic>
          </wp:inline>
        </w:drawing>
      </w:r>
    </w:p>
    <w:p w14:paraId="2A9369C6" w14:textId="77777777" w:rsidR="0019253C" w:rsidRDefault="0019253C" w:rsidP="003561D4">
      <w:pPr>
        <w:spacing w:after="0" w:line="240" w:lineRule="auto"/>
        <w:jc w:val="both"/>
        <w:rPr>
          <w:rFonts w:ascii="Arial" w:hAnsi="Arial" w:cs="Arial"/>
          <w:b/>
          <w:bCs/>
          <w:sz w:val="20"/>
          <w:szCs w:val="20"/>
        </w:rPr>
      </w:pPr>
    </w:p>
    <w:p w14:paraId="2C92B504" w14:textId="3F152899" w:rsidR="00B80644" w:rsidRDefault="0026263F" w:rsidP="00524F1F">
      <w:pPr>
        <w:spacing w:after="0" w:line="240" w:lineRule="auto"/>
        <w:jc w:val="both"/>
        <w:rPr>
          <w:rFonts w:ascii="Arial" w:hAnsi="Arial" w:cs="Arial"/>
          <w:sz w:val="20"/>
          <w:szCs w:val="20"/>
        </w:rPr>
      </w:pPr>
      <w:r>
        <w:rPr>
          <w:rFonts w:ascii="Arial" w:hAnsi="Arial" w:cs="Arial"/>
          <w:b/>
          <w:bCs/>
          <w:sz w:val="20"/>
          <w:szCs w:val="20"/>
        </w:rPr>
        <w:t>Supplementary Figure 10</w:t>
      </w:r>
      <w:r w:rsidRPr="00DF014C">
        <w:rPr>
          <w:rFonts w:ascii="Arial" w:hAnsi="Arial" w:cs="Arial"/>
          <w:b/>
          <w:bCs/>
          <w:sz w:val="20"/>
          <w:szCs w:val="20"/>
        </w:rPr>
        <w:t>.</w:t>
      </w:r>
      <w:r w:rsidR="005C46FF" w:rsidRPr="00D679EB">
        <w:rPr>
          <w:rFonts w:ascii="Arial" w:hAnsi="Arial" w:cs="Arial"/>
          <w:b/>
          <w:bCs/>
          <w:sz w:val="20"/>
          <w:szCs w:val="20"/>
        </w:rPr>
        <w:t xml:space="preserve"> </w:t>
      </w:r>
      <w:r w:rsidR="005C46FF" w:rsidRPr="00D679EB">
        <w:rPr>
          <w:rFonts w:ascii="Arial" w:hAnsi="Arial" w:cs="Arial"/>
          <w:sz w:val="20"/>
          <w:szCs w:val="20"/>
        </w:rPr>
        <w:t>Distribution of city-scale annual trends of CDD-hum values in relation to urban growth characteristics over the past two decades (2002–2023). The bubble size represents the magnitude of average CDD-hum. Subplots (a–d) correspond to typologies I–IV, showing the relationship between city horizontal expanse (x-axis) and vertical extent (y-axis). Subplots (e–h) illustrate annual horizontal growth trends against vertical extent, capturing how lateral expansion influences vertical development across typologies. Subplots (i–l) depict population density versus vertical extent, highlighting clustering patterns among denser cities. Subplots (m–p) examine annual population density growth trends against vertical extent, revealing variations in growth trajectories. Finally, subplots (q–t) explore the role of built-ground coverage in relation to vertical rise, demonstrating how urban compactness and imperviousness affect cooling demand. The visualization underscores the interplay between urban form, growth dynamics, and cooling energy demand across diverse city classifications.</w:t>
      </w:r>
    </w:p>
    <w:p w14:paraId="3D034709" w14:textId="77777777" w:rsidR="00A01FCB" w:rsidRDefault="00A01FCB" w:rsidP="00524F1F">
      <w:pPr>
        <w:spacing w:after="0" w:line="240" w:lineRule="auto"/>
        <w:jc w:val="both"/>
        <w:rPr>
          <w:rFonts w:ascii="Arial" w:hAnsi="Arial" w:cs="Arial"/>
          <w:sz w:val="20"/>
          <w:szCs w:val="20"/>
        </w:rPr>
      </w:pPr>
    </w:p>
    <w:p w14:paraId="77F0DC4C" w14:textId="7B0C2882" w:rsidR="002F56E7" w:rsidRDefault="002D6C5D" w:rsidP="003561D4">
      <w:pPr>
        <w:spacing w:after="0" w:line="240" w:lineRule="auto"/>
        <w:jc w:val="both"/>
        <w:rPr>
          <w:rFonts w:ascii="Arial" w:hAnsi="Arial" w:cs="Arial"/>
          <w:sz w:val="20"/>
          <w:szCs w:val="20"/>
        </w:rPr>
      </w:pPr>
      <w:bookmarkStart w:id="5" w:name="_Hlk201675928"/>
      <w:r>
        <w:rPr>
          <w:rFonts w:ascii="Arial" w:hAnsi="Arial" w:cs="Arial"/>
          <w:noProof/>
          <w:sz w:val="20"/>
          <w:szCs w:val="20"/>
          <w14:ligatures w14:val="standardContextual"/>
        </w:rPr>
        <w:lastRenderedPageBreak/>
        <w:drawing>
          <wp:inline distT="0" distB="0" distL="0" distR="0" wp14:anchorId="1C7AF951" wp14:editId="755E03CC">
            <wp:extent cx="5731510" cy="2851150"/>
            <wp:effectExtent l="0" t="0" r="2540" b="6350"/>
            <wp:docPr id="21022860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86024" name="Picture 21022860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851150"/>
                    </a:xfrm>
                    <a:prstGeom prst="rect">
                      <a:avLst/>
                    </a:prstGeom>
                  </pic:spPr>
                </pic:pic>
              </a:graphicData>
            </a:graphic>
          </wp:inline>
        </w:drawing>
      </w:r>
    </w:p>
    <w:p w14:paraId="61E2458C" w14:textId="77777777" w:rsidR="002F56E7" w:rsidRDefault="002F56E7" w:rsidP="003561D4">
      <w:pPr>
        <w:spacing w:after="0" w:line="240" w:lineRule="auto"/>
        <w:jc w:val="both"/>
        <w:rPr>
          <w:rFonts w:ascii="Arial" w:hAnsi="Arial" w:cs="Arial"/>
          <w:sz w:val="20"/>
          <w:szCs w:val="20"/>
        </w:rPr>
      </w:pPr>
    </w:p>
    <w:p w14:paraId="6E912C93" w14:textId="07D7EFA1" w:rsidR="00D83CC0" w:rsidRDefault="0026263F" w:rsidP="00272443">
      <w:pPr>
        <w:spacing w:after="0" w:line="240" w:lineRule="auto"/>
        <w:jc w:val="both"/>
        <w:rPr>
          <w:rFonts w:ascii="Arial" w:hAnsi="Arial" w:cs="Arial"/>
          <w:noProof/>
          <w:sz w:val="20"/>
          <w:szCs w:val="20"/>
          <w14:ligatures w14:val="standardContextual"/>
        </w:rPr>
      </w:pPr>
      <w:bookmarkStart w:id="6" w:name="_Hlk201437662"/>
      <w:r>
        <w:rPr>
          <w:rFonts w:ascii="Arial" w:hAnsi="Arial" w:cs="Arial"/>
          <w:b/>
          <w:bCs/>
          <w:sz w:val="20"/>
          <w:szCs w:val="20"/>
        </w:rPr>
        <w:t>Supplementary Figure 11</w:t>
      </w:r>
      <w:r w:rsidRPr="00DF014C">
        <w:rPr>
          <w:rFonts w:ascii="Arial" w:hAnsi="Arial" w:cs="Arial"/>
          <w:b/>
          <w:bCs/>
          <w:sz w:val="20"/>
          <w:szCs w:val="20"/>
        </w:rPr>
        <w:t>.</w:t>
      </w:r>
      <w:r w:rsidR="00C17C18" w:rsidRPr="00D679EB">
        <w:rPr>
          <w:rFonts w:ascii="Arial" w:hAnsi="Arial" w:cs="Arial"/>
          <w:b/>
          <w:bCs/>
          <w:sz w:val="20"/>
          <w:szCs w:val="20"/>
        </w:rPr>
        <w:t xml:space="preserve"> </w:t>
      </w:r>
      <w:r w:rsidR="00C17C18" w:rsidRPr="00D679EB">
        <w:rPr>
          <w:rFonts w:ascii="Arial" w:hAnsi="Arial" w:cs="Arial"/>
          <w:sz w:val="20"/>
          <w:szCs w:val="20"/>
        </w:rPr>
        <w:t xml:space="preserve">Bivariate </w:t>
      </w:r>
      <w:r w:rsidR="00733415" w:rsidRPr="00D679EB">
        <w:rPr>
          <w:rFonts w:ascii="Arial" w:hAnsi="Arial" w:cs="Arial"/>
          <w:sz w:val="20"/>
          <w:szCs w:val="20"/>
          <w:u w:val="single"/>
        </w:rPr>
        <w:t>Pearson</w:t>
      </w:r>
      <w:r w:rsidR="00272443" w:rsidRPr="00D679EB">
        <w:rPr>
          <w:rFonts w:ascii="Arial" w:hAnsi="Arial" w:cs="Arial"/>
          <w:sz w:val="20"/>
          <w:szCs w:val="20"/>
          <w:u w:val="single"/>
        </w:rPr>
        <w:t>’</w:t>
      </w:r>
      <w:r w:rsidR="00733415" w:rsidRPr="00D679EB">
        <w:rPr>
          <w:rFonts w:ascii="Arial" w:hAnsi="Arial" w:cs="Arial"/>
          <w:sz w:val="20"/>
          <w:szCs w:val="20"/>
          <w:u w:val="single"/>
        </w:rPr>
        <w:t xml:space="preserve">s </w:t>
      </w:r>
      <w:r w:rsidR="00C17C18" w:rsidRPr="00D679EB">
        <w:rPr>
          <w:rFonts w:ascii="Arial" w:hAnsi="Arial" w:cs="Arial"/>
          <w:sz w:val="20"/>
          <w:szCs w:val="20"/>
          <w:u w:val="single"/>
        </w:rPr>
        <w:t xml:space="preserve">correlation </w:t>
      </w:r>
      <w:r w:rsidR="00C17C18" w:rsidRPr="00D679EB">
        <w:rPr>
          <w:rFonts w:ascii="Arial" w:hAnsi="Arial" w:cs="Arial"/>
          <w:sz w:val="20"/>
          <w:szCs w:val="20"/>
        </w:rPr>
        <w:t xml:space="preserve">between urban volumetric indicators and the rising trends of humidity-weighted Cooling Degree Days (CDD-hum) for </w:t>
      </w:r>
      <w:r w:rsidR="00C17C18" w:rsidRPr="00D679EB">
        <w:rPr>
          <w:rFonts w:ascii="Arial" w:hAnsi="Arial" w:cs="Arial"/>
          <w:sz w:val="20"/>
          <w:szCs w:val="20"/>
          <w:u w:val="single"/>
        </w:rPr>
        <w:t>Global cities</w:t>
      </w:r>
      <w:r w:rsidR="00272443" w:rsidRPr="00D679EB">
        <w:rPr>
          <w:rFonts w:ascii="Arial" w:hAnsi="Arial" w:cs="Arial"/>
          <w:sz w:val="20"/>
          <w:szCs w:val="20"/>
          <w:u w:val="single"/>
        </w:rPr>
        <w:t xml:space="preserve"> excluding Indian cities</w:t>
      </w:r>
      <w:r w:rsidR="00C17C18" w:rsidRPr="00D679EB">
        <w:rPr>
          <w:rFonts w:ascii="Arial" w:hAnsi="Arial" w:cs="Arial"/>
          <w:sz w:val="20"/>
          <w:szCs w:val="20"/>
        </w:rPr>
        <w:t>. Panel (a) illustrate correlations with the actual increase in CDD-hum, while Panel (b) reflect correlations with the relative increase in CDD-hum. Positive coefficients to the right of the vertical axis indicate direct associations with rising CDD-hum, whereas negative values indicate inverse relationships. Natural logarithmic transformations were applied to certain indicators to correct for data skewness. The correlation coefficients reflect the proportion of variance in CDD-hum trends explained by each indicator independently. Asterisks (*) denote statistically non-significant correlations (p ≥ 0.1). The color coding represents different city typologies: TYPE-I, TYPE-II, TYPE-III, and TYPE-IV and their relative contribution in correlations.</w:t>
      </w:r>
      <w:r w:rsidR="00C17C18" w:rsidRPr="00D679EB">
        <w:rPr>
          <w:rFonts w:ascii="Arial" w:hAnsi="Arial" w:cs="Arial"/>
          <w:b/>
          <w:bCs/>
          <w:sz w:val="20"/>
          <w:szCs w:val="20"/>
        </w:rPr>
        <w:t xml:space="preserve"> </w:t>
      </w:r>
    </w:p>
    <w:p w14:paraId="0FC60377" w14:textId="5577C36E" w:rsidR="00272443" w:rsidRDefault="00272443" w:rsidP="00D679EB">
      <w:pPr>
        <w:spacing w:after="0" w:line="240" w:lineRule="auto"/>
        <w:jc w:val="center"/>
        <w:rPr>
          <w:rFonts w:ascii="Arial" w:hAnsi="Arial" w:cs="Arial"/>
          <w:sz w:val="20"/>
          <w:szCs w:val="20"/>
        </w:rPr>
      </w:pPr>
      <w:r>
        <w:rPr>
          <w:rFonts w:ascii="Arial" w:hAnsi="Arial" w:cs="Arial"/>
          <w:noProof/>
          <w:sz w:val="20"/>
          <w:szCs w:val="20"/>
          <w14:ligatures w14:val="standardContextual"/>
        </w:rPr>
        <w:drawing>
          <wp:inline distT="0" distB="0" distL="0" distR="0" wp14:anchorId="41FA647B" wp14:editId="18DE1502">
            <wp:extent cx="5465135" cy="2718642"/>
            <wp:effectExtent l="0" t="0" r="2540" b="5715"/>
            <wp:docPr id="1624945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45982" name="Picture 162494598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7887" cy="2724985"/>
                    </a:xfrm>
                    <a:prstGeom prst="rect">
                      <a:avLst/>
                    </a:prstGeom>
                  </pic:spPr>
                </pic:pic>
              </a:graphicData>
            </a:graphic>
          </wp:inline>
        </w:drawing>
      </w:r>
    </w:p>
    <w:p w14:paraId="3A7F93B8" w14:textId="5699CA75" w:rsidR="00272443" w:rsidRDefault="0026263F" w:rsidP="00272443">
      <w:pPr>
        <w:spacing w:after="0" w:line="240" w:lineRule="auto"/>
        <w:jc w:val="both"/>
        <w:rPr>
          <w:rFonts w:ascii="Arial" w:hAnsi="Arial" w:cs="Arial"/>
          <w:sz w:val="20"/>
          <w:szCs w:val="20"/>
        </w:rPr>
      </w:pPr>
      <w:r>
        <w:rPr>
          <w:rFonts w:ascii="Arial" w:hAnsi="Arial" w:cs="Arial"/>
          <w:b/>
          <w:bCs/>
          <w:sz w:val="20"/>
          <w:szCs w:val="20"/>
        </w:rPr>
        <w:t>Supplementary Figure 12</w:t>
      </w:r>
      <w:r w:rsidRPr="00DF014C">
        <w:rPr>
          <w:rFonts w:ascii="Arial" w:hAnsi="Arial" w:cs="Arial"/>
          <w:b/>
          <w:bCs/>
          <w:sz w:val="20"/>
          <w:szCs w:val="20"/>
        </w:rPr>
        <w:t>.</w:t>
      </w:r>
      <w:r w:rsidR="00272443" w:rsidRPr="001B40E0">
        <w:rPr>
          <w:rFonts w:ascii="Arial" w:hAnsi="Arial" w:cs="Arial"/>
          <w:b/>
          <w:bCs/>
          <w:sz w:val="20"/>
          <w:szCs w:val="20"/>
        </w:rPr>
        <w:t xml:space="preserve"> </w:t>
      </w:r>
      <w:r w:rsidR="00272443" w:rsidRPr="001B40E0">
        <w:rPr>
          <w:rFonts w:ascii="Arial" w:hAnsi="Arial" w:cs="Arial"/>
          <w:sz w:val="20"/>
          <w:szCs w:val="20"/>
        </w:rPr>
        <w:t xml:space="preserve">Bivariate </w:t>
      </w:r>
      <w:r w:rsidR="00272443" w:rsidRPr="00D679EB">
        <w:rPr>
          <w:rFonts w:ascii="Arial" w:hAnsi="Arial" w:cs="Arial"/>
          <w:sz w:val="20"/>
          <w:szCs w:val="20"/>
          <w:u w:val="single"/>
        </w:rPr>
        <w:t>Pearson’s correlation</w:t>
      </w:r>
      <w:r w:rsidR="00272443" w:rsidRPr="001B40E0">
        <w:rPr>
          <w:rFonts w:ascii="Arial" w:hAnsi="Arial" w:cs="Arial"/>
          <w:sz w:val="20"/>
          <w:szCs w:val="20"/>
        </w:rPr>
        <w:t xml:space="preserve"> between urban volumetric indicators and the rising trends of humidity-weighted Cooling Degree Days (CDD-hum) for </w:t>
      </w:r>
      <w:r w:rsidR="00272443" w:rsidRPr="001B40E0">
        <w:rPr>
          <w:rFonts w:ascii="Arial" w:hAnsi="Arial" w:cs="Arial"/>
          <w:sz w:val="20"/>
          <w:szCs w:val="20"/>
          <w:u w:val="single"/>
        </w:rPr>
        <w:t>Global cities including Indian cities.</w:t>
      </w:r>
      <w:r w:rsidR="00272443" w:rsidRPr="001B40E0">
        <w:rPr>
          <w:rFonts w:ascii="Arial" w:hAnsi="Arial" w:cs="Arial"/>
          <w:sz w:val="20"/>
          <w:szCs w:val="20"/>
        </w:rPr>
        <w:t xml:space="preserve"> Panel (a) illustrate correlations with the actual increase in CDD-hum, while Panel (b) reflect correlations with the relative increase in CDD-hum. Positive coefficients to the right of the vertical axis indicate direct associations with rising CDD-hum, whereas negative values indicate inverse relationships. Natural logarithmic transformations were applied to certain indicators to correct for data skewness. The correlation coefficients reflect the proportion of variance in CDD-hum trends explained by each indicator independently. Asterisks (*) denote statistically non-significant correlations (p ≥ 0.</w:t>
      </w:r>
      <w:r w:rsidR="00272443">
        <w:rPr>
          <w:rFonts w:ascii="Arial" w:hAnsi="Arial" w:cs="Arial"/>
          <w:sz w:val="20"/>
          <w:szCs w:val="20"/>
        </w:rPr>
        <w:t>2</w:t>
      </w:r>
      <w:r w:rsidR="00272443" w:rsidRPr="001B40E0">
        <w:rPr>
          <w:rFonts w:ascii="Arial" w:hAnsi="Arial" w:cs="Arial"/>
          <w:sz w:val="20"/>
          <w:szCs w:val="20"/>
        </w:rPr>
        <w:t xml:space="preserve">). The </w:t>
      </w:r>
      <w:r w:rsidR="00272443" w:rsidRPr="00014325">
        <w:rPr>
          <w:rFonts w:ascii="Arial" w:hAnsi="Arial" w:cs="Arial"/>
          <w:sz w:val="20"/>
          <w:szCs w:val="20"/>
        </w:rPr>
        <w:t>color</w:t>
      </w:r>
      <w:r w:rsidR="00272443" w:rsidRPr="001B40E0">
        <w:rPr>
          <w:rFonts w:ascii="Arial" w:hAnsi="Arial" w:cs="Arial"/>
          <w:sz w:val="20"/>
          <w:szCs w:val="20"/>
        </w:rPr>
        <w:t xml:space="preserve"> coding represents different city typologies: TYPE-I, TYPE-II, TYPE-III, and TYPE-IV and their relative contribution in correlations.</w:t>
      </w:r>
    </w:p>
    <w:bookmarkEnd w:id="6"/>
    <w:p w14:paraId="363615B8" w14:textId="5BD1E1D5" w:rsidR="004C3E75" w:rsidRPr="00D679EB" w:rsidRDefault="004C3E75" w:rsidP="004C3E75">
      <w:pPr>
        <w:spacing w:after="0" w:line="240" w:lineRule="auto"/>
        <w:jc w:val="both"/>
        <w:rPr>
          <w:rFonts w:ascii="Arial" w:hAnsi="Arial" w:cs="Arial"/>
          <w:b/>
          <w:bCs/>
          <w:sz w:val="20"/>
          <w:szCs w:val="20"/>
        </w:rPr>
      </w:pPr>
    </w:p>
    <w:p w14:paraId="1BF0733F" w14:textId="77777777" w:rsidR="00733415" w:rsidRDefault="00733415" w:rsidP="00D679EB">
      <w:pPr>
        <w:spacing w:after="0" w:line="240" w:lineRule="auto"/>
        <w:jc w:val="center"/>
        <w:rPr>
          <w:rFonts w:ascii="Arial" w:hAnsi="Arial" w:cs="Arial"/>
          <w:sz w:val="20"/>
          <w:szCs w:val="20"/>
        </w:rPr>
      </w:pPr>
      <w:r>
        <w:rPr>
          <w:rFonts w:ascii="Arial" w:hAnsi="Arial" w:cs="Arial"/>
          <w:noProof/>
          <w:sz w:val="20"/>
          <w:szCs w:val="20"/>
          <w14:ligatures w14:val="standardContextual"/>
        </w:rPr>
        <w:lastRenderedPageBreak/>
        <w:drawing>
          <wp:inline distT="0" distB="0" distL="0" distR="0" wp14:anchorId="41D47E85" wp14:editId="06698348">
            <wp:extent cx="5571460" cy="2771533"/>
            <wp:effectExtent l="0" t="0" r="0" b="0"/>
            <wp:docPr id="1873773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73608" name="Picture 187377360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1026" cy="2776292"/>
                    </a:xfrm>
                    <a:prstGeom prst="rect">
                      <a:avLst/>
                    </a:prstGeom>
                  </pic:spPr>
                </pic:pic>
              </a:graphicData>
            </a:graphic>
          </wp:inline>
        </w:drawing>
      </w:r>
    </w:p>
    <w:p w14:paraId="728209EE" w14:textId="77777777" w:rsidR="00733415" w:rsidRDefault="00733415" w:rsidP="00733415">
      <w:pPr>
        <w:spacing w:after="0" w:line="240" w:lineRule="auto"/>
        <w:jc w:val="both"/>
        <w:rPr>
          <w:rFonts w:ascii="Arial" w:hAnsi="Arial" w:cs="Arial"/>
          <w:sz w:val="20"/>
          <w:szCs w:val="20"/>
        </w:rPr>
      </w:pPr>
    </w:p>
    <w:p w14:paraId="01C3EBB2" w14:textId="2D24E598" w:rsidR="00733415" w:rsidRPr="001B40E0" w:rsidRDefault="0026263F" w:rsidP="00733415">
      <w:pPr>
        <w:spacing w:after="0" w:line="240" w:lineRule="auto"/>
        <w:jc w:val="both"/>
        <w:rPr>
          <w:rFonts w:ascii="Arial" w:hAnsi="Arial" w:cs="Arial"/>
          <w:sz w:val="18"/>
          <w:szCs w:val="18"/>
        </w:rPr>
      </w:pPr>
      <w:r>
        <w:rPr>
          <w:rFonts w:ascii="Arial" w:hAnsi="Arial" w:cs="Arial"/>
          <w:b/>
          <w:bCs/>
          <w:sz w:val="20"/>
          <w:szCs w:val="20"/>
        </w:rPr>
        <w:t>Supplementary Figure 13</w:t>
      </w:r>
      <w:r w:rsidRPr="00DF014C">
        <w:rPr>
          <w:rFonts w:ascii="Arial" w:hAnsi="Arial" w:cs="Arial"/>
          <w:b/>
          <w:bCs/>
          <w:sz w:val="20"/>
          <w:szCs w:val="20"/>
        </w:rPr>
        <w:t>.</w:t>
      </w:r>
      <w:r w:rsidR="00733415" w:rsidRPr="001B40E0">
        <w:rPr>
          <w:rFonts w:ascii="Arial" w:hAnsi="Arial" w:cs="Arial"/>
          <w:b/>
          <w:bCs/>
          <w:sz w:val="20"/>
          <w:szCs w:val="20"/>
        </w:rPr>
        <w:t xml:space="preserve"> </w:t>
      </w:r>
      <w:r w:rsidR="00733415" w:rsidRPr="001B40E0">
        <w:rPr>
          <w:rFonts w:ascii="Arial" w:hAnsi="Arial" w:cs="Arial"/>
          <w:sz w:val="20"/>
          <w:szCs w:val="20"/>
        </w:rPr>
        <w:t xml:space="preserve">Bivariate </w:t>
      </w:r>
      <w:r w:rsidR="00733415" w:rsidRPr="00D679EB">
        <w:rPr>
          <w:rFonts w:ascii="Arial" w:hAnsi="Arial" w:cs="Arial"/>
          <w:sz w:val="20"/>
          <w:szCs w:val="20"/>
          <w:u w:val="single"/>
        </w:rPr>
        <w:t>Spearman rank correlation</w:t>
      </w:r>
      <w:r w:rsidR="00733415" w:rsidRPr="001B40E0">
        <w:rPr>
          <w:rFonts w:ascii="Arial" w:hAnsi="Arial" w:cs="Arial"/>
          <w:sz w:val="20"/>
          <w:szCs w:val="20"/>
        </w:rPr>
        <w:t xml:space="preserve"> between urban volumetric indicators and the rising trends of humidity-weighted Cooling Degree Days (CDD-hum) for </w:t>
      </w:r>
      <w:r w:rsidR="00733415" w:rsidRPr="00D679EB">
        <w:rPr>
          <w:rFonts w:ascii="Arial" w:hAnsi="Arial" w:cs="Arial"/>
          <w:sz w:val="20"/>
          <w:szCs w:val="20"/>
          <w:u w:val="single"/>
        </w:rPr>
        <w:t>Indian cities</w:t>
      </w:r>
      <w:r w:rsidR="00733415" w:rsidRPr="001B40E0">
        <w:rPr>
          <w:rFonts w:ascii="Arial" w:hAnsi="Arial" w:cs="Arial"/>
          <w:sz w:val="20"/>
          <w:szCs w:val="20"/>
        </w:rPr>
        <w:t>. Panel (a) illustrate correlations with the actual increase in CDD-hum, while Panel (b) reflect correlations with the relative increase in CDD-hum. Positive coefficients to the right of the vertical axis indicate direct associations with rising CDD-hum, whereas negative values indicate inverse relationships. Natural logarithmic transformations were applied to certain indicators to correct for data skewness. The correlation coefficients reflect the proportion of variance in CDD-hum trends explained by each indicator independently. Asterisks (*) denote statistically non-significant correlations (p ≥ 0.</w:t>
      </w:r>
      <w:r w:rsidR="00733415">
        <w:rPr>
          <w:rFonts w:ascii="Arial" w:hAnsi="Arial" w:cs="Arial"/>
          <w:sz w:val="20"/>
          <w:szCs w:val="20"/>
        </w:rPr>
        <w:t>2</w:t>
      </w:r>
      <w:r w:rsidR="00733415" w:rsidRPr="001B40E0">
        <w:rPr>
          <w:rFonts w:ascii="Arial" w:hAnsi="Arial" w:cs="Arial"/>
          <w:sz w:val="20"/>
          <w:szCs w:val="20"/>
        </w:rPr>
        <w:t xml:space="preserve">). The </w:t>
      </w:r>
      <w:r w:rsidR="00733415" w:rsidRPr="00014325">
        <w:rPr>
          <w:rFonts w:ascii="Arial" w:hAnsi="Arial" w:cs="Arial"/>
          <w:sz w:val="20"/>
          <w:szCs w:val="20"/>
        </w:rPr>
        <w:t>color</w:t>
      </w:r>
      <w:r w:rsidR="00733415" w:rsidRPr="001B40E0">
        <w:rPr>
          <w:rFonts w:ascii="Arial" w:hAnsi="Arial" w:cs="Arial"/>
          <w:sz w:val="20"/>
          <w:szCs w:val="20"/>
        </w:rPr>
        <w:t xml:space="preserve"> coding represents different city typologies: TYPE-I, TYPE-II, TYPE-III, and TYPE-IV and their relative contribution in correlations.</w:t>
      </w:r>
    </w:p>
    <w:p w14:paraId="5435C56F" w14:textId="77777777" w:rsidR="00733415" w:rsidRDefault="00733415" w:rsidP="00733415">
      <w:pPr>
        <w:spacing w:after="0" w:line="240" w:lineRule="auto"/>
        <w:jc w:val="both"/>
        <w:rPr>
          <w:rFonts w:ascii="Arial" w:hAnsi="Arial" w:cs="Arial"/>
          <w:sz w:val="20"/>
          <w:szCs w:val="20"/>
        </w:rPr>
      </w:pPr>
    </w:p>
    <w:p w14:paraId="211C09F6" w14:textId="092E303C" w:rsidR="00733415" w:rsidRDefault="00733415" w:rsidP="00D679EB">
      <w:pPr>
        <w:spacing w:after="0" w:line="240" w:lineRule="auto"/>
        <w:jc w:val="center"/>
        <w:rPr>
          <w:rFonts w:ascii="Arial" w:hAnsi="Arial" w:cs="Arial"/>
          <w:sz w:val="20"/>
          <w:szCs w:val="20"/>
        </w:rPr>
      </w:pPr>
      <w:r>
        <w:rPr>
          <w:rFonts w:ascii="Arial" w:hAnsi="Arial" w:cs="Arial"/>
          <w:noProof/>
          <w:sz w:val="20"/>
          <w:szCs w:val="20"/>
          <w14:ligatures w14:val="standardContextual"/>
        </w:rPr>
        <w:drawing>
          <wp:inline distT="0" distB="0" distL="0" distR="0" wp14:anchorId="63C54604" wp14:editId="2211229C">
            <wp:extent cx="5613991" cy="2792690"/>
            <wp:effectExtent l="0" t="0" r="6350" b="8255"/>
            <wp:docPr id="146919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9232" name="Picture 14691923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9227" cy="2795295"/>
                    </a:xfrm>
                    <a:prstGeom prst="rect">
                      <a:avLst/>
                    </a:prstGeom>
                  </pic:spPr>
                </pic:pic>
              </a:graphicData>
            </a:graphic>
          </wp:inline>
        </w:drawing>
      </w:r>
    </w:p>
    <w:p w14:paraId="491EC9AD" w14:textId="572C737E" w:rsidR="00733415" w:rsidRPr="00DF014C" w:rsidRDefault="0026263F" w:rsidP="00733415">
      <w:pPr>
        <w:spacing w:after="0" w:line="240" w:lineRule="auto"/>
        <w:jc w:val="both"/>
        <w:rPr>
          <w:rFonts w:ascii="Arial" w:hAnsi="Arial" w:cs="Arial"/>
          <w:sz w:val="20"/>
          <w:szCs w:val="20"/>
        </w:rPr>
      </w:pPr>
      <w:r>
        <w:rPr>
          <w:rFonts w:ascii="Arial" w:hAnsi="Arial" w:cs="Arial"/>
          <w:b/>
          <w:bCs/>
          <w:sz w:val="20"/>
          <w:szCs w:val="20"/>
        </w:rPr>
        <w:t>Supplementary Figure 14</w:t>
      </w:r>
      <w:r w:rsidRPr="00DF014C">
        <w:rPr>
          <w:rFonts w:ascii="Arial" w:hAnsi="Arial" w:cs="Arial"/>
          <w:b/>
          <w:bCs/>
          <w:sz w:val="20"/>
          <w:szCs w:val="20"/>
        </w:rPr>
        <w:t>.</w:t>
      </w:r>
      <w:r w:rsidR="00733415" w:rsidRPr="001B40E0">
        <w:rPr>
          <w:rFonts w:ascii="Arial" w:hAnsi="Arial" w:cs="Arial"/>
          <w:b/>
          <w:bCs/>
          <w:sz w:val="20"/>
          <w:szCs w:val="20"/>
        </w:rPr>
        <w:t xml:space="preserve"> </w:t>
      </w:r>
      <w:r w:rsidR="00733415" w:rsidRPr="001B40E0">
        <w:rPr>
          <w:rFonts w:ascii="Arial" w:hAnsi="Arial" w:cs="Arial"/>
          <w:sz w:val="20"/>
          <w:szCs w:val="20"/>
        </w:rPr>
        <w:t xml:space="preserve">Bivariate </w:t>
      </w:r>
      <w:r w:rsidR="00733415" w:rsidRPr="00D679EB">
        <w:rPr>
          <w:rFonts w:ascii="Arial" w:hAnsi="Arial" w:cs="Arial"/>
          <w:sz w:val="20"/>
          <w:szCs w:val="20"/>
          <w:u w:val="single"/>
        </w:rPr>
        <w:t>Spearman rank correlation</w:t>
      </w:r>
      <w:r w:rsidR="00733415" w:rsidRPr="001B40E0">
        <w:rPr>
          <w:rFonts w:ascii="Arial" w:hAnsi="Arial" w:cs="Arial"/>
          <w:sz w:val="20"/>
          <w:szCs w:val="20"/>
        </w:rPr>
        <w:t xml:space="preserve"> between urban volumetric indicators and the rising trends of humidity-weighted Cooling Degree Days (CDD-hum) for </w:t>
      </w:r>
      <w:r w:rsidR="00272443">
        <w:rPr>
          <w:rFonts w:ascii="Arial" w:hAnsi="Arial" w:cs="Arial"/>
          <w:sz w:val="20"/>
          <w:szCs w:val="20"/>
          <w:u w:val="single"/>
        </w:rPr>
        <w:t>Global</w:t>
      </w:r>
      <w:r w:rsidR="00733415" w:rsidRPr="00D679EB">
        <w:rPr>
          <w:rFonts w:ascii="Arial" w:hAnsi="Arial" w:cs="Arial"/>
          <w:sz w:val="20"/>
          <w:szCs w:val="20"/>
          <w:u w:val="single"/>
        </w:rPr>
        <w:t xml:space="preserve"> cities</w:t>
      </w:r>
      <w:r w:rsidR="00733415" w:rsidRPr="001B40E0">
        <w:rPr>
          <w:rFonts w:ascii="Arial" w:hAnsi="Arial" w:cs="Arial"/>
          <w:sz w:val="20"/>
          <w:szCs w:val="20"/>
        </w:rPr>
        <w:t>. Panel (a) illustrate correlations with the actual increase in CDD-hum, while Panel (b) reflect correlations with the relative increase in CDD-hum. Positive coefficients to the right of the vertical axis indicate direct associations with rising CDD-hum, whereas negative values indicate inverse relationships. Natural logarithmic transformations were applied to certain indicators to correct for data skewness. The correlation coefficients reflect the proportion of variance in CDD-hum trends explained by each indicator independently. Asterisks (*) denote statistically non-significant correlations (p ≥ 0.</w:t>
      </w:r>
      <w:r w:rsidR="00733415">
        <w:rPr>
          <w:rFonts w:ascii="Arial" w:hAnsi="Arial" w:cs="Arial"/>
          <w:sz w:val="20"/>
          <w:szCs w:val="20"/>
        </w:rPr>
        <w:t>2</w:t>
      </w:r>
      <w:r w:rsidR="00733415" w:rsidRPr="001B40E0">
        <w:rPr>
          <w:rFonts w:ascii="Arial" w:hAnsi="Arial" w:cs="Arial"/>
          <w:sz w:val="20"/>
          <w:szCs w:val="20"/>
        </w:rPr>
        <w:t xml:space="preserve">). The </w:t>
      </w:r>
      <w:r w:rsidR="00733415" w:rsidRPr="00014325">
        <w:rPr>
          <w:rFonts w:ascii="Arial" w:hAnsi="Arial" w:cs="Arial"/>
          <w:sz w:val="20"/>
          <w:szCs w:val="20"/>
        </w:rPr>
        <w:t>color</w:t>
      </w:r>
      <w:r w:rsidR="00733415" w:rsidRPr="001B40E0">
        <w:rPr>
          <w:rFonts w:ascii="Arial" w:hAnsi="Arial" w:cs="Arial"/>
          <w:sz w:val="20"/>
          <w:szCs w:val="20"/>
        </w:rPr>
        <w:t xml:space="preserve"> coding represents different city typologies: TYPE-I, TYPE-II, TYPE-III, and TYPE-IV and their relative contribution in correlations.</w:t>
      </w:r>
    </w:p>
    <w:p w14:paraId="32874A15" w14:textId="77777777" w:rsidR="002D6C5D" w:rsidRDefault="002D6C5D" w:rsidP="00524F1F">
      <w:pPr>
        <w:spacing w:after="0" w:line="240" w:lineRule="auto"/>
        <w:jc w:val="both"/>
        <w:rPr>
          <w:rFonts w:ascii="Arial" w:hAnsi="Arial" w:cs="Arial"/>
          <w:sz w:val="20"/>
          <w:szCs w:val="20"/>
        </w:rPr>
      </w:pPr>
    </w:p>
    <w:p w14:paraId="4DCB4E9E" w14:textId="517454F0" w:rsidR="002D6C5D" w:rsidRDefault="002D6C5D" w:rsidP="00D679EB">
      <w:pPr>
        <w:spacing w:after="0" w:line="240" w:lineRule="auto"/>
        <w:jc w:val="center"/>
        <w:rPr>
          <w:rFonts w:ascii="Arial" w:hAnsi="Arial" w:cs="Arial"/>
          <w:sz w:val="20"/>
          <w:szCs w:val="20"/>
        </w:rPr>
      </w:pPr>
      <w:r>
        <w:rPr>
          <w:rFonts w:ascii="Arial" w:hAnsi="Arial" w:cs="Arial"/>
          <w:noProof/>
          <w:sz w:val="20"/>
          <w:szCs w:val="20"/>
          <w14:ligatures w14:val="standardContextual"/>
        </w:rPr>
        <w:drawing>
          <wp:inline distT="0" distB="0" distL="0" distR="0" wp14:anchorId="76EB4CC8" wp14:editId="1F3DD495">
            <wp:extent cx="5688419" cy="2829714"/>
            <wp:effectExtent l="0" t="0" r="7620" b="8890"/>
            <wp:docPr id="1660787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87254" name="Picture 166078725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89750" cy="2830376"/>
                    </a:xfrm>
                    <a:prstGeom prst="rect">
                      <a:avLst/>
                    </a:prstGeom>
                  </pic:spPr>
                </pic:pic>
              </a:graphicData>
            </a:graphic>
          </wp:inline>
        </w:drawing>
      </w:r>
    </w:p>
    <w:p w14:paraId="5E3527BF" w14:textId="200582CE" w:rsidR="002D6C5D" w:rsidRDefault="0026263F" w:rsidP="002D6C5D">
      <w:pPr>
        <w:spacing w:after="0" w:line="240" w:lineRule="auto"/>
        <w:jc w:val="both"/>
        <w:rPr>
          <w:rFonts w:ascii="Arial" w:hAnsi="Arial" w:cs="Arial"/>
          <w:sz w:val="20"/>
          <w:szCs w:val="20"/>
        </w:rPr>
      </w:pPr>
      <w:r>
        <w:rPr>
          <w:rFonts w:ascii="Arial" w:hAnsi="Arial" w:cs="Arial"/>
          <w:b/>
          <w:bCs/>
          <w:sz w:val="20"/>
          <w:szCs w:val="20"/>
        </w:rPr>
        <w:t>Supplementary Figure 15</w:t>
      </w:r>
      <w:r w:rsidRPr="00DF014C">
        <w:rPr>
          <w:rFonts w:ascii="Arial" w:hAnsi="Arial" w:cs="Arial"/>
          <w:b/>
          <w:bCs/>
          <w:sz w:val="20"/>
          <w:szCs w:val="20"/>
        </w:rPr>
        <w:t>.</w:t>
      </w:r>
      <w:r w:rsidR="002D6C5D" w:rsidRPr="001B40E0">
        <w:rPr>
          <w:rFonts w:ascii="Arial" w:hAnsi="Arial" w:cs="Arial"/>
          <w:b/>
          <w:bCs/>
          <w:sz w:val="20"/>
          <w:szCs w:val="20"/>
        </w:rPr>
        <w:t xml:space="preserve"> </w:t>
      </w:r>
      <w:r w:rsidR="002D6C5D" w:rsidRPr="001B40E0">
        <w:rPr>
          <w:rFonts w:ascii="Arial" w:hAnsi="Arial" w:cs="Arial"/>
          <w:sz w:val="20"/>
          <w:szCs w:val="20"/>
        </w:rPr>
        <w:t xml:space="preserve">Bivariate </w:t>
      </w:r>
      <w:r w:rsidR="002D6C5D" w:rsidRPr="00D679EB">
        <w:rPr>
          <w:rFonts w:ascii="Arial" w:hAnsi="Arial" w:cs="Arial"/>
          <w:sz w:val="20"/>
          <w:szCs w:val="20"/>
          <w:u w:val="single"/>
        </w:rPr>
        <w:t>Spearman rank correlation</w:t>
      </w:r>
      <w:r w:rsidR="002D6C5D" w:rsidRPr="001B40E0">
        <w:rPr>
          <w:rFonts w:ascii="Arial" w:hAnsi="Arial" w:cs="Arial"/>
          <w:sz w:val="20"/>
          <w:szCs w:val="20"/>
        </w:rPr>
        <w:t xml:space="preserve"> between urban volumetric indicators and the rising trends of humidity-weighted Cooling Degree Days (CDD-hum) for </w:t>
      </w:r>
      <w:r w:rsidR="002D6C5D" w:rsidRPr="00D679EB">
        <w:rPr>
          <w:rFonts w:ascii="Arial" w:hAnsi="Arial" w:cs="Arial"/>
          <w:sz w:val="20"/>
          <w:szCs w:val="20"/>
          <w:u w:val="single"/>
        </w:rPr>
        <w:t>Global cities including Indian cities.</w:t>
      </w:r>
      <w:r w:rsidR="002D6C5D" w:rsidRPr="001B40E0">
        <w:rPr>
          <w:rFonts w:ascii="Arial" w:hAnsi="Arial" w:cs="Arial"/>
          <w:sz w:val="20"/>
          <w:szCs w:val="20"/>
        </w:rPr>
        <w:t xml:space="preserve"> Panel (a) illustrate correlations with the actual increase in CDD-hum, while Panel (b) reflect correlations with the relative increase in CDD-hum. Positive coefficients to the right of the vertical axis indicate direct associations with rising CDD-hum, whereas negative values indicate inverse relationships. Natural logarithmic transformations were applied to certain indicators to correct for data skewness. The correlation coefficients reflect the proportion of variance in CDD-hum trends explained by each indicator independently. Asterisks (*) denote statistically non-significant correlations (p ≥ 0.</w:t>
      </w:r>
      <w:r w:rsidR="002D6C5D">
        <w:rPr>
          <w:rFonts w:ascii="Arial" w:hAnsi="Arial" w:cs="Arial"/>
          <w:sz w:val="20"/>
          <w:szCs w:val="20"/>
        </w:rPr>
        <w:t>2</w:t>
      </w:r>
      <w:r w:rsidR="002D6C5D" w:rsidRPr="001B40E0">
        <w:rPr>
          <w:rFonts w:ascii="Arial" w:hAnsi="Arial" w:cs="Arial"/>
          <w:sz w:val="20"/>
          <w:szCs w:val="20"/>
        </w:rPr>
        <w:t xml:space="preserve">). The </w:t>
      </w:r>
      <w:r w:rsidR="002D6C5D" w:rsidRPr="00014325">
        <w:rPr>
          <w:rFonts w:ascii="Arial" w:hAnsi="Arial" w:cs="Arial"/>
          <w:sz w:val="20"/>
          <w:szCs w:val="20"/>
        </w:rPr>
        <w:t>color</w:t>
      </w:r>
      <w:r w:rsidR="002D6C5D" w:rsidRPr="001B40E0">
        <w:rPr>
          <w:rFonts w:ascii="Arial" w:hAnsi="Arial" w:cs="Arial"/>
          <w:sz w:val="20"/>
          <w:szCs w:val="20"/>
        </w:rPr>
        <w:t xml:space="preserve"> coding represents different city typologies: TYPE-I, TYPE-II, TYPE-III, and TYPE-IV and their relative contribution in correlations.</w:t>
      </w:r>
    </w:p>
    <w:p w14:paraId="2677BF62" w14:textId="77777777" w:rsidR="0026263F" w:rsidRDefault="0026263F" w:rsidP="002D6C5D">
      <w:pPr>
        <w:spacing w:after="0" w:line="240" w:lineRule="auto"/>
        <w:jc w:val="both"/>
        <w:rPr>
          <w:rFonts w:ascii="Arial" w:hAnsi="Arial" w:cs="Arial"/>
          <w:sz w:val="20"/>
          <w:szCs w:val="20"/>
        </w:rPr>
        <w:sectPr w:rsidR="0026263F" w:rsidSect="00C5259B">
          <w:headerReference w:type="default" r:id="rId46"/>
          <w:footerReference w:type="default" r:id="rId47"/>
          <w:pgSz w:w="11906" w:h="16838"/>
          <w:pgMar w:top="1440" w:right="1440" w:bottom="1440" w:left="1440" w:header="708" w:footer="708" w:gutter="0"/>
          <w:cols w:space="708"/>
          <w:docGrid w:linePitch="360"/>
        </w:sectPr>
      </w:pPr>
    </w:p>
    <w:p w14:paraId="324209D0" w14:textId="77777777" w:rsidR="00B6449E" w:rsidRDefault="00B6449E" w:rsidP="002D6C5D">
      <w:pPr>
        <w:spacing w:after="0" w:line="240" w:lineRule="auto"/>
        <w:jc w:val="both"/>
        <w:rPr>
          <w:rFonts w:ascii="Arial" w:hAnsi="Arial" w:cs="Arial"/>
          <w:sz w:val="20"/>
          <w:szCs w:val="20"/>
        </w:rPr>
      </w:pPr>
    </w:p>
    <w:bookmarkEnd w:id="5"/>
    <w:p w14:paraId="595AC074" w14:textId="77777777" w:rsidR="00FD1945" w:rsidRDefault="00FD1945" w:rsidP="00FD1945">
      <w:pPr>
        <w:spacing w:after="0" w:line="240" w:lineRule="auto"/>
        <w:rPr>
          <w:rFonts w:ascii="Arial" w:hAnsi="Arial" w:cs="Arial"/>
        </w:rPr>
      </w:pPr>
      <w:r>
        <w:rPr>
          <w:rFonts w:ascii="Arial" w:hAnsi="Arial" w:cs="Arial"/>
          <w:noProof/>
          <w14:ligatures w14:val="standardContextual"/>
        </w:rPr>
        <w:drawing>
          <wp:inline distT="0" distB="0" distL="0" distR="0" wp14:anchorId="0CB164D4" wp14:editId="0C75BDE2">
            <wp:extent cx="5731510" cy="2851150"/>
            <wp:effectExtent l="0" t="0" r="2540" b="6350"/>
            <wp:docPr id="6823744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74425" name="Picture 68237442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2851150"/>
                    </a:xfrm>
                    <a:prstGeom prst="rect">
                      <a:avLst/>
                    </a:prstGeom>
                  </pic:spPr>
                </pic:pic>
              </a:graphicData>
            </a:graphic>
          </wp:inline>
        </w:drawing>
      </w:r>
    </w:p>
    <w:p w14:paraId="0995FB62" w14:textId="77777777" w:rsidR="00FD1945" w:rsidRDefault="00FD1945" w:rsidP="00FD1945">
      <w:pPr>
        <w:spacing w:after="0" w:line="240" w:lineRule="auto"/>
        <w:jc w:val="both"/>
        <w:rPr>
          <w:rFonts w:ascii="Arial" w:hAnsi="Arial" w:cs="Arial"/>
          <w:b/>
          <w:bCs/>
        </w:rPr>
      </w:pPr>
      <w:r>
        <w:rPr>
          <w:rFonts w:ascii="Arial" w:hAnsi="Arial" w:cs="Arial"/>
          <w:b/>
          <w:bCs/>
          <w:noProof/>
          <w14:ligatures w14:val="standardContextual"/>
        </w:rPr>
        <w:drawing>
          <wp:inline distT="0" distB="0" distL="0" distR="0" wp14:anchorId="1C0248AB" wp14:editId="1EAA7920">
            <wp:extent cx="5731510" cy="2851150"/>
            <wp:effectExtent l="0" t="0" r="2540" b="6350"/>
            <wp:docPr id="1941109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0962" name="Picture 19411096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2851150"/>
                    </a:xfrm>
                    <a:prstGeom prst="rect">
                      <a:avLst/>
                    </a:prstGeom>
                  </pic:spPr>
                </pic:pic>
              </a:graphicData>
            </a:graphic>
          </wp:inline>
        </w:drawing>
      </w:r>
    </w:p>
    <w:p w14:paraId="59D99EE4" w14:textId="4471286F" w:rsidR="00FD1945" w:rsidRDefault="0026263F" w:rsidP="00FD1945">
      <w:pPr>
        <w:spacing w:after="0" w:line="240" w:lineRule="auto"/>
        <w:jc w:val="both"/>
        <w:rPr>
          <w:rFonts w:ascii="Arial" w:hAnsi="Arial" w:cs="Arial"/>
          <w:sz w:val="20"/>
          <w:szCs w:val="20"/>
        </w:rPr>
      </w:pPr>
      <w:r>
        <w:rPr>
          <w:rFonts w:ascii="Arial" w:hAnsi="Arial" w:cs="Arial"/>
          <w:b/>
          <w:bCs/>
          <w:sz w:val="20"/>
          <w:szCs w:val="20"/>
        </w:rPr>
        <w:t>Supplementary Figure 16</w:t>
      </w:r>
      <w:r w:rsidRPr="00DF014C">
        <w:rPr>
          <w:rFonts w:ascii="Arial" w:hAnsi="Arial" w:cs="Arial"/>
          <w:b/>
          <w:bCs/>
          <w:sz w:val="20"/>
          <w:szCs w:val="20"/>
        </w:rPr>
        <w:t>.</w:t>
      </w:r>
      <w:r w:rsidR="00FD1945" w:rsidRPr="00D679EB">
        <w:rPr>
          <w:rFonts w:ascii="Arial" w:hAnsi="Arial" w:cs="Arial"/>
          <w:b/>
          <w:bCs/>
          <w:sz w:val="20"/>
          <w:szCs w:val="20"/>
        </w:rPr>
        <w:t xml:space="preserve"> </w:t>
      </w:r>
      <w:r w:rsidR="00FD1945" w:rsidRPr="00D679EB">
        <w:rPr>
          <w:rFonts w:ascii="Arial" w:hAnsi="Arial" w:cs="Arial"/>
          <w:sz w:val="20"/>
          <w:szCs w:val="20"/>
        </w:rPr>
        <w:t xml:space="preserve">Bivariate correlation between urban volumetric indicators and the 20-year average (henceforth as avg.) of humidity-weighted Cooling Degree Days (CDD-hum) for global cities under study. Panel (a) illustrate Person’s correlations (linear) with the avg. CDD-hum of Indian cities, while Panel (b) illustrate Spearman rank correlations (non-linear) with the avg. CDD-hum of Indian cities, (c) illustrate Person’s correlations (linear) with the avg. CDD-hum of Global cities, while Panel (d) illustrate Spearman rank correlations (non-linear) with the avg. CDD-hum of Global cities. Positive coefficients to the right of the vertical axis indicate direct associations with rising CDD-hum, whereas negative values indicate inverse relationships. Natural logarithmic transformations were applied to certain indicators to correct for data skewness. The correlation coefficients reflect the proportion of variance in CDD-hum trends explained by each indicator independently. Asterisks (*) denote statistically non-significant correlations (p ≥ 0.1). The </w:t>
      </w:r>
      <w:r w:rsidR="00FD1945" w:rsidRPr="00FD1945">
        <w:rPr>
          <w:rFonts w:ascii="Arial" w:hAnsi="Arial" w:cs="Arial"/>
          <w:sz w:val="20"/>
          <w:szCs w:val="20"/>
        </w:rPr>
        <w:t>color</w:t>
      </w:r>
      <w:r w:rsidR="00FD1945" w:rsidRPr="00D679EB">
        <w:rPr>
          <w:rFonts w:ascii="Arial" w:hAnsi="Arial" w:cs="Arial"/>
          <w:sz w:val="20"/>
          <w:szCs w:val="20"/>
        </w:rPr>
        <w:t xml:space="preserve"> coding represents different city typologies: TYPE-I, TYPE-II, TYPE-III, and TYPE-IV and their relative contribution in correlations (significance level p &lt; 0.1).</w:t>
      </w:r>
    </w:p>
    <w:p w14:paraId="2401CDAB" w14:textId="77777777" w:rsidR="000827EF" w:rsidRDefault="000827EF" w:rsidP="00FD1945">
      <w:pPr>
        <w:spacing w:after="0" w:line="240" w:lineRule="auto"/>
        <w:jc w:val="both"/>
        <w:rPr>
          <w:rFonts w:ascii="Arial" w:hAnsi="Arial" w:cs="Arial"/>
          <w:b/>
          <w:bCs/>
          <w:sz w:val="20"/>
          <w:szCs w:val="20"/>
        </w:rPr>
        <w:sectPr w:rsidR="000827EF" w:rsidSect="00C5259B">
          <w:pgSz w:w="11906" w:h="16838"/>
          <w:pgMar w:top="1440" w:right="1440" w:bottom="1440" w:left="1440" w:header="708" w:footer="708" w:gutter="0"/>
          <w:cols w:space="708"/>
          <w:docGrid w:linePitch="360"/>
        </w:sectPr>
      </w:pPr>
    </w:p>
    <w:p w14:paraId="548240EE" w14:textId="77777777" w:rsidR="000827EF" w:rsidRPr="00D679EB" w:rsidRDefault="000827EF" w:rsidP="00FD1945">
      <w:pPr>
        <w:spacing w:after="0" w:line="240" w:lineRule="auto"/>
        <w:jc w:val="both"/>
        <w:rPr>
          <w:rFonts w:ascii="Arial" w:hAnsi="Arial" w:cs="Arial"/>
          <w:b/>
          <w:bCs/>
          <w:sz w:val="20"/>
          <w:szCs w:val="20"/>
        </w:rPr>
      </w:pPr>
    </w:p>
    <w:p w14:paraId="6BC6B746" w14:textId="77777777" w:rsidR="00C261AF" w:rsidRDefault="00C261AF" w:rsidP="00C261AF">
      <w:pPr>
        <w:spacing w:after="0" w:line="240" w:lineRule="auto"/>
        <w:jc w:val="both"/>
        <w:rPr>
          <w:rFonts w:ascii="Arial" w:hAnsi="Arial" w:cs="Arial"/>
          <w:b/>
          <w:bCs/>
        </w:rPr>
      </w:pPr>
      <w:r>
        <w:rPr>
          <w:rFonts w:ascii="Arial" w:hAnsi="Arial" w:cs="Arial"/>
          <w:b/>
          <w:bCs/>
          <w:noProof/>
          <w14:ligatures w14:val="standardContextual"/>
        </w:rPr>
        <w:drawing>
          <wp:inline distT="0" distB="0" distL="0" distR="0" wp14:anchorId="6CB301E4" wp14:editId="2A5C78D2">
            <wp:extent cx="5731510" cy="2647315"/>
            <wp:effectExtent l="0" t="0" r="2540" b="635"/>
            <wp:docPr id="96911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1607" name="Picture 9691160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4171DFD5" w14:textId="77777777" w:rsidR="00C261AF" w:rsidRDefault="00C261AF" w:rsidP="00C261AF">
      <w:pPr>
        <w:spacing w:after="0" w:line="240" w:lineRule="auto"/>
        <w:jc w:val="both"/>
        <w:rPr>
          <w:rFonts w:ascii="Arial" w:hAnsi="Arial" w:cs="Arial"/>
          <w:b/>
          <w:bCs/>
        </w:rPr>
      </w:pPr>
      <w:r>
        <w:rPr>
          <w:rFonts w:ascii="Arial" w:hAnsi="Arial" w:cs="Arial"/>
          <w:b/>
          <w:bCs/>
          <w:noProof/>
          <w14:ligatures w14:val="standardContextual"/>
        </w:rPr>
        <w:drawing>
          <wp:inline distT="0" distB="0" distL="0" distR="0" wp14:anchorId="3893E6D5" wp14:editId="1D0B4B5A">
            <wp:extent cx="5731510" cy="2647315"/>
            <wp:effectExtent l="0" t="0" r="2540" b="635"/>
            <wp:docPr id="437770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70063" name="Picture 43777006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48A4BB54" w14:textId="77777777" w:rsidR="00C261AF" w:rsidRDefault="00C261AF" w:rsidP="00C261AF">
      <w:pPr>
        <w:spacing w:after="0" w:line="240" w:lineRule="auto"/>
        <w:jc w:val="both"/>
        <w:rPr>
          <w:rFonts w:ascii="Arial" w:hAnsi="Arial" w:cs="Arial"/>
          <w:b/>
          <w:bCs/>
        </w:rPr>
      </w:pPr>
    </w:p>
    <w:p w14:paraId="72B37442" w14:textId="77777777" w:rsidR="00C261AF" w:rsidRDefault="00C261AF" w:rsidP="00C261AF">
      <w:pPr>
        <w:spacing w:after="0" w:line="240" w:lineRule="auto"/>
        <w:jc w:val="both"/>
        <w:rPr>
          <w:rFonts w:ascii="Arial" w:hAnsi="Arial" w:cs="Arial"/>
          <w:b/>
          <w:bCs/>
        </w:rPr>
      </w:pPr>
    </w:p>
    <w:p w14:paraId="697FF3A5" w14:textId="4E405F6E" w:rsidR="00C261AF" w:rsidRPr="00D679EB" w:rsidRDefault="00D22767" w:rsidP="00C261AF">
      <w:pPr>
        <w:spacing w:after="0" w:line="240" w:lineRule="auto"/>
        <w:jc w:val="both"/>
        <w:rPr>
          <w:rFonts w:ascii="Arial" w:hAnsi="Arial" w:cs="Arial"/>
          <w:sz w:val="20"/>
          <w:szCs w:val="20"/>
        </w:rPr>
      </w:pPr>
      <w:r>
        <w:rPr>
          <w:rFonts w:ascii="Arial" w:hAnsi="Arial" w:cs="Arial"/>
          <w:b/>
          <w:bCs/>
          <w:sz w:val="20"/>
          <w:szCs w:val="20"/>
        </w:rPr>
        <w:t>Supplementary Figure 17</w:t>
      </w:r>
      <w:r w:rsidR="00C261AF" w:rsidRPr="00D679EB">
        <w:rPr>
          <w:rFonts w:ascii="Arial" w:hAnsi="Arial" w:cs="Arial"/>
          <w:b/>
          <w:bCs/>
          <w:sz w:val="20"/>
          <w:szCs w:val="20"/>
        </w:rPr>
        <w:t xml:space="preserve">. </w:t>
      </w:r>
      <w:r w:rsidR="00C261AF" w:rsidRPr="00D679EB">
        <w:rPr>
          <w:rFonts w:ascii="Arial" w:hAnsi="Arial" w:cs="Arial"/>
          <w:sz w:val="20"/>
          <w:szCs w:val="20"/>
        </w:rPr>
        <w:t>Semi partial correlation between urban volumetric indicators and the avg. CDD-Hum for Indian cities as well as global cities under study. Panels (a-d) illustrate the semi-partial correlation between avg. CDD-hum and other indicators of urbanization, controlling for city area and population density. Panel (a) illustrate Person’s correlations based semi-partial (linear) correlation with the avg. CDD-hum of Indian cities, while Panel (b) illustrate Spearman rank correlations based semi-partial (non-linear) correlation with the avg. CDD-hum of Indian cities, (c) illustrate Person’s correlations based semi-partial (linear) correlation with the avg. CDD-hum of Global cities, while Panel (d) illustrate Spearman rank correlations based semi-partial (non-linear) correlation with the avg. CDD-hum of Global cities. The distance from the vertical axis represents the correlation coefficient of the semi-partial correlation, while the distance from the horizontal axis indicates the correlation coefficient of the bivariate (uncontrolled) correlation (significance level p &lt; 0.1).</w:t>
      </w:r>
    </w:p>
    <w:p w14:paraId="2ADDBE95" w14:textId="77777777" w:rsidR="00AE0C29" w:rsidRDefault="00AE0C29" w:rsidP="002D6C5D">
      <w:pPr>
        <w:spacing w:after="0" w:line="240" w:lineRule="auto"/>
        <w:jc w:val="both"/>
        <w:rPr>
          <w:rFonts w:ascii="Arial" w:hAnsi="Arial" w:cs="Arial"/>
          <w:b/>
          <w:bCs/>
          <w:color w:val="EE0000"/>
          <w:sz w:val="20"/>
          <w:szCs w:val="20"/>
        </w:rPr>
      </w:pPr>
    </w:p>
    <w:p w14:paraId="4FDFAC92" w14:textId="77777777" w:rsidR="00AE0C29" w:rsidRDefault="00AE0C29" w:rsidP="002D6C5D">
      <w:pPr>
        <w:spacing w:after="0" w:line="240" w:lineRule="auto"/>
        <w:jc w:val="both"/>
        <w:rPr>
          <w:rFonts w:ascii="Arial" w:hAnsi="Arial" w:cs="Arial"/>
          <w:b/>
          <w:bCs/>
          <w:color w:val="EE0000"/>
          <w:sz w:val="20"/>
          <w:szCs w:val="20"/>
        </w:rPr>
      </w:pPr>
    </w:p>
    <w:p w14:paraId="373B4E6B" w14:textId="77777777" w:rsidR="00AE0C29" w:rsidRDefault="00AE0C29" w:rsidP="002D6C5D">
      <w:pPr>
        <w:spacing w:after="0" w:line="240" w:lineRule="auto"/>
        <w:jc w:val="both"/>
        <w:rPr>
          <w:rFonts w:ascii="Arial" w:hAnsi="Arial" w:cs="Arial"/>
          <w:b/>
          <w:bCs/>
          <w:color w:val="EE0000"/>
          <w:sz w:val="20"/>
          <w:szCs w:val="20"/>
        </w:rPr>
      </w:pPr>
    </w:p>
    <w:p w14:paraId="4E1DBB01" w14:textId="77777777" w:rsidR="00AE0C29" w:rsidRDefault="00AE0C29" w:rsidP="002D6C5D">
      <w:pPr>
        <w:spacing w:after="0" w:line="240" w:lineRule="auto"/>
        <w:jc w:val="both"/>
        <w:rPr>
          <w:rFonts w:ascii="Arial" w:hAnsi="Arial" w:cs="Arial"/>
          <w:b/>
          <w:bCs/>
          <w:color w:val="EE0000"/>
          <w:sz w:val="20"/>
          <w:szCs w:val="20"/>
        </w:rPr>
      </w:pPr>
    </w:p>
    <w:p w14:paraId="1B70BE04" w14:textId="56E1B533" w:rsidR="00B80644" w:rsidRPr="007B6A3D" w:rsidRDefault="00B80644" w:rsidP="00B80644">
      <w:pPr>
        <w:spacing w:after="0" w:line="240" w:lineRule="auto"/>
        <w:jc w:val="both"/>
        <w:rPr>
          <w:rFonts w:ascii="Arial" w:hAnsi="Arial" w:cs="Arial"/>
        </w:rPr>
      </w:pPr>
      <w:bookmarkStart w:id="7" w:name="_Hlk190621549"/>
      <w:r>
        <w:rPr>
          <w:rFonts w:ascii="Arial" w:hAnsi="Arial" w:cs="Arial"/>
          <w:noProof/>
          <w14:ligatures w14:val="standardContextual"/>
        </w:rPr>
        <w:lastRenderedPageBreak/>
        <w:drawing>
          <wp:inline distT="0" distB="0" distL="0" distR="0" wp14:anchorId="2BF1467C" wp14:editId="5BDC19D3">
            <wp:extent cx="5731510" cy="4079875"/>
            <wp:effectExtent l="0" t="0" r="2540" b="0"/>
            <wp:docPr id="2129391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91211" name="Picture 21293912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4079875"/>
                    </a:xfrm>
                    <a:prstGeom prst="rect">
                      <a:avLst/>
                    </a:prstGeom>
                  </pic:spPr>
                </pic:pic>
              </a:graphicData>
            </a:graphic>
          </wp:inline>
        </w:drawing>
      </w:r>
    </w:p>
    <w:p w14:paraId="0B487F66" w14:textId="77777777" w:rsidR="00A01FCB" w:rsidRDefault="00A01FCB" w:rsidP="00B80644">
      <w:pPr>
        <w:spacing w:after="0" w:line="240" w:lineRule="auto"/>
        <w:jc w:val="both"/>
        <w:rPr>
          <w:rFonts w:ascii="Arial" w:hAnsi="Arial" w:cs="Arial"/>
        </w:rPr>
      </w:pPr>
    </w:p>
    <w:p w14:paraId="73181A9F" w14:textId="57B3769D" w:rsidR="00B80644" w:rsidRPr="00D679EB" w:rsidRDefault="00D22767" w:rsidP="00B80644">
      <w:pPr>
        <w:spacing w:after="0" w:line="240" w:lineRule="auto"/>
        <w:jc w:val="both"/>
        <w:rPr>
          <w:rFonts w:ascii="Arial" w:hAnsi="Arial" w:cs="Arial"/>
          <w:sz w:val="20"/>
          <w:szCs w:val="20"/>
        </w:rPr>
      </w:pPr>
      <w:r>
        <w:rPr>
          <w:rFonts w:ascii="Arial" w:hAnsi="Arial" w:cs="Arial"/>
          <w:b/>
          <w:bCs/>
          <w:sz w:val="20"/>
          <w:szCs w:val="20"/>
        </w:rPr>
        <w:t>Supplementary Figure 18</w:t>
      </w:r>
      <w:r w:rsidR="00B80644" w:rsidRPr="00D679EB">
        <w:rPr>
          <w:rFonts w:ascii="Arial" w:hAnsi="Arial" w:cs="Arial"/>
          <w:b/>
          <w:bCs/>
          <w:sz w:val="20"/>
          <w:szCs w:val="20"/>
        </w:rPr>
        <w:t xml:space="preserve">. </w:t>
      </w:r>
      <w:r w:rsidR="00B80644" w:rsidRPr="00D679EB">
        <w:rPr>
          <w:rFonts w:ascii="Arial" w:hAnsi="Arial" w:cs="Arial"/>
          <w:sz w:val="20"/>
          <w:szCs w:val="20"/>
        </w:rPr>
        <w:t>Correlation analyses of rising trends of CDD-hum with indicators of built-urbanization.</w:t>
      </w:r>
      <w:r w:rsidR="00B80644" w:rsidRPr="00D679EB">
        <w:rPr>
          <w:rFonts w:ascii="Arial" w:hAnsi="Arial" w:cs="Arial"/>
          <w:b/>
          <w:bCs/>
          <w:sz w:val="20"/>
          <w:szCs w:val="20"/>
        </w:rPr>
        <w:t> </w:t>
      </w:r>
      <w:r w:rsidR="00B80644" w:rsidRPr="00D679EB">
        <w:rPr>
          <w:rFonts w:ascii="Arial" w:hAnsi="Arial" w:cs="Arial"/>
          <w:sz w:val="20"/>
          <w:szCs w:val="20"/>
        </w:rPr>
        <w:t xml:space="preserve">Subplots (a–f) show Pearson’s zero correlation coefficients along the x-axis, with various indicators of built-urbanization listed on the y-axis. Subplots (a–c) depict the actual increase per year in CDD-hum for different datasets: CDD-hum22 (a), CDD-hum 28 (b), and the average of CDD-hum 22 and CDD-hum 28 (c). Subplots (d–f) illustrate the relative increase per year (%) in CDD-hum for the same datasets: CDD-hum 22 (d), CDD-hum 28 (e), and their average (f). Positive correlations to the right of the vertical axis indicate a direct relationship between the indicator and CDD-hum trends, while inverse correlations to the left suggest a negative relationship. Natural logarithms of certain variables were used to account for skewness in the data, and squaring the correlation coefficients provides the percentage of variation in CDD-hum trends explained by each indicator alone. Indicators marked with an asterisk (*) are not statistically significant (significance level, p &lt;0.1). The </w:t>
      </w:r>
      <w:r w:rsidR="00B80644" w:rsidRPr="00B80644">
        <w:rPr>
          <w:rFonts w:ascii="Arial" w:hAnsi="Arial" w:cs="Arial"/>
          <w:sz w:val="20"/>
          <w:szCs w:val="20"/>
        </w:rPr>
        <w:t>color</w:t>
      </w:r>
      <w:r w:rsidR="00B80644" w:rsidRPr="00D679EB">
        <w:rPr>
          <w:rFonts w:ascii="Arial" w:hAnsi="Arial" w:cs="Arial"/>
          <w:sz w:val="20"/>
          <w:szCs w:val="20"/>
        </w:rPr>
        <w:t xml:space="preserve"> coding represents different city typologies: TYPE-I, TYPE-II, TYPE-III, and TYPE-IV and their relative contribution in correlations.</w:t>
      </w:r>
    </w:p>
    <w:bookmarkEnd w:id="7"/>
    <w:p w14:paraId="62B630CC" w14:textId="77777777" w:rsidR="00AE0C29" w:rsidRDefault="00AE0C29" w:rsidP="00524F1F">
      <w:pPr>
        <w:spacing w:after="0" w:line="240" w:lineRule="auto"/>
        <w:jc w:val="both"/>
        <w:rPr>
          <w:rFonts w:ascii="Arial" w:hAnsi="Arial" w:cs="Arial"/>
          <w:b/>
          <w:bCs/>
          <w:sz w:val="24"/>
          <w:szCs w:val="24"/>
        </w:rPr>
      </w:pPr>
    </w:p>
    <w:p w14:paraId="412B5601" w14:textId="77777777" w:rsidR="00A01FCB" w:rsidRDefault="00A01FCB" w:rsidP="003B6C8E">
      <w:pPr>
        <w:spacing w:after="0" w:line="240" w:lineRule="auto"/>
        <w:jc w:val="both"/>
        <w:rPr>
          <w:rFonts w:ascii="Arial" w:hAnsi="Arial" w:cs="Arial"/>
          <w:b/>
          <w:bCs/>
          <w:sz w:val="20"/>
          <w:szCs w:val="20"/>
        </w:rPr>
      </w:pPr>
    </w:p>
    <w:p w14:paraId="5E3169B4" w14:textId="37F93AAA" w:rsidR="005D3239" w:rsidRPr="00AE752D" w:rsidRDefault="005D3239" w:rsidP="00524F1F">
      <w:pPr>
        <w:spacing w:after="0" w:line="240" w:lineRule="auto"/>
        <w:jc w:val="both"/>
        <w:rPr>
          <w:rFonts w:ascii="Arial" w:hAnsi="Arial" w:cs="Arial"/>
          <w:b/>
          <w:bCs/>
          <w:sz w:val="24"/>
          <w:szCs w:val="24"/>
        </w:rPr>
      </w:pPr>
      <w:r w:rsidRPr="00F63FD1">
        <w:rPr>
          <w:rFonts w:ascii="Arial" w:hAnsi="Arial" w:cs="Arial"/>
          <w:b/>
          <w:bCs/>
          <w:sz w:val="24"/>
          <w:szCs w:val="24"/>
        </w:rPr>
        <w:t>Section</w:t>
      </w:r>
      <w:r w:rsidR="000827EF">
        <w:rPr>
          <w:rFonts w:ascii="Arial" w:hAnsi="Arial" w:cs="Arial"/>
          <w:b/>
          <w:bCs/>
          <w:sz w:val="24"/>
          <w:szCs w:val="24"/>
        </w:rPr>
        <w:t xml:space="preserve"> </w:t>
      </w:r>
      <w:r w:rsidRPr="00F63FD1">
        <w:rPr>
          <w:rFonts w:ascii="Arial" w:hAnsi="Arial" w:cs="Arial"/>
          <w:b/>
          <w:bCs/>
          <w:sz w:val="24"/>
          <w:szCs w:val="24"/>
        </w:rPr>
        <w:t>3</w:t>
      </w:r>
    </w:p>
    <w:p w14:paraId="78ECF3F1" w14:textId="77777777" w:rsidR="00D9463A" w:rsidRDefault="00D9463A" w:rsidP="00524F1F">
      <w:pPr>
        <w:spacing w:after="0" w:line="240" w:lineRule="auto"/>
        <w:jc w:val="both"/>
        <w:rPr>
          <w:rFonts w:ascii="Arial" w:hAnsi="Arial" w:cs="Arial"/>
          <w:b/>
          <w:bCs/>
        </w:rPr>
      </w:pPr>
    </w:p>
    <w:p w14:paraId="55A6047D" w14:textId="6F4C6299" w:rsidR="001539AE" w:rsidRPr="002D5A3E" w:rsidRDefault="00B66B13" w:rsidP="00524F1F">
      <w:pPr>
        <w:spacing w:after="0" w:line="240" w:lineRule="auto"/>
        <w:jc w:val="both"/>
        <w:rPr>
          <w:rFonts w:ascii="Arial" w:hAnsi="Arial" w:cs="Arial"/>
        </w:rPr>
      </w:pPr>
      <w:r w:rsidRPr="002D5A3E">
        <w:rPr>
          <w:rFonts w:ascii="Arial" w:hAnsi="Arial" w:cs="Arial"/>
          <w:b/>
          <w:bCs/>
        </w:rPr>
        <w:t xml:space="preserve">3.1 </w:t>
      </w:r>
      <w:r w:rsidR="00D6185D" w:rsidRPr="002D5A3E">
        <w:rPr>
          <w:rFonts w:ascii="Arial" w:hAnsi="Arial" w:cs="Arial"/>
          <w:b/>
          <w:bCs/>
        </w:rPr>
        <w:t>Limitations of the study</w:t>
      </w:r>
      <w:r w:rsidR="001539AE" w:rsidRPr="002D5A3E">
        <w:rPr>
          <w:rFonts w:ascii="Arial" w:hAnsi="Arial" w:cs="Arial"/>
          <w:b/>
          <w:bCs/>
        </w:rPr>
        <w:t xml:space="preserve"> and future scope</w:t>
      </w:r>
      <w:r w:rsidR="00D6185D" w:rsidRPr="002D5A3E">
        <w:rPr>
          <w:rFonts w:ascii="Arial" w:hAnsi="Arial" w:cs="Arial"/>
          <w:b/>
          <w:bCs/>
        </w:rPr>
        <w:t xml:space="preserve"> </w:t>
      </w:r>
    </w:p>
    <w:p w14:paraId="65FD673F" w14:textId="059EEE8F" w:rsidR="00F40033" w:rsidRPr="00DF014C" w:rsidRDefault="00F40033" w:rsidP="00524F1F">
      <w:pPr>
        <w:spacing w:after="0" w:line="240" w:lineRule="auto"/>
        <w:jc w:val="both"/>
        <w:rPr>
          <w:rFonts w:ascii="Arial" w:hAnsi="Arial" w:cs="Arial"/>
          <w:sz w:val="20"/>
          <w:szCs w:val="20"/>
        </w:rPr>
      </w:pPr>
      <w:r w:rsidRPr="00F40033">
        <w:rPr>
          <w:rFonts w:ascii="Arial" w:hAnsi="Arial" w:cs="Arial"/>
          <w:sz w:val="20"/>
          <w:szCs w:val="20"/>
        </w:rPr>
        <w:t>Our study provides a comprehensive analysis of the role of city-scale volumetric growth features in shaping UCD using high-resolution datasets. While the initial analysis for cooling degree day (CDD) estimation and comparative assessments used a ~1 km resolution, the reanalysis data had a resolution of ~9 km, which was resampled to 1 km. This introduces a potential limitation, as localized variations induced by volumetric growth features may be missed. However, previous studies (as highlighted in section S2) have shown the reliability of using reanalysis meteorological data to capture the impact of urban-built physics, and our study supports this approach. For greater accuracy, future studies could employ detailed simulations with downscaled data at a 0.5–1 km range, providing a more reliable assessment of localized temperature variability. Additionally, incorporating finer-scale volumetric growth features could further refine our understanding of outdoor temperature dynamics.</w:t>
      </w:r>
      <w:r>
        <w:rPr>
          <w:rFonts w:ascii="Arial" w:hAnsi="Arial" w:cs="Arial"/>
          <w:sz w:val="20"/>
          <w:szCs w:val="20"/>
        </w:rPr>
        <w:t xml:space="preserve"> </w:t>
      </w:r>
      <w:r w:rsidRPr="00F40033">
        <w:rPr>
          <w:rFonts w:ascii="Arial" w:hAnsi="Arial" w:cs="Arial"/>
          <w:sz w:val="20"/>
          <w:szCs w:val="20"/>
        </w:rPr>
        <w:t xml:space="preserve">Although this study focuses on city-scale volumetric growth, future research could integrate both building-scale and city-scale features within more detailed urban grids to capture the full range of temperature variability. The current study also assumes ten key city-scale volumetric indicators as primary measures of </w:t>
      </w:r>
      <w:r w:rsidRPr="00F40033">
        <w:rPr>
          <w:rFonts w:ascii="Arial" w:hAnsi="Arial" w:cs="Arial"/>
          <w:sz w:val="20"/>
          <w:szCs w:val="20"/>
        </w:rPr>
        <w:lastRenderedPageBreak/>
        <w:t>urbanization, without delving into the impact of non-built characteristics. Future work could adopt a linear or non-linear attribution model to better assess the role of both built and non-built urban features on UCD.</w:t>
      </w:r>
      <w:r>
        <w:rPr>
          <w:rFonts w:ascii="Arial" w:hAnsi="Arial" w:cs="Arial"/>
          <w:sz w:val="20"/>
          <w:szCs w:val="20"/>
        </w:rPr>
        <w:t xml:space="preserve"> </w:t>
      </w:r>
      <w:r w:rsidRPr="00F40033">
        <w:rPr>
          <w:rFonts w:ascii="Arial" w:hAnsi="Arial" w:cs="Arial"/>
          <w:sz w:val="20"/>
          <w:szCs w:val="20"/>
        </w:rPr>
        <w:t>Lastly, while this study acknowledges population as a key factor influencing UCD, socio-economic drivers of urbanization, which also affect UCD variability, were not explored in detail. Future studies should address these socio-economic factors to provide a more comprehensive understanding of UCD patterns and their underlying causes.</w:t>
      </w:r>
    </w:p>
    <w:p w14:paraId="67B8D979" w14:textId="77777777" w:rsidR="004657C0" w:rsidRPr="00DF014C" w:rsidRDefault="004657C0" w:rsidP="00524F1F">
      <w:pPr>
        <w:spacing w:after="0" w:line="240" w:lineRule="auto"/>
        <w:jc w:val="both"/>
        <w:rPr>
          <w:rFonts w:ascii="Arial" w:hAnsi="Arial" w:cs="Arial"/>
          <w:b/>
          <w:bCs/>
          <w:sz w:val="20"/>
          <w:szCs w:val="20"/>
        </w:rPr>
      </w:pPr>
    </w:p>
    <w:p w14:paraId="5B5CA69A" w14:textId="77777777" w:rsidR="00381BA0" w:rsidRDefault="00381BA0" w:rsidP="00524F1F">
      <w:pPr>
        <w:spacing w:after="0" w:line="240" w:lineRule="auto"/>
        <w:jc w:val="both"/>
        <w:rPr>
          <w:rFonts w:ascii="Arial" w:hAnsi="Arial" w:cs="Arial"/>
          <w:b/>
          <w:bCs/>
          <w:sz w:val="24"/>
          <w:szCs w:val="24"/>
        </w:rPr>
      </w:pPr>
    </w:p>
    <w:p w14:paraId="4D448786" w14:textId="406E1D09" w:rsidR="00397346" w:rsidRPr="00F63FD1" w:rsidRDefault="00397346" w:rsidP="00524F1F">
      <w:pPr>
        <w:spacing w:after="0" w:line="240" w:lineRule="auto"/>
        <w:jc w:val="both"/>
        <w:rPr>
          <w:rFonts w:ascii="Arial" w:hAnsi="Arial" w:cs="Arial"/>
          <w:b/>
          <w:bCs/>
          <w:sz w:val="24"/>
          <w:szCs w:val="24"/>
        </w:rPr>
      </w:pPr>
      <w:r w:rsidRPr="00F63FD1">
        <w:rPr>
          <w:rFonts w:ascii="Arial" w:hAnsi="Arial" w:cs="Arial"/>
          <w:b/>
          <w:bCs/>
          <w:sz w:val="24"/>
          <w:szCs w:val="24"/>
        </w:rPr>
        <w:t>References</w:t>
      </w:r>
    </w:p>
    <w:p w14:paraId="253275F3" w14:textId="77777777" w:rsidR="00397346" w:rsidRPr="00470015" w:rsidRDefault="00397346" w:rsidP="003561D4">
      <w:pPr>
        <w:spacing w:after="0" w:line="240" w:lineRule="auto"/>
        <w:jc w:val="both"/>
        <w:rPr>
          <w:rFonts w:ascii="Arial" w:hAnsi="Arial" w:cs="Arial"/>
          <w:b/>
          <w:bCs/>
          <w:sz w:val="16"/>
          <w:szCs w:val="16"/>
        </w:rPr>
      </w:pPr>
    </w:p>
    <w:p w14:paraId="78FD88E1" w14:textId="65D9E338" w:rsidR="00502006" w:rsidRPr="00502006" w:rsidRDefault="00397346" w:rsidP="00502006">
      <w:pPr>
        <w:widowControl w:val="0"/>
        <w:autoSpaceDE w:val="0"/>
        <w:autoSpaceDN w:val="0"/>
        <w:adjustRightInd w:val="0"/>
        <w:spacing w:after="0" w:line="240" w:lineRule="auto"/>
        <w:ind w:left="640" w:hanging="640"/>
        <w:rPr>
          <w:rFonts w:ascii="Arial" w:hAnsi="Arial" w:cs="Arial"/>
          <w:noProof/>
          <w:sz w:val="16"/>
          <w:szCs w:val="24"/>
        </w:rPr>
      </w:pPr>
      <w:r w:rsidRPr="00470015">
        <w:rPr>
          <w:rFonts w:ascii="Arial" w:hAnsi="Arial" w:cs="Arial"/>
          <w:b/>
          <w:bCs/>
          <w:sz w:val="16"/>
          <w:szCs w:val="16"/>
        </w:rPr>
        <w:fldChar w:fldCharType="begin" w:fldLock="1"/>
      </w:r>
      <w:r w:rsidRPr="00470015">
        <w:rPr>
          <w:rFonts w:ascii="Arial" w:hAnsi="Arial" w:cs="Arial"/>
          <w:b/>
          <w:bCs/>
          <w:sz w:val="16"/>
          <w:szCs w:val="16"/>
        </w:rPr>
        <w:instrText xml:space="preserve">ADDIN Mendeley Bibliography CSL_BIBLIOGRAPHY </w:instrText>
      </w:r>
      <w:r w:rsidRPr="00470015">
        <w:rPr>
          <w:rFonts w:ascii="Arial" w:hAnsi="Arial" w:cs="Arial"/>
          <w:b/>
          <w:bCs/>
          <w:sz w:val="16"/>
          <w:szCs w:val="16"/>
        </w:rPr>
        <w:fldChar w:fldCharType="separate"/>
      </w:r>
      <w:r w:rsidR="00502006" w:rsidRPr="00502006">
        <w:rPr>
          <w:rFonts w:ascii="Arial" w:hAnsi="Arial" w:cs="Arial"/>
          <w:noProof/>
          <w:sz w:val="16"/>
          <w:szCs w:val="24"/>
        </w:rPr>
        <w:t>1.</w:t>
      </w:r>
      <w:r w:rsidR="00502006" w:rsidRPr="00502006">
        <w:rPr>
          <w:rFonts w:ascii="Arial" w:hAnsi="Arial" w:cs="Arial"/>
          <w:noProof/>
          <w:sz w:val="16"/>
          <w:szCs w:val="24"/>
        </w:rPr>
        <w:tab/>
        <w:t xml:space="preserve">Zhou, B., Rybski, D. &amp; Kropp, J. P. The role of city size and urban form in the surface urban heat island. </w:t>
      </w:r>
      <w:r w:rsidR="00502006" w:rsidRPr="00502006">
        <w:rPr>
          <w:rFonts w:ascii="Arial" w:hAnsi="Arial" w:cs="Arial"/>
          <w:i/>
          <w:iCs/>
          <w:noProof/>
          <w:sz w:val="16"/>
          <w:szCs w:val="24"/>
        </w:rPr>
        <w:t>Sci. Reports 2017 71</w:t>
      </w:r>
      <w:r w:rsidR="00502006" w:rsidRPr="00502006">
        <w:rPr>
          <w:rFonts w:ascii="Arial" w:hAnsi="Arial" w:cs="Arial"/>
          <w:noProof/>
          <w:sz w:val="16"/>
          <w:szCs w:val="24"/>
        </w:rPr>
        <w:t xml:space="preserve"> </w:t>
      </w:r>
      <w:r w:rsidR="00502006" w:rsidRPr="00502006">
        <w:rPr>
          <w:rFonts w:ascii="Arial" w:hAnsi="Arial" w:cs="Arial"/>
          <w:b/>
          <w:bCs/>
          <w:noProof/>
          <w:sz w:val="16"/>
          <w:szCs w:val="24"/>
        </w:rPr>
        <w:t>7</w:t>
      </w:r>
      <w:r w:rsidR="00502006" w:rsidRPr="00502006">
        <w:rPr>
          <w:rFonts w:ascii="Arial" w:hAnsi="Arial" w:cs="Arial"/>
          <w:noProof/>
          <w:sz w:val="16"/>
          <w:szCs w:val="24"/>
        </w:rPr>
        <w:t>, 1–9 (2017).</w:t>
      </w:r>
    </w:p>
    <w:p w14:paraId="31790D5C"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2.</w:t>
      </w:r>
      <w:r w:rsidRPr="00502006">
        <w:rPr>
          <w:rFonts w:ascii="Arial" w:hAnsi="Arial" w:cs="Arial"/>
          <w:noProof/>
          <w:sz w:val="16"/>
          <w:szCs w:val="24"/>
        </w:rPr>
        <w:tab/>
        <w:t xml:space="preserve">Liu, Z. </w:t>
      </w:r>
      <w:r w:rsidRPr="00502006">
        <w:rPr>
          <w:rFonts w:ascii="Arial" w:hAnsi="Arial" w:cs="Arial"/>
          <w:i/>
          <w:iCs/>
          <w:noProof/>
          <w:sz w:val="16"/>
          <w:szCs w:val="24"/>
        </w:rPr>
        <w:t>et al.</w:t>
      </w:r>
      <w:r w:rsidRPr="00502006">
        <w:rPr>
          <w:rFonts w:ascii="Arial" w:hAnsi="Arial" w:cs="Arial"/>
          <w:noProof/>
          <w:sz w:val="16"/>
          <w:szCs w:val="24"/>
        </w:rPr>
        <w:t xml:space="preserve"> Surface warming in global cities is substantially more rapid than in rural background areas. </w:t>
      </w:r>
      <w:r w:rsidRPr="00502006">
        <w:rPr>
          <w:rFonts w:ascii="Arial" w:hAnsi="Arial" w:cs="Arial"/>
          <w:i/>
          <w:iCs/>
          <w:noProof/>
          <w:sz w:val="16"/>
          <w:szCs w:val="24"/>
        </w:rPr>
        <w:t>Commun. Earth Environ. 2022 31</w:t>
      </w:r>
      <w:r w:rsidRPr="00502006">
        <w:rPr>
          <w:rFonts w:ascii="Arial" w:hAnsi="Arial" w:cs="Arial"/>
          <w:noProof/>
          <w:sz w:val="16"/>
          <w:szCs w:val="24"/>
        </w:rPr>
        <w:t xml:space="preserve"> </w:t>
      </w:r>
      <w:r w:rsidRPr="00502006">
        <w:rPr>
          <w:rFonts w:ascii="Arial" w:hAnsi="Arial" w:cs="Arial"/>
          <w:b/>
          <w:bCs/>
          <w:noProof/>
          <w:sz w:val="16"/>
          <w:szCs w:val="24"/>
        </w:rPr>
        <w:t>3</w:t>
      </w:r>
      <w:r w:rsidRPr="00502006">
        <w:rPr>
          <w:rFonts w:ascii="Arial" w:hAnsi="Arial" w:cs="Arial"/>
          <w:noProof/>
          <w:sz w:val="16"/>
          <w:szCs w:val="24"/>
        </w:rPr>
        <w:t>, 1–9 (2022).</w:t>
      </w:r>
    </w:p>
    <w:p w14:paraId="0C0260C3"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3.</w:t>
      </w:r>
      <w:r w:rsidRPr="00502006">
        <w:rPr>
          <w:rFonts w:ascii="Arial" w:hAnsi="Arial" w:cs="Arial"/>
          <w:noProof/>
          <w:sz w:val="16"/>
          <w:szCs w:val="24"/>
        </w:rPr>
        <w:tab/>
        <w:t xml:space="preserve">Li, X. </w:t>
      </w:r>
      <w:r w:rsidRPr="00502006">
        <w:rPr>
          <w:rFonts w:ascii="Arial" w:hAnsi="Arial" w:cs="Arial"/>
          <w:i/>
          <w:iCs/>
          <w:noProof/>
          <w:sz w:val="16"/>
          <w:szCs w:val="24"/>
        </w:rPr>
        <w:t>et al.</w:t>
      </w:r>
      <w:r w:rsidRPr="00502006">
        <w:rPr>
          <w:rFonts w:ascii="Arial" w:hAnsi="Arial" w:cs="Arial"/>
          <w:noProof/>
          <w:sz w:val="16"/>
          <w:szCs w:val="24"/>
        </w:rPr>
        <w:t xml:space="preserve"> Mapping global urban boundaries from the global artificial impervious area (GAIA) data. </w:t>
      </w:r>
      <w:r w:rsidRPr="00502006">
        <w:rPr>
          <w:rFonts w:ascii="Arial" w:hAnsi="Arial" w:cs="Arial"/>
          <w:i/>
          <w:iCs/>
          <w:noProof/>
          <w:sz w:val="16"/>
          <w:szCs w:val="24"/>
        </w:rPr>
        <w:t>Environ. Res. Lett.</w:t>
      </w:r>
      <w:r w:rsidRPr="00502006">
        <w:rPr>
          <w:rFonts w:ascii="Arial" w:hAnsi="Arial" w:cs="Arial"/>
          <w:noProof/>
          <w:sz w:val="16"/>
          <w:szCs w:val="24"/>
        </w:rPr>
        <w:t xml:space="preserve"> </w:t>
      </w:r>
      <w:r w:rsidRPr="00502006">
        <w:rPr>
          <w:rFonts w:ascii="Arial" w:hAnsi="Arial" w:cs="Arial"/>
          <w:b/>
          <w:bCs/>
          <w:noProof/>
          <w:sz w:val="16"/>
          <w:szCs w:val="24"/>
        </w:rPr>
        <w:t>15</w:t>
      </w:r>
      <w:r w:rsidRPr="00502006">
        <w:rPr>
          <w:rFonts w:ascii="Arial" w:hAnsi="Arial" w:cs="Arial"/>
          <w:noProof/>
          <w:sz w:val="16"/>
          <w:szCs w:val="24"/>
        </w:rPr>
        <w:t>, 094044 (2020).</w:t>
      </w:r>
    </w:p>
    <w:p w14:paraId="5246C040"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4.</w:t>
      </w:r>
      <w:r w:rsidRPr="00502006">
        <w:rPr>
          <w:rFonts w:ascii="Arial" w:hAnsi="Arial" w:cs="Arial"/>
          <w:noProof/>
          <w:sz w:val="16"/>
          <w:szCs w:val="24"/>
        </w:rPr>
        <w:tab/>
        <w:t xml:space="preserve">Sethi, S. S. &amp; Vinoj, V. Urbanization and regional climate change-linked warming of Indian cities. </w:t>
      </w:r>
      <w:r w:rsidRPr="00502006">
        <w:rPr>
          <w:rFonts w:ascii="Arial" w:hAnsi="Arial" w:cs="Arial"/>
          <w:i/>
          <w:iCs/>
          <w:noProof/>
          <w:sz w:val="16"/>
          <w:szCs w:val="24"/>
        </w:rPr>
        <w:t>Nat. Cities 2024 16</w:t>
      </w:r>
      <w:r w:rsidRPr="00502006">
        <w:rPr>
          <w:rFonts w:ascii="Arial" w:hAnsi="Arial" w:cs="Arial"/>
          <w:noProof/>
          <w:sz w:val="16"/>
          <w:szCs w:val="24"/>
        </w:rPr>
        <w:t xml:space="preserve"> </w:t>
      </w:r>
      <w:r w:rsidRPr="00502006">
        <w:rPr>
          <w:rFonts w:ascii="Arial" w:hAnsi="Arial" w:cs="Arial"/>
          <w:b/>
          <w:bCs/>
          <w:noProof/>
          <w:sz w:val="16"/>
          <w:szCs w:val="24"/>
        </w:rPr>
        <w:t>1</w:t>
      </w:r>
      <w:r w:rsidRPr="00502006">
        <w:rPr>
          <w:rFonts w:ascii="Arial" w:hAnsi="Arial" w:cs="Arial"/>
          <w:noProof/>
          <w:sz w:val="16"/>
          <w:szCs w:val="24"/>
        </w:rPr>
        <w:t>, 402–405 (2024).</w:t>
      </w:r>
    </w:p>
    <w:p w14:paraId="7F4A45EA"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5.</w:t>
      </w:r>
      <w:r w:rsidRPr="00502006">
        <w:rPr>
          <w:rFonts w:ascii="Arial" w:hAnsi="Arial" w:cs="Arial"/>
          <w:noProof/>
          <w:sz w:val="16"/>
          <w:szCs w:val="24"/>
        </w:rPr>
        <w:tab/>
        <w:t xml:space="preserve">Chen, Y. Derivation of the functional relations between fractal dimension of and shape indices of urban form. </w:t>
      </w:r>
      <w:r w:rsidRPr="00502006">
        <w:rPr>
          <w:rFonts w:ascii="Arial" w:hAnsi="Arial" w:cs="Arial"/>
          <w:i/>
          <w:iCs/>
          <w:noProof/>
          <w:sz w:val="16"/>
          <w:szCs w:val="24"/>
        </w:rPr>
        <w:t>Comput. Environ. Urban Syst.</w:t>
      </w:r>
      <w:r w:rsidRPr="00502006">
        <w:rPr>
          <w:rFonts w:ascii="Arial" w:hAnsi="Arial" w:cs="Arial"/>
          <w:noProof/>
          <w:sz w:val="16"/>
          <w:szCs w:val="24"/>
        </w:rPr>
        <w:t xml:space="preserve"> </w:t>
      </w:r>
      <w:r w:rsidRPr="00502006">
        <w:rPr>
          <w:rFonts w:ascii="Arial" w:hAnsi="Arial" w:cs="Arial"/>
          <w:b/>
          <w:bCs/>
          <w:noProof/>
          <w:sz w:val="16"/>
          <w:szCs w:val="24"/>
        </w:rPr>
        <w:t>35</w:t>
      </w:r>
      <w:r w:rsidRPr="00502006">
        <w:rPr>
          <w:rFonts w:ascii="Arial" w:hAnsi="Arial" w:cs="Arial"/>
          <w:noProof/>
          <w:sz w:val="16"/>
          <w:szCs w:val="24"/>
        </w:rPr>
        <w:t>, 442–451 (2011).</w:t>
      </w:r>
    </w:p>
    <w:p w14:paraId="5F692D13"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6.</w:t>
      </w:r>
      <w:r w:rsidRPr="00502006">
        <w:rPr>
          <w:rFonts w:ascii="Arial" w:hAnsi="Arial" w:cs="Arial"/>
          <w:noProof/>
          <w:sz w:val="16"/>
          <w:szCs w:val="24"/>
        </w:rPr>
        <w:tab/>
        <w:t xml:space="preserve">Chen, Y. Normalizing and classifying shape indexes of cities by ideas from fractals. </w:t>
      </w:r>
      <w:r w:rsidRPr="00502006">
        <w:rPr>
          <w:rFonts w:ascii="Arial" w:hAnsi="Arial" w:cs="Arial"/>
          <w:i/>
          <w:iCs/>
          <w:noProof/>
          <w:sz w:val="16"/>
          <w:szCs w:val="24"/>
        </w:rPr>
        <w:t>Chaos, Solitons &amp; Fractals</w:t>
      </w:r>
      <w:r w:rsidRPr="00502006">
        <w:rPr>
          <w:rFonts w:ascii="Arial" w:hAnsi="Arial" w:cs="Arial"/>
          <w:noProof/>
          <w:sz w:val="16"/>
          <w:szCs w:val="24"/>
        </w:rPr>
        <w:t xml:space="preserve"> </w:t>
      </w:r>
      <w:r w:rsidRPr="00502006">
        <w:rPr>
          <w:rFonts w:ascii="Arial" w:hAnsi="Arial" w:cs="Arial"/>
          <w:b/>
          <w:bCs/>
          <w:noProof/>
          <w:sz w:val="16"/>
          <w:szCs w:val="24"/>
        </w:rPr>
        <w:t>154</w:t>
      </w:r>
      <w:r w:rsidRPr="00502006">
        <w:rPr>
          <w:rFonts w:ascii="Arial" w:hAnsi="Arial" w:cs="Arial"/>
          <w:noProof/>
          <w:sz w:val="16"/>
          <w:szCs w:val="24"/>
        </w:rPr>
        <w:t>, 111653 (2022).</w:t>
      </w:r>
    </w:p>
    <w:p w14:paraId="60F31089"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7.</w:t>
      </w:r>
      <w:r w:rsidRPr="00502006">
        <w:rPr>
          <w:rFonts w:ascii="Arial" w:hAnsi="Arial" w:cs="Arial"/>
          <w:noProof/>
          <w:sz w:val="16"/>
          <w:szCs w:val="24"/>
        </w:rPr>
        <w:tab/>
        <w:t xml:space="preserve">Bettencourt, L. M. A., Lobo, J., Helbing, D., Kühnert, C. &amp; West, G. B. Growth, innovation, scaling, and the pace of life in cities. </w:t>
      </w:r>
      <w:r w:rsidRPr="00502006">
        <w:rPr>
          <w:rFonts w:ascii="Arial" w:hAnsi="Arial" w:cs="Arial"/>
          <w:i/>
          <w:iCs/>
          <w:noProof/>
          <w:sz w:val="16"/>
          <w:szCs w:val="24"/>
        </w:rPr>
        <w:t>Proc. Natl. Acad. Sci. U. S. A.</w:t>
      </w:r>
      <w:r w:rsidRPr="00502006">
        <w:rPr>
          <w:rFonts w:ascii="Arial" w:hAnsi="Arial" w:cs="Arial"/>
          <w:noProof/>
          <w:sz w:val="16"/>
          <w:szCs w:val="24"/>
        </w:rPr>
        <w:t xml:space="preserve"> </w:t>
      </w:r>
      <w:r w:rsidRPr="00502006">
        <w:rPr>
          <w:rFonts w:ascii="Arial" w:hAnsi="Arial" w:cs="Arial"/>
          <w:b/>
          <w:bCs/>
          <w:noProof/>
          <w:sz w:val="16"/>
          <w:szCs w:val="24"/>
        </w:rPr>
        <w:t>104</w:t>
      </w:r>
      <w:r w:rsidRPr="00502006">
        <w:rPr>
          <w:rFonts w:ascii="Arial" w:hAnsi="Arial" w:cs="Arial"/>
          <w:noProof/>
          <w:sz w:val="16"/>
          <w:szCs w:val="24"/>
        </w:rPr>
        <w:t>, 7301–7306 (2007).</w:t>
      </w:r>
    </w:p>
    <w:p w14:paraId="67CE416B" w14:textId="77777777" w:rsidR="00502006" w:rsidRPr="006D3BDA" w:rsidRDefault="00502006" w:rsidP="00502006">
      <w:pPr>
        <w:widowControl w:val="0"/>
        <w:autoSpaceDE w:val="0"/>
        <w:autoSpaceDN w:val="0"/>
        <w:adjustRightInd w:val="0"/>
        <w:spacing w:after="0" w:line="240" w:lineRule="auto"/>
        <w:ind w:left="640" w:hanging="640"/>
        <w:rPr>
          <w:rFonts w:ascii="Arial" w:hAnsi="Arial" w:cs="Arial"/>
          <w:noProof/>
          <w:sz w:val="16"/>
          <w:szCs w:val="24"/>
          <w:lang w:val="da-DK"/>
        </w:rPr>
      </w:pPr>
      <w:r w:rsidRPr="00502006">
        <w:rPr>
          <w:rFonts w:ascii="Arial" w:hAnsi="Arial" w:cs="Arial"/>
          <w:noProof/>
          <w:sz w:val="16"/>
          <w:szCs w:val="24"/>
        </w:rPr>
        <w:t>8.</w:t>
      </w:r>
      <w:r w:rsidRPr="00502006">
        <w:rPr>
          <w:rFonts w:ascii="Arial" w:hAnsi="Arial" w:cs="Arial"/>
          <w:noProof/>
          <w:sz w:val="16"/>
          <w:szCs w:val="24"/>
        </w:rPr>
        <w:tab/>
        <w:t xml:space="preserve">Bettencourt, L. M. A. The origins of scaling in cities. </w:t>
      </w:r>
      <w:r w:rsidRPr="006D3BDA">
        <w:rPr>
          <w:rFonts w:ascii="Arial" w:hAnsi="Arial" w:cs="Arial"/>
          <w:i/>
          <w:iCs/>
          <w:noProof/>
          <w:sz w:val="16"/>
          <w:szCs w:val="24"/>
          <w:lang w:val="da-DK"/>
        </w:rPr>
        <w:t>Science (80-. ).</w:t>
      </w:r>
      <w:r w:rsidRPr="006D3BDA">
        <w:rPr>
          <w:rFonts w:ascii="Arial" w:hAnsi="Arial" w:cs="Arial"/>
          <w:noProof/>
          <w:sz w:val="16"/>
          <w:szCs w:val="24"/>
          <w:lang w:val="da-DK"/>
        </w:rPr>
        <w:t xml:space="preserve"> </w:t>
      </w:r>
      <w:r w:rsidRPr="006D3BDA">
        <w:rPr>
          <w:rFonts w:ascii="Arial" w:hAnsi="Arial" w:cs="Arial"/>
          <w:b/>
          <w:bCs/>
          <w:noProof/>
          <w:sz w:val="16"/>
          <w:szCs w:val="24"/>
          <w:lang w:val="da-DK"/>
        </w:rPr>
        <w:t>340</w:t>
      </w:r>
      <w:r w:rsidRPr="006D3BDA">
        <w:rPr>
          <w:rFonts w:ascii="Arial" w:hAnsi="Arial" w:cs="Arial"/>
          <w:noProof/>
          <w:sz w:val="16"/>
          <w:szCs w:val="24"/>
          <w:lang w:val="da-DK"/>
        </w:rPr>
        <w:t>, 1438–1441 (2013).</w:t>
      </w:r>
    </w:p>
    <w:p w14:paraId="6EB0840E"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6D3BDA">
        <w:rPr>
          <w:rFonts w:ascii="Arial" w:hAnsi="Arial" w:cs="Arial"/>
          <w:noProof/>
          <w:sz w:val="16"/>
          <w:szCs w:val="24"/>
          <w:lang w:val="da-DK"/>
        </w:rPr>
        <w:t>9.</w:t>
      </w:r>
      <w:r w:rsidRPr="006D3BDA">
        <w:rPr>
          <w:rFonts w:ascii="Arial" w:hAnsi="Arial" w:cs="Arial"/>
          <w:noProof/>
          <w:sz w:val="16"/>
          <w:szCs w:val="24"/>
          <w:lang w:val="da-DK"/>
        </w:rPr>
        <w:tab/>
        <w:t xml:space="preserve">Sirko, W. </w:t>
      </w:r>
      <w:r w:rsidRPr="006D3BDA">
        <w:rPr>
          <w:rFonts w:ascii="Arial" w:hAnsi="Arial" w:cs="Arial"/>
          <w:i/>
          <w:iCs/>
          <w:noProof/>
          <w:sz w:val="16"/>
          <w:szCs w:val="24"/>
          <w:lang w:val="da-DK"/>
        </w:rPr>
        <w:t>et al.</w:t>
      </w:r>
      <w:r w:rsidRPr="006D3BDA">
        <w:rPr>
          <w:rFonts w:ascii="Arial" w:hAnsi="Arial" w:cs="Arial"/>
          <w:noProof/>
          <w:sz w:val="16"/>
          <w:szCs w:val="24"/>
          <w:lang w:val="da-DK"/>
        </w:rPr>
        <w:t xml:space="preserve"> </w:t>
      </w:r>
      <w:r w:rsidRPr="00502006">
        <w:rPr>
          <w:rFonts w:ascii="Arial" w:hAnsi="Arial" w:cs="Arial"/>
          <w:noProof/>
          <w:sz w:val="16"/>
          <w:szCs w:val="24"/>
        </w:rPr>
        <w:t>Continental-Scale Building Detection from High Resolution Satellite Imagery. (2021).</w:t>
      </w:r>
    </w:p>
    <w:p w14:paraId="04C6F34B"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10.</w:t>
      </w:r>
      <w:r w:rsidRPr="00502006">
        <w:rPr>
          <w:rFonts w:ascii="Arial" w:hAnsi="Arial" w:cs="Arial"/>
          <w:noProof/>
          <w:sz w:val="16"/>
          <w:szCs w:val="24"/>
        </w:rPr>
        <w:tab/>
        <w:t>Open Buildings V3 Polygons  |  Earth Engine Data Catalog  |  Google for Developers. https://developers.google.com/earth-engine/datasets/catalog/GOOGLE_Research_open-buildings_v3_polygons.</w:t>
      </w:r>
    </w:p>
    <w:p w14:paraId="5F702E6E"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11.</w:t>
      </w:r>
      <w:r w:rsidRPr="00502006">
        <w:rPr>
          <w:rFonts w:ascii="Arial" w:hAnsi="Arial" w:cs="Arial"/>
          <w:noProof/>
          <w:sz w:val="16"/>
          <w:szCs w:val="24"/>
        </w:rPr>
        <w:tab/>
        <w:t>Global Human Settlement - GHSL Homepage - European Commission. https://human-settlement.emergency.copernicus.eu/index.php.</w:t>
      </w:r>
    </w:p>
    <w:p w14:paraId="6DB215EA" w14:textId="77777777" w:rsidR="00502006" w:rsidRPr="006D3BDA" w:rsidRDefault="00502006" w:rsidP="00502006">
      <w:pPr>
        <w:widowControl w:val="0"/>
        <w:autoSpaceDE w:val="0"/>
        <w:autoSpaceDN w:val="0"/>
        <w:adjustRightInd w:val="0"/>
        <w:spacing w:after="0" w:line="240" w:lineRule="auto"/>
        <w:ind w:left="640" w:hanging="640"/>
        <w:rPr>
          <w:rFonts w:ascii="Arial" w:hAnsi="Arial" w:cs="Arial"/>
          <w:noProof/>
          <w:sz w:val="16"/>
          <w:szCs w:val="24"/>
          <w:lang w:val="da-DK"/>
        </w:rPr>
      </w:pPr>
      <w:r w:rsidRPr="00502006">
        <w:rPr>
          <w:rFonts w:ascii="Arial" w:hAnsi="Arial" w:cs="Arial"/>
          <w:noProof/>
          <w:sz w:val="16"/>
          <w:szCs w:val="24"/>
        </w:rPr>
        <w:t>12.</w:t>
      </w:r>
      <w:r w:rsidRPr="00502006">
        <w:rPr>
          <w:rFonts w:ascii="Arial" w:hAnsi="Arial" w:cs="Arial"/>
          <w:noProof/>
          <w:sz w:val="16"/>
          <w:szCs w:val="24"/>
        </w:rPr>
        <w:tab/>
        <w:t xml:space="preserve">Zhou, Y. </w:t>
      </w:r>
      <w:r w:rsidRPr="00502006">
        <w:rPr>
          <w:rFonts w:ascii="Arial" w:hAnsi="Arial" w:cs="Arial"/>
          <w:i/>
          <w:iCs/>
          <w:noProof/>
          <w:sz w:val="16"/>
          <w:szCs w:val="24"/>
        </w:rPr>
        <w:t>et al.</w:t>
      </w:r>
      <w:r w:rsidRPr="00502006">
        <w:rPr>
          <w:rFonts w:ascii="Arial" w:hAnsi="Arial" w:cs="Arial"/>
          <w:noProof/>
          <w:sz w:val="16"/>
          <w:szCs w:val="24"/>
        </w:rPr>
        <w:t xml:space="preserve"> Satellite mapping of urban built-up heights reveals extreme infrastructure gaps and inequalities in the Global South. </w:t>
      </w:r>
      <w:r w:rsidRPr="006D3BDA">
        <w:rPr>
          <w:rFonts w:ascii="Arial" w:hAnsi="Arial" w:cs="Arial"/>
          <w:i/>
          <w:iCs/>
          <w:noProof/>
          <w:sz w:val="16"/>
          <w:szCs w:val="24"/>
          <w:lang w:val="da-DK"/>
        </w:rPr>
        <w:t>Proc. Natl. Acad. Sci. U. S. A.</w:t>
      </w:r>
      <w:r w:rsidRPr="006D3BDA">
        <w:rPr>
          <w:rFonts w:ascii="Arial" w:hAnsi="Arial" w:cs="Arial"/>
          <w:noProof/>
          <w:sz w:val="16"/>
          <w:szCs w:val="24"/>
          <w:lang w:val="da-DK"/>
        </w:rPr>
        <w:t xml:space="preserve"> </w:t>
      </w:r>
      <w:r w:rsidRPr="006D3BDA">
        <w:rPr>
          <w:rFonts w:ascii="Arial" w:hAnsi="Arial" w:cs="Arial"/>
          <w:b/>
          <w:bCs/>
          <w:noProof/>
          <w:sz w:val="16"/>
          <w:szCs w:val="24"/>
          <w:lang w:val="da-DK"/>
        </w:rPr>
        <w:t>119</w:t>
      </w:r>
      <w:r w:rsidRPr="006D3BDA">
        <w:rPr>
          <w:rFonts w:ascii="Arial" w:hAnsi="Arial" w:cs="Arial"/>
          <w:noProof/>
          <w:sz w:val="16"/>
          <w:szCs w:val="24"/>
          <w:lang w:val="da-DK"/>
        </w:rPr>
        <w:t>, e2214813119 (2022).</w:t>
      </w:r>
    </w:p>
    <w:p w14:paraId="63FF97AF"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6D3BDA">
        <w:rPr>
          <w:rFonts w:ascii="Arial" w:hAnsi="Arial" w:cs="Arial"/>
          <w:noProof/>
          <w:sz w:val="16"/>
          <w:szCs w:val="24"/>
          <w:lang w:val="da-DK"/>
        </w:rPr>
        <w:t>13.</w:t>
      </w:r>
      <w:r w:rsidRPr="006D3BDA">
        <w:rPr>
          <w:rFonts w:ascii="Arial" w:hAnsi="Arial" w:cs="Arial"/>
          <w:noProof/>
          <w:sz w:val="16"/>
          <w:szCs w:val="24"/>
          <w:lang w:val="da-DK"/>
        </w:rPr>
        <w:tab/>
        <w:t xml:space="preserve">Li, Y. </w:t>
      </w:r>
      <w:r w:rsidRPr="006D3BDA">
        <w:rPr>
          <w:rFonts w:ascii="Arial" w:hAnsi="Arial" w:cs="Arial"/>
          <w:i/>
          <w:iCs/>
          <w:noProof/>
          <w:sz w:val="16"/>
          <w:szCs w:val="24"/>
          <w:lang w:val="da-DK"/>
        </w:rPr>
        <w:t>et al.</w:t>
      </w:r>
      <w:r w:rsidRPr="006D3BDA">
        <w:rPr>
          <w:rFonts w:ascii="Arial" w:hAnsi="Arial" w:cs="Arial"/>
          <w:noProof/>
          <w:sz w:val="16"/>
          <w:szCs w:val="24"/>
          <w:lang w:val="da-DK"/>
        </w:rPr>
        <w:t xml:space="preserve"> </w:t>
      </w:r>
      <w:r w:rsidRPr="00502006">
        <w:rPr>
          <w:rFonts w:ascii="Arial" w:hAnsi="Arial" w:cs="Arial"/>
          <w:noProof/>
          <w:sz w:val="16"/>
          <w:szCs w:val="24"/>
        </w:rPr>
        <w:t xml:space="preserve">Green spaces provide substantial but unequal urban cooling globally. </w:t>
      </w:r>
      <w:r w:rsidRPr="00502006">
        <w:rPr>
          <w:rFonts w:ascii="Arial" w:hAnsi="Arial" w:cs="Arial"/>
          <w:i/>
          <w:iCs/>
          <w:noProof/>
          <w:sz w:val="16"/>
          <w:szCs w:val="24"/>
        </w:rPr>
        <w:t>Nat. Commun. 2024 151</w:t>
      </w:r>
      <w:r w:rsidRPr="00502006">
        <w:rPr>
          <w:rFonts w:ascii="Arial" w:hAnsi="Arial" w:cs="Arial"/>
          <w:noProof/>
          <w:sz w:val="16"/>
          <w:szCs w:val="24"/>
        </w:rPr>
        <w:t xml:space="preserve"> </w:t>
      </w:r>
      <w:r w:rsidRPr="00502006">
        <w:rPr>
          <w:rFonts w:ascii="Arial" w:hAnsi="Arial" w:cs="Arial"/>
          <w:b/>
          <w:bCs/>
          <w:noProof/>
          <w:sz w:val="16"/>
          <w:szCs w:val="24"/>
        </w:rPr>
        <w:t>15</w:t>
      </w:r>
      <w:r w:rsidRPr="00502006">
        <w:rPr>
          <w:rFonts w:ascii="Arial" w:hAnsi="Arial" w:cs="Arial"/>
          <w:noProof/>
          <w:sz w:val="16"/>
          <w:szCs w:val="24"/>
        </w:rPr>
        <w:t>, 1–13 (2024).</w:t>
      </w:r>
    </w:p>
    <w:p w14:paraId="5F6B0125"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14.</w:t>
      </w:r>
      <w:r w:rsidRPr="00502006">
        <w:rPr>
          <w:rFonts w:ascii="Arial" w:hAnsi="Arial" w:cs="Arial"/>
          <w:noProof/>
          <w:sz w:val="16"/>
          <w:szCs w:val="24"/>
        </w:rPr>
        <w:tab/>
        <w:t xml:space="preserve">Davis, L. W. &amp; Gertler, P. J. Contribution of air conditioning adoption to future energy use under global warming. </w:t>
      </w:r>
      <w:r w:rsidRPr="00502006">
        <w:rPr>
          <w:rFonts w:ascii="Arial" w:hAnsi="Arial" w:cs="Arial"/>
          <w:i/>
          <w:iCs/>
          <w:noProof/>
          <w:sz w:val="16"/>
          <w:szCs w:val="24"/>
        </w:rPr>
        <w:t>Proc. Natl. Acad. Sci. U. S. A.</w:t>
      </w:r>
      <w:r w:rsidRPr="00502006">
        <w:rPr>
          <w:rFonts w:ascii="Arial" w:hAnsi="Arial" w:cs="Arial"/>
          <w:noProof/>
          <w:sz w:val="16"/>
          <w:szCs w:val="24"/>
        </w:rPr>
        <w:t xml:space="preserve"> </w:t>
      </w:r>
      <w:r w:rsidRPr="00502006">
        <w:rPr>
          <w:rFonts w:ascii="Arial" w:hAnsi="Arial" w:cs="Arial"/>
          <w:b/>
          <w:bCs/>
          <w:noProof/>
          <w:sz w:val="16"/>
          <w:szCs w:val="24"/>
        </w:rPr>
        <w:t>112</w:t>
      </w:r>
      <w:r w:rsidRPr="00502006">
        <w:rPr>
          <w:rFonts w:ascii="Arial" w:hAnsi="Arial" w:cs="Arial"/>
          <w:noProof/>
          <w:sz w:val="16"/>
          <w:szCs w:val="24"/>
        </w:rPr>
        <w:t>, 5962–5967 (2015).</w:t>
      </w:r>
    </w:p>
    <w:p w14:paraId="2717C9DA"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15.</w:t>
      </w:r>
      <w:r w:rsidRPr="00502006">
        <w:rPr>
          <w:rFonts w:ascii="Arial" w:hAnsi="Arial" w:cs="Arial"/>
          <w:noProof/>
          <w:sz w:val="16"/>
          <w:szCs w:val="24"/>
        </w:rPr>
        <w:tab/>
        <w:t xml:space="preserve">Sivak, M. Potential energy demand for cooling in the 50 largest metropolitan areas of the world: Implications for developing countries. </w:t>
      </w:r>
      <w:r w:rsidRPr="00502006">
        <w:rPr>
          <w:rFonts w:ascii="Arial" w:hAnsi="Arial" w:cs="Arial"/>
          <w:i/>
          <w:iCs/>
          <w:noProof/>
          <w:sz w:val="16"/>
          <w:szCs w:val="24"/>
        </w:rPr>
        <w:t>Energy Policy</w:t>
      </w:r>
      <w:r w:rsidRPr="00502006">
        <w:rPr>
          <w:rFonts w:ascii="Arial" w:hAnsi="Arial" w:cs="Arial"/>
          <w:noProof/>
          <w:sz w:val="16"/>
          <w:szCs w:val="24"/>
        </w:rPr>
        <w:t xml:space="preserve"> </w:t>
      </w:r>
      <w:r w:rsidRPr="00502006">
        <w:rPr>
          <w:rFonts w:ascii="Arial" w:hAnsi="Arial" w:cs="Arial"/>
          <w:b/>
          <w:bCs/>
          <w:noProof/>
          <w:sz w:val="16"/>
          <w:szCs w:val="24"/>
        </w:rPr>
        <w:t>37</w:t>
      </w:r>
      <w:r w:rsidRPr="00502006">
        <w:rPr>
          <w:rFonts w:ascii="Arial" w:hAnsi="Arial" w:cs="Arial"/>
          <w:noProof/>
          <w:sz w:val="16"/>
          <w:szCs w:val="24"/>
        </w:rPr>
        <w:t>, 1382–1384 (2009).</w:t>
      </w:r>
    </w:p>
    <w:p w14:paraId="56A768C4"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16.</w:t>
      </w:r>
      <w:r w:rsidRPr="00502006">
        <w:rPr>
          <w:rFonts w:ascii="Arial" w:hAnsi="Arial" w:cs="Arial"/>
          <w:noProof/>
          <w:sz w:val="16"/>
          <w:szCs w:val="24"/>
        </w:rPr>
        <w:tab/>
        <w:t xml:space="preserve">Stern, D. I. The role of energy in economic growth. </w:t>
      </w:r>
      <w:r w:rsidRPr="00502006">
        <w:rPr>
          <w:rFonts w:ascii="Arial" w:hAnsi="Arial" w:cs="Arial"/>
          <w:i/>
          <w:iCs/>
          <w:noProof/>
          <w:sz w:val="16"/>
          <w:szCs w:val="24"/>
        </w:rPr>
        <w:t>Ann. N. Y. Acad. Sci.</w:t>
      </w:r>
      <w:r w:rsidRPr="00502006">
        <w:rPr>
          <w:rFonts w:ascii="Arial" w:hAnsi="Arial" w:cs="Arial"/>
          <w:noProof/>
          <w:sz w:val="16"/>
          <w:szCs w:val="24"/>
        </w:rPr>
        <w:t xml:space="preserve"> </w:t>
      </w:r>
      <w:r w:rsidRPr="00502006">
        <w:rPr>
          <w:rFonts w:ascii="Arial" w:hAnsi="Arial" w:cs="Arial"/>
          <w:b/>
          <w:bCs/>
          <w:noProof/>
          <w:sz w:val="16"/>
          <w:szCs w:val="24"/>
        </w:rPr>
        <w:t>1219</w:t>
      </w:r>
      <w:r w:rsidRPr="00502006">
        <w:rPr>
          <w:rFonts w:ascii="Arial" w:hAnsi="Arial" w:cs="Arial"/>
          <w:noProof/>
          <w:sz w:val="16"/>
          <w:szCs w:val="24"/>
        </w:rPr>
        <w:t>, 26–51 (2011).</w:t>
      </w:r>
    </w:p>
    <w:p w14:paraId="6F6B065C"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17.</w:t>
      </w:r>
      <w:r w:rsidRPr="00502006">
        <w:rPr>
          <w:rFonts w:ascii="Arial" w:hAnsi="Arial" w:cs="Arial"/>
          <w:noProof/>
          <w:sz w:val="16"/>
          <w:szCs w:val="24"/>
        </w:rPr>
        <w:tab/>
        <w:t>Joint Research Centre Data Catalogue - GHS-UCDB R2024A - GHS Urban Centre Database 2025 - European Commission. https://data.jrc.ec.europa.eu/dataset/1a338be6-7eaf-480c-9664-3a8ade88cbcd (2024).</w:t>
      </w:r>
    </w:p>
    <w:p w14:paraId="77DFEB7C"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18.</w:t>
      </w:r>
      <w:r w:rsidRPr="00502006">
        <w:rPr>
          <w:rFonts w:ascii="Arial" w:hAnsi="Arial" w:cs="Arial"/>
          <w:noProof/>
          <w:sz w:val="16"/>
          <w:szCs w:val="24"/>
        </w:rPr>
        <w:tab/>
        <w:t xml:space="preserve">Kundu, D. </w:t>
      </w:r>
      <w:r w:rsidRPr="00502006">
        <w:rPr>
          <w:rFonts w:ascii="Arial" w:hAnsi="Arial" w:cs="Arial"/>
          <w:i/>
          <w:iCs/>
          <w:noProof/>
          <w:sz w:val="16"/>
          <w:szCs w:val="24"/>
        </w:rPr>
        <w:t>et al.</w:t>
      </w:r>
      <w:r w:rsidRPr="00502006">
        <w:rPr>
          <w:rFonts w:ascii="Arial" w:hAnsi="Arial" w:cs="Arial"/>
          <w:noProof/>
          <w:sz w:val="16"/>
          <w:szCs w:val="24"/>
        </w:rPr>
        <w:t xml:space="preserve"> Spatial Structures and Trends of Cities in Europe and Asia: A Joint Methodological Approach Based on the Global Human Settlement Layer. </w:t>
      </w:r>
      <w:r w:rsidRPr="00502006">
        <w:rPr>
          <w:rFonts w:ascii="Arial" w:hAnsi="Arial" w:cs="Arial"/>
          <w:i/>
          <w:iCs/>
          <w:noProof/>
          <w:sz w:val="16"/>
          <w:szCs w:val="24"/>
        </w:rPr>
        <w:t>Environ. Urban. ASIA</w:t>
      </w:r>
      <w:r w:rsidRPr="00502006">
        <w:rPr>
          <w:rFonts w:ascii="Arial" w:hAnsi="Arial" w:cs="Arial"/>
          <w:noProof/>
          <w:sz w:val="16"/>
          <w:szCs w:val="24"/>
        </w:rPr>
        <w:t xml:space="preserve"> </w:t>
      </w:r>
      <w:r w:rsidRPr="00502006">
        <w:rPr>
          <w:rFonts w:ascii="Arial" w:hAnsi="Arial" w:cs="Arial"/>
          <w:b/>
          <w:bCs/>
          <w:noProof/>
          <w:sz w:val="16"/>
          <w:szCs w:val="24"/>
        </w:rPr>
        <w:t>11</w:t>
      </w:r>
      <w:r w:rsidRPr="00502006">
        <w:rPr>
          <w:rFonts w:ascii="Arial" w:hAnsi="Arial" w:cs="Arial"/>
          <w:noProof/>
          <w:sz w:val="16"/>
          <w:szCs w:val="24"/>
        </w:rPr>
        <w:t>, 195–217 (2020).</w:t>
      </w:r>
    </w:p>
    <w:p w14:paraId="6459DBD2"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19.</w:t>
      </w:r>
      <w:r w:rsidRPr="00502006">
        <w:rPr>
          <w:rFonts w:ascii="Arial" w:hAnsi="Arial" w:cs="Arial"/>
          <w:noProof/>
          <w:sz w:val="16"/>
          <w:szCs w:val="24"/>
        </w:rPr>
        <w:tab/>
        <w:t xml:space="preserve">Müller, A. </w:t>
      </w:r>
      <w:r w:rsidRPr="00502006">
        <w:rPr>
          <w:rFonts w:ascii="Arial" w:hAnsi="Arial" w:cs="Arial"/>
          <w:i/>
          <w:iCs/>
          <w:noProof/>
          <w:sz w:val="16"/>
          <w:szCs w:val="24"/>
        </w:rPr>
        <w:t>et al.</w:t>
      </w:r>
      <w:r w:rsidRPr="00502006">
        <w:rPr>
          <w:rFonts w:ascii="Arial" w:hAnsi="Arial" w:cs="Arial"/>
          <w:noProof/>
          <w:sz w:val="16"/>
          <w:szCs w:val="24"/>
        </w:rPr>
        <w:t xml:space="preserve"> India, Germany and Europe A Spatial Perspective at SDG 11 on Sustainable Cities and Communities. (2020).</w:t>
      </w:r>
    </w:p>
    <w:p w14:paraId="6652F728"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20.</w:t>
      </w:r>
      <w:r w:rsidRPr="00502006">
        <w:rPr>
          <w:rFonts w:ascii="Arial" w:hAnsi="Arial" w:cs="Arial"/>
          <w:noProof/>
          <w:sz w:val="16"/>
          <w:szCs w:val="24"/>
        </w:rPr>
        <w:tab/>
        <w:t xml:space="preserve">Mondal, N. </w:t>
      </w:r>
      <w:r w:rsidRPr="00502006">
        <w:rPr>
          <w:rFonts w:ascii="Arial" w:hAnsi="Arial" w:cs="Arial"/>
          <w:i/>
          <w:iCs/>
          <w:noProof/>
          <w:sz w:val="16"/>
          <w:szCs w:val="24"/>
        </w:rPr>
        <w:t>et al.</w:t>
      </w:r>
      <w:r w:rsidRPr="00502006">
        <w:rPr>
          <w:rFonts w:ascii="Arial" w:hAnsi="Arial" w:cs="Arial"/>
          <w:noProof/>
          <w:sz w:val="16"/>
          <w:szCs w:val="24"/>
        </w:rPr>
        <w:t xml:space="preserve"> Systematic review of the efficacy of data-driven urban building energy models during extreme heat in cities: Current trends and future outlook. </w:t>
      </w:r>
      <w:r w:rsidRPr="00502006">
        <w:rPr>
          <w:rFonts w:ascii="Arial" w:hAnsi="Arial" w:cs="Arial"/>
          <w:i/>
          <w:iCs/>
          <w:noProof/>
          <w:sz w:val="16"/>
          <w:szCs w:val="24"/>
        </w:rPr>
        <w:t>Build. Simul. 2024 175</w:t>
      </w:r>
      <w:r w:rsidRPr="00502006">
        <w:rPr>
          <w:rFonts w:ascii="Arial" w:hAnsi="Arial" w:cs="Arial"/>
          <w:noProof/>
          <w:sz w:val="16"/>
          <w:szCs w:val="24"/>
        </w:rPr>
        <w:t xml:space="preserve"> </w:t>
      </w:r>
      <w:r w:rsidRPr="00502006">
        <w:rPr>
          <w:rFonts w:ascii="Arial" w:hAnsi="Arial" w:cs="Arial"/>
          <w:b/>
          <w:bCs/>
          <w:noProof/>
          <w:sz w:val="16"/>
          <w:szCs w:val="24"/>
        </w:rPr>
        <w:t>17</w:t>
      </w:r>
      <w:r w:rsidRPr="00502006">
        <w:rPr>
          <w:rFonts w:ascii="Arial" w:hAnsi="Arial" w:cs="Arial"/>
          <w:noProof/>
          <w:sz w:val="16"/>
          <w:szCs w:val="24"/>
        </w:rPr>
        <w:t>, 695–722 (2024).</w:t>
      </w:r>
    </w:p>
    <w:p w14:paraId="17E09AA4"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21.</w:t>
      </w:r>
      <w:r w:rsidRPr="00502006">
        <w:rPr>
          <w:rFonts w:ascii="Arial" w:hAnsi="Arial" w:cs="Arial"/>
          <w:noProof/>
          <w:sz w:val="16"/>
          <w:szCs w:val="24"/>
        </w:rPr>
        <w:tab/>
        <w:t xml:space="preserve">Staffell, I., Pfenninger, S. &amp; Johnson, N. A global model of hourly space heating and cooling demand at multiple spatial scales. </w:t>
      </w:r>
      <w:r w:rsidRPr="00502006">
        <w:rPr>
          <w:rFonts w:ascii="Arial" w:hAnsi="Arial" w:cs="Arial"/>
          <w:b/>
          <w:bCs/>
          <w:noProof/>
          <w:sz w:val="16"/>
          <w:szCs w:val="24"/>
        </w:rPr>
        <w:t>8</w:t>
      </w:r>
      <w:r w:rsidRPr="00502006">
        <w:rPr>
          <w:rFonts w:ascii="Arial" w:hAnsi="Arial" w:cs="Arial"/>
          <w:noProof/>
          <w:sz w:val="16"/>
          <w:szCs w:val="24"/>
        </w:rPr>
        <w:t>, 1328–1344 (2023).</w:t>
      </w:r>
    </w:p>
    <w:p w14:paraId="1E9948A4"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22.</w:t>
      </w:r>
      <w:r w:rsidRPr="00502006">
        <w:rPr>
          <w:rFonts w:ascii="Arial" w:hAnsi="Arial" w:cs="Arial"/>
          <w:noProof/>
          <w:sz w:val="16"/>
          <w:szCs w:val="24"/>
        </w:rPr>
        <w:tab/>
        <w:t xml:space="preserve">Wilson, E. J. H. </w:t>
      </w:r>
      <w:r w:rsidRPr="00502006">
        <w:rPr>
          <w:rFonts w:ascii="Arial" w:hAnsi="Arial" w:cs="Arial"/>
          <w:i/>
          <w:iCs/>
          <w:noProof/>
          <w:sz w:val="16"/>
          <w:szCs w:val="24"/>
        </w:rPr>
        <w:t>et al.</w:t>
      </w:r>
      <w:r w:rsidRPr="00502006">
        <w:rPr>
          <w:rFonts w:ascii="Arial" w:hAnsi="Arial" w:cs="Arial"/>
          <w:noProof/>
          <w:sz w:val="16"/>
          <w:szCs w:val="24"/>
        </w:rPr>
        <w:t xml:space="preserve"> End-Use Load Profiles for the U.S. Building Stock: Methodology and Results of Model Calibration, Validation, and Uncertainty Quantification. (2022) doi:10.2172/1854582.</w:t>
      </w:r>
    </w:p>
    <w:p w14:paraId="798484DB"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23.</w:t>
      </w:r>
      <w:r w:rsidRPr="00502006">
        <w:rPr>
          <w:rFonts w:ascii="Arial" w:hAnsi="Arial" w:cs="Arial"/>
          <w:noProof/>
          <w:sz w:val="16"/>
          <w:szCs w:val="24"/>
        </w:rPr>
        <w:tab/>
        <w:t xml:space="preserve">Sezer, N. </w:t>
      </w:r>
      <w:r w:rsidRPr="00502006">
        <w:rPr>
          <w:rFonts w:ascii="Arial" w:hAnsi="Arial" w:cs="Arial"/>
          <w:i/>
          <w:iCs/>
          <w:noProof/>
          <w:sz w:val="16"/>
          <w:szCs w:val="24"/>
        </w:rPr>
        <w:t>et al.</w:t>
      </w:r>
      <w:r w:rsidRPr="00502006">
        <w:rPr>
          <w:rFonts w:ascii="Arial" w:hAnsi="Arial" w:cs="Arial"/>
          <w:noProof/>
          <w:sz w:val="16"/>
          <w:szCs w:val="24"/>
        </w:rPr>
        <w:t xml:space="preserve"> Urban microclimate and building energy models: A review of the latest progress in coupling strategies. </w:t>
      </w:r>
      <w:r w:rsidRPr="00502006">
        <w:rPr>
          <w:rFonts w:ascii="Arial" w:hAnsi="Arial" w:cs="Arial"/>
          <w:i/>
          <w:iCs/>
          <w:noProof/>
          <w:sz w:val="16"/>
          <w:szCs w:val="24"/>
        </w:rPr>
        <w:t>Renew. Sustain. Energy Rev.</w:t>
      </w:r>
      <w:r w:rsidRPr="00502006">
        <w:rPr>
          <w:rFonts w:ascii="Arial" w:hAnsi="Arial" w:cs="Arial"/>
          <w:noProof/>
          <w:sz w:val="16"/>
          <w:szCs w:val="24"/>
        </w:rPr>
        <w:t xml:space="preserve"> </w:t>
      </w:r>
      <w:r w:rsidRPr="00502006">
        <w:rPr>
          <w:rFonts w:ascii="Arial" w:hAnsi="Arial" w:cs="Arial"/>
          <w:b/>
          <w:bCs/>
          <w:noProof/>
          <w:sz w:val="16"/>
          <w:szCs w:val="24"/>
        </w:rPr>
        <w:t>184</w:t>
      </w:r>
      <w:r w:rsidRPr="00502006">
        <w:rPr>
          <w:rFonts w:ascii="Arial" w:hAnsi="Arial" w:cs="Arial"/>
          <w:noProof/>
          <w:sz w:val="16"/>
          <w:szCs w:val="24"/>
        </w:rPr>
        <w:t>, 113577 (2023).</w:t>
      </w:r>
    </w:p>
    <w:p w14:paraId="6BE9B81F"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24.</w:t>
      </w:r>
      <w:r w:rsidRPr="00502006">
        <w:rPr>
          <w:rFonts w:ascii="Arial" w:hAnsi="Arial" w:cs="Arial"/>
          <w:noProof/>
          <w:sz w:val="16"/>
          <w:szCs w:val="24"/>
        </w:rPr>
        <w:tab/>
        <w:t xml:space="preserve">Xu, L. </w:t>
      </w:r>
      <w:r w:rsidRPr="00502006">
        <w:rPr>
          <w:rFonts w:ascii="Arial" w:hAnsi="Arial" w:cs="Arial"/>
          <w:i/>
          <w:iCs/>
          <w:noProof/>
          <w:sz w:val="16"/>
          <w:szCs w:val="24"/>
        </w:rPr>
        <w:t>et al.</w:t>
      </w:r>
      <w:r w:rsidRPr="00502006">
        <w:rPr>
          <w:rFonts w:ascii="Arial" w:hAnsi="Arial" w:cs="Arial"/>
          <w:noProof/>
          <w:sz w:val="16"/>
          <w:szCs w:val="24"/>
        </w:rPr>
        <w:t xml:space="preserve"> Resilience of renewable power systems under climate risks. </w:t>
      </w:r>
      <w:r w:rsidRPr="00502006">
        <w:rPr>
          <w:rFonts w:ascii="Arial" w:hAnsi="Arial" w:cs="Arial"/>
          <w:i/>
          <w:iCs/>
          <w:noProof/>
          <w:sz w:val="16"/>
          <w:szCs w:val="24"/>
        </w:rPr>
        <w:t>Nat. Rev. Electr. Eng. 2024 11</w:t>
      </w:r>
      <w:r w:rsidRPr="00502006">
        <w:rPr>
          <w:rFonts w:ascii="Arial" w:hAnsi="Arial" w:cs="Arial"/>
          <w:noProof/>
          <w:sz w:val="16"/>
          <w:szCs w:val="24"/>
        </w:rPr>
        <w:t xml:space="preserve"> </w:t>
      </w:r>
      <w:r w:rsidRPr="00502006">
        <w:rPr>
          <w:rFonts w:ascii="Arial" w:hAnsi="Arial" w:cs="Arial"/>
          <w:b/>
          <w:bCs/>
          <w:noProof/>
          <w:sz w:val="16"/>
          <w:szCs w:val="24"/>
        </w:rPr>
        <w:t>1</w:t>
      </w:r>
      <w:r w:rsidRPr="00502006">
        <w:rPr>
          <w:rFonts w:ascii="Arial" w:hAnsi="Arial" w:cs="Arial"/>
          <w:noProof/>
          <w:sz w:val="16"/>
          <w:szCs w:val="24"/>
        </w:rPr>
        <w:t>, 53–66 (2024).</w:t>
      </w:r>
    </w:p>
    <w:p w14:paraId="00497321"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szCs w:val="24"/>
        </w:rPr>
      </w:pPr>
      <w:r w:rsidRPr="00502006">
        <w:rPr>
          <w:rFonts w:ascii="Arial" w:hAnsi="Arial" w:cs="Arial"/>
          <w:noProof/>
          <w:sz w:val="16"/>
          <w:szCs w:val="24"/>
        </w:rPr>
        <w:t>25.</w:t>
      </w:r>
      <w:r w:rsidRPr="00502006">
        <w:rPr>
          <w:rFonts w:ascii="Arial" w:hAnsi="Arial" w:cs="Arial"/>
          <w:noProof/>
          <w:sz w:val="16"/>
          <w:szCs w:val="24"/>
        </w:rPr>
        <w:tab/>
        <w:t xml:space="preserve">Haddad, S. </w:t>
      </w:r>
      <w:r w:rsidRPr="00502006">
        <w:rPr>
          <w:rFonts w:ascii="Arial" w:hAnsi="Arial" w:cs="Arial"/>
          <w:i/>
          <w:iCs/>
          <w:noProof/>
          <w:sz w:val="16"/>
          <w:szCs w:val="24"/>
        </w:rPr>
        <w:t>et al.</w:t>
      </w:r>
      <w:r w:rsidRPr="00502006">
        <w:rPr>
          <w:rFonts w:ascii="Arial" w:hAnsi="Arial" w:cs="Arial"/>
          <w:noProof/>
          <w:sz w:val="16"/>
          <w:szCs w:val="24"/>
        </w:rPr>
        <w:t xml:space="preserve"> Quantifying the energy impact of heat mitigation technologies at the urban scale. </w:t>
      </w:r>
      <w:r w:rsidRPr="00502006">
        <w:rPr>
          <w:rFonts w:ascii="Arial" w:hAnsi="Arial" w:cs="Arial"/>
          <w:i/>
          <w:iCs/>
          <w:noProof/>
          <w:sz w:val="16"/>
          <w:szCs w:val="24"/>
        </w:rPr>
        <w:t>Nat. Cities 2024 11</w:t>
      </w:r>
      <w:r w:rsidRPr="00502006">
        <w:rPr>
          <w:rFonts w:ascii="Arial" w:hAnsi="Arial" w:cs="Arial"/>
          <w:noProof/>
          <w:sz w:val="16"/>
          <w:szCs w:val="24"/>
        </w:rPr>
        <w:t xml:space="preserve"> </w:t>
      </w:r>
      <w:r w:rsidRPr="00502006">
        <w:rPr>
          <w:rFonts w:ascii="Arial" w:hAnsi="Arial" w:cs="Arial"/>
          <w:b/>
          <w:bCs/>
          <w:noProof/>
          <w:sz w:val="16"/>
          <w:szCs w:val="24"/>
        </w:rPr>
        <w:t>1</w:t>
      </w:r>
      <w:r w:rsidRPr="00502006">
        <w:rPr>
          <w:rFonts w:ascii="Arial" w:hAnsi="Arial" w:cs="Arial"/>
          <w:noProof/>
          <w:sz w:val="16"/>
          <w:szCs w:val="24"/>
        </w:rPr>
        <w:t>, 62–72 (2024).</w:t>
      </w:r>
    </w:p>
    <w:p w14:paraId="1CD261D4" w14:textId="77777777" w:rsidR="00502006" w:rsidRPr="00502006" w:rsidRDefault="00502006" w:rsidP="00502006">
      <w:pPr>
        <w:widowControl w:val="0"/>
        <w:autoSpaceDE w:val="0"/>
        <w:autoSpaceDN w:val="0"/>
        <w:adjustRightInd w:val="0"/>
        <w:spacing w:after="0" w:line="240" w:lineRule="auto"/>
        <w:ind w:left="640" w:hanging="640"/>
        <w:rPr>
          <w:rFonts w:ascii="Arial" w:hAnsi="Arial" w:cs="Arial"/>
          <w:noProof/>
          <w:sz w:val="16"/>
        </w:rPr>
      </w:pPr>
      <w:r w:rsidRPr="00502006">
        <w:rPr>
          <w:rFonts w:ascii="Arial" w:hAnsi="Arial" w:cs="Arial"/>
          <w:noProof/>
          <w:sz w:val="16"/>
          <w:szCs w:val="24"/>
        </w:rPr>
        <w:t>26.</w:t>
      </w:r>
      <w:r w:rsidRPr="00502006">
        <w:rPr>
          <w:rFonts w:ascii="Arial" w:hAnsi="Arial" w:cs="Arial"/>
          <w:noProof/>
          <w:sz w:val="16"/>
          <w:szCs w:val="24"/>
        </w:rPr>
        <w:tab/>
        <w:t xml:space="preserve">Perera, A. T. D. </w:t>
      </w:r>
      <w:r w:rsidRPr="00502006">
        <w:rPr>
          <w:rFonts w:ascii="Arial" w:hAnsi="Arial" w:cs="Arial"/>
          <w:i/>
          <w:iCs/>
          <w:noProof/>
          <w:sz w:val="16"/>
          <w:szCs w:val="24"/>
        </w:rPr>
        <w:t>et al.</w:t>
      </w:r>
      <w:r w:rsidRPr="00502006">
        <w:rPr>
          <w:rFonts w:ascii="Arial" w:hAnsi="Arial" w:cs="Arial"/>
          <w:noProof/>
          <w:sz w:val="16"/>
          <w:szCs w:val="24"/>
        </w:rPr>
        <w:t xml:space="preserve"> Challenges resulting from urban density and climate change for the EU energy transition. </w:t>
      </w:r>
      <w:r w:rsidRPr="00502006">
        <w:rPr>
          <w:rFonts w:ascii="Arial" w:hAnsi="Arial" w:cs="Arial"/>
          <w:i/>
          <w:iCs/>
          <w:noProof/>
          <w:sz w:val="16"/>
          <w:szCs w:val="24"/>
        </w:rPr>
        <w:t>Nat. Energy</w:t>
      </w:r>
      <w:r w:rsidRPr="00502006">
        <w:rPr>
          <w:rFonts w:ascii="Arial" w:hAnsi="Arial" w:cs="Arial"/>
          <w:noProof/>
          <w:sz w:val="16"/>
          <w:szCs w:val="24"/>
        </w:rPr>
        <w:t xml:space="preserve"> </w:t>
      </w:r>
      <w:r w:rsidRPr="00502006">
        <w:rPr>
          <w:rFonts w:ascii="Arial" w:hAnsi="Arial" w:cs="Arial"/>
          <w:b/>
          <w:bCs/>
          <w:noProof/>
          <w:sz w:val="16"/>
          <w:szCs w:val="24"/>
        </w:rPr>
        <w:t>8</w:t>
      </w:r>
      <w:r w:rsidRPr="00502006">
        <w:rPr>
          <w:rFonts w:ascii="Arial" w:hAnsi="Arial" w:cs="Arial"/>
          <w:noProof/>
          <w:sz w:val="16"/>
          <w:szCs w:val="24"/>
        </w:rPr>
        <w:t>, 397–412 (2023).</w:t>
      </w:r>
    </w:p>
    <w:p w14:paraId="03AB76E4" w14:textId="170F1B96" w:rsidR="00397346" w:rsidRPr="00DF014C" w:rsidRDefault="00397346" w:rsidP="00A70646">
      <w:pPr>
        <w:spacing w:after="0" w:line="240" w:lineRule="auto"/>
        <w:jc w:val="both"/>
        <w:rPr>
          <w:rFonts w:ascii="Arial" w:hAnsi="Arial" w:cs="Arial"/>
          <w:b/>
          <w:bCs/>
          <w:sz w:val="20"/>
          <w:szCs w:val="20"/>
        </w:rPr>
      </w:pPr>
      <w:r w:rsidRPr="00470015">
        <w:rPr>
          <w:rFonts w:ascii="Arial" w:hAnsi="Arial" w:cs="Arial"/>
          <w:b/>
          <w:bCs/>
          <w:sz w:val="16"/>
          <w:szCs w:val="16"/>
        </w:rPr>
        <w:fldChar w:fldCharType="end"/>
      </w:r>
    </w:p>
    <w:p w14:paraId="3629ADFC" w14:textId="77777777" w:rsidR="00397346" w:rsidRPr="00DF014C" w:rsidRDefault="00397346" w:rsidP="00524F1F">
      <w:pPr>
        <w:spacing w:after="0" w:line="240" w:lineRule="auto"/>
        <w:jc w:val="both"/>
        <w:rPr>
          <w:rFonts w:ascii="Arial" w:hAnsi="Arial" w:cs="Arial"/>
          <w:sz w:val="20"/>
          <w:szCs w:val="20"/>
        </w:rPr>
      </w:pPr>
    </w:p>
    <w:sectPr w:rsidR="00397346" w:rsidRPr="00DF014C" w:rsidSect="00C525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E4565" w14:textId="77777777" w:rsidR="008E7192" w:rsidRDefault="008E7192" w:rsidP="00102B21">
      <w:pPr>
        <w:spacing w:after="0" w:line="240" w:lineRule="auto"/>
      </w:pPr>
      <w:r>
        <w:separator/>
      </w:r>
    </w:p>
  </w:endnote>
  <w:endnote w:type="continuationSeparator" w:id="0">
    <w:p w14:paraId="34D04211" w14:textId="77777777" w:rsidR="008E7192" w:rsidRDefault="008E7192" w:rsidP="00102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7990566"/>
      <w:docPartObj>
        <w:docPartGallery w:val="Page Numbers (Bottom of Page)"/>
        <w:docPartUnique/>
      </w:docPartObj>
    </w:sdtPr>
    <w:sdtContent>
      <w:sdt>
        <w:sdtPr>
          <w:id w:val="-2006733402"/>
          <w:docPartObj>
            <w:docPartGallery w:val="Page Numbers (Top of Page)"/>
            <w:docPartUnique/>
          </w:docPartObj>
        </w:sdtPr>
        <w:sdtContent>
          <w:p w14:paraId="01F938F4" w14:textId="77777777" w:rsidR="003B6C8E" w:rsidRDefault="003B6C8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10AA269" w14:textId="77777777" w:rsidR="003B6C8E" w:rsidRDefault="003B6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0236510"/>
      <w:docPartObj>
        <w:docPartGallery w:val="Page Numbers (Bottom of Page)"/>
        <w:docPartUnique/>
      </w:docPartObj>
    </w:sdtPr>
    <w:sdtContent>
      <w:sdt>
        <w:sdtPr>
          <w:id w:val="-1769616900"/>
          <w:docPartObj>
            <w:docPartGallery w:val="Page Numbers (Top of Page)"/>
            <w:docPartUnique/>
          </w:docPartObj>
        </w:sdtPr>
        <w:sdtContent>
          <w:p w14:paraId="17676D6A" w14:textId="39008303" w:rsidR="00F13D91" w:rsidRDefault="00F13D9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ACD17C" w14:textId="77777777" w:rsidR="00102B21" w:rsidRDefault="00102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D0806" w14:textId="77777777" w:rsidR="008E7192" w:rsidRDefault="008E7192" w:rsidP="00102B21">
      <w:pPr>
        <w:spacing w:after="0" w:line="240" w:lineRule="auto"/>
      </w:pPr>
      <w:r>
        <w:separator/>
      </w:r>
    </w:p>
  </w:footnote>
  <w:footnote w:type="continuationSeparator" w:id="0">
    <w:p w14:paraId="03EF88F0" w14:textId="77777777" w:rsidR="008E7192" w:rsidRDefault="008E7192" w:rsidP="00102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4610" w14:textId="56C6538E" w:rsidR="00BB5D93" w:rsidRPr="00BB5D93" w:rsidRDefault="00BB5D93" w:rsidP="00BB5D93">
    <w:pPr>
      <w:pStyle w:val="Header"/>
      <w:rPr>
        <w:lang w:val="en-IN"/>
      </w:rPr>
    </w:pPr>
    <w:r w:rsidRPr="00BB5D93">
      <w:rPr>
        <w:lang w:val="en-IN"/>
      </w:rPr>
      <w:t>SUPPL</w:t>
    </w:r>
    <w:r>
      <w:rPr>
        <w:lang w:val="en-IN"/>
      </w:rPr>
      <w:t>IMENTARY MATERIAL</w:t>
    </w:r>
    <w:r w:rsidR="00887479">
      <w:rPr>
        <w:lang w:val="en-IN"/>
      </w:rPr>
      <w:t>_</w:t>
    </w:r>
    <w:r w:rsidR="00093AA6">
      <w:rPr>
        <w:lang w:val="en-IN"/>
      </w:rPr>
      <w:t>S1</w:t>
    </w:r>
  </w:p>
  <w:p w14:paraId="27FD11AC" w14:textId="77777777" w:rsidR="00BB5D93" w:rsidRPr="00BB5D93" w:rsidRDefault="00BB5D93">
    <w:pPr>
      <w:pStyle w:val="Header"/>
      <w:rPr>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462B"/>
    <w:multiLevelType w:val="hybridMultilevel"/>
    <w:tmpl w:val="1638B694"/>
    <w:lvl w:ilvl="0" w:tplc="8B12D67E">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84F6CBB"/>
    <w:multiLevelType w:val="hybridMultilevel"/>
    <w:tmpl w:val="1070EFE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099E2B32"/>
    <w:multiLevelType w:val="hybridMultilevel"/>
    <w:tmpl w:val="720EDF6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56D2CF2"/>
    <w:multiLevelType w:val="hybridMultilevel"/>
    <w:tmpl w:val="DF6E18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5F471A4"/>
    <w:multiLevelType w:val="multilevel"/>
    <w:tmpl w:val="F8BCDB18"/>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FC49C8"/>
    <w:multiLevelType w:val="hybridMultilevel"/>
    <w:tmpl w:val="2234AF1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45811709"/>
    <w:multiLevelType w:val="hybridMultilevel"/>
    <w:tmpl w:val="5C160AF8"/>
    <w:lvl w:ilvl="0" w:tplc="149A9C58">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552B20CA"/>
    <w:multiLevelType w:val="multilevel"/>
    <w:tmpl w:val="4290E1F6"/>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8" w15:restartNumberingAfterBreak="0">
    <w:nsid w:val="60920E8E"/>
    <w:multiLevelType w:val="multilevel"/>
    <w:tmpl w:val="FCEC9B70"/>
    <w:lvl w:ilvl="0">
      <w:start w:val="1"/>
      <w:numFmt w:val="decimal"/>
      <w:lvlText w:val="%1."/>
      <w:lvlJc w:val="left"/>
      <w:pPr>
        <w:ind w:left="360" w:hanging="360"/>
      </w:pPr>
      <w:rPr>
        <w:rFonts w:hint="default"/>
      </w:rPr>
    </w:lvl>
    <w:lvl w:ilvl="1">
      <w:start w:val="1"/>
      <w:numFmt w:val="decimal"/>
      <w:isLgl/>
      <w:lvlText w:val="%1.%2"/>
      <w:lvlJc w:val="left"/>
      <w:pPr>
        <w:ind w:left="396" w:hanging="396"/>
      </w:pPr>
      <w:rPr>
        <w:rFonts w:hint="default"/>
      </w:rPr>
    </w:lvl>
    <w:lvl w:ilvl="2">
      <w:start w:val="1"/>
      <w:numFmt w:val="decimal"/>
      <w:isLgl/>
      <w:lvlText w:val="%1.%2.%3"/>
      <w:lvlJc w:val="left"/>
      <w:pPr>
        <w:ind w:left="396" w:hanging="396"/>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num w:numId="1" w16cid:durableId="89398635">
    <w:abstractNumId w:val="5"/>
  </w:num>
  <w:num w:numId="2" w16cid:durableId="1597399827">
    <w:abstractNumId w:val="0"/>
  </w:num>
  <w:num w:numId="3" w16cid:durableId="1353416050">
    <w:abstractNumId w:val="1"/>
  </w:num>
  <w:num w:numId="4" w16cid:durableId="942421685">
    <w:abstractNumId w:val="6"/>
  </w:num>
  <w:num w:numId="5" w16cid:durableId="1438213365">
    <w:abstractNumId w:val="8"/>
  </w:num>
  <w:num w:numId="6" w16cid:durableId="897976113">
    <w:abstractNumId w:val="3"/>
  </w:num>
  <w:num w:numId="7" w16cid:durableId="604077190">
    <w:abstractNumId w:val="7"/>
  </w:num>
  <w:num w:numId="8" w16cid:durableId="383333723">
    <w:abstractNumId w:val="4"/>
  </w:num>
  <w:num w:numId="9" w16cid:durableId="867524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BAA"/>
    <w:rsid w:val="000006A9"/>
    <w:rsid w:val="000067B2"/>
    <w:rsid w:val="00010B9F"/>
    <w:rsid w:val="000136C9"/>
    <w:rsid w:val="00014325"/>
    <w:rsid w:val="000144FD"/>
    <w:rsid w:val="0001668C"/>
    <w:rsid w:val="00034C0C"/>
    <w:rsid w:val="00035CD0"/>
    <w:rsid w:val="00043A89"/>
    <w:rsid w:val="000473F8"/>
    <w:rsid w:val="00052776"/>
    <w:rsid w:val="00055458"/>
    <w:rsid w:val="00061091"/>
    <w:rsid w:val="000674BA"/>
    <w:rsid w:val="00067D88"/>
    <w:rsid w:val="0007068F"/>
    <w:rsid w:val="0007216D"/>
    <w:rsid w:val="00072A86"/>
    <w:rsid w:val="0007618F"/>
    <w:rsid w:val="00077E70"/>
    <w:rsid w:val="000803A7"/>
    <w:rsid w:val="00080470"/>
    <w:rsid w:val="00081DA8"/>
    <w:rsid w:val="000827EF"/>
    <w:rsid w:val="000838C2"/>
    <w:rsid w:val="00085453"/>
    <w:rsid w:val="00087B4F"/>
    <w:rsid w:val="00087C6B"/>
    <w:rsid w:val="000901EE"/>
    <w:rsid w:val="00092C95"/>
    <w:rsid w:val="00093AA6"/>
    <w:rsid w:val="00094715"/>
    <w:rsid w:val="00094B3D"/>
    <w:rsid w:val="00094FC2"/>
    <w:rsid w:val="00095DF0"/>
    <w:rsid w:val="000968DF"/>
    <w:rsid w:val="000A0874"/>
    <w:rsid w:val="000A1E53"/>
    <w:rsid w:val="000A21BE"/>
    <w:rsid w:val="000A2CDA"/>
    <w:rsid w:val="000A3E90"/>
    <w:rsid w:val="000A5561"/>
    <w:rsid w:val="000A7C2F"/>
    <w:rsid w:val="000A7FE2"/>
    <w:rsid w:val="000B2EBA"/>
    <w:rsid w:val="000C2D7B"/>
    <w:rsid w:val="000C6B21"/>
    <w:rsid w:val="000D04C6"/>
    <w:rsid w:val="000D1C31"/>
    <w:rsid w:val="000D200A"/>
    <w:rsid w:val="000D303B"/>
    <w:rsid w:val="000D45AE"/>
    <w:rsid w:val="000D5381"/>
    <w:rsid w:val="000D59A8"/>
    <w:rsid w:val="000D779F"/>
    <w:rsid w:val="000E2F65"/>
    <w:rsid w:val="000E2F73"/>
    <w:rsid w:val="000E4614"/>
    <w:rsid w:val="000E4D03"/>
    <w:rsid w:val="000E5063"/>
    <w:rsid w:val="000E5CFB"/>
    <w:rsid w:val="000E6A03"/>
    <w:rsid w:val="000E6EED"/>
    <w:rsid w:val="000E781C"/>
    <w:rsid w:val="000F019E"/>
    <w:rsid w:val="000F0937"/>
    <w:rsid w:val="000F344E"/>
    <w:rsid w:val="000F3909"/>
    <w:rsid w:val="000F3B08"/>
    <w:rsid w:val="000F3C7E"/>
    <w:rsid w:val="00102B21"/>
    <w:rsid w:val="00102D6C"/>
    <w:rsid w:val="001032B6"/>
    <w:rsid w:val="00106644"/>
    <w:rsid w:val="00106D83"/>
    <w:rsid w:val="00112C62"/>
    <w:rsid w:val="00115E7B"/>
    <w:rsid w:val="00116EAD"/>
    <w:rsid w:val="0012124E"/>
    <w:rsid w:val="001212AD"/>
    <w:rsid w:val="00121656"/>
    <w:rsid w:val="00121C08"/>
    <w:rsid w:val="00123009"/>
    <w:rsid w:val="00124448"/>
    <w:rsid w:val="00126BDA"/>
    <w:rsid w:val="00133BBD"/>
    <w:rsid w:val="00134436"/>
    <w:rsid w:val="00137811"/>
    <w:rsid w:val="00137E12"/>
    <w:rsid w:val="00140072"/>
    <w:rsid w:val="00143E93"/>
    <w:rsid w:val="00146C31"/>
    <w:rsid w:val="0014704A"/>
    <w:rsid w:val="00152152"/>
    <w:rsid w:val="001539AE"/>
    <w:rsid w:val="001539FA"/>
    <w:rsid w:val="00155BA3"/>
    <w:rsid w:val="00161CD5"/>
    <w:rsid w:val="00161DBC"/>
    <w:rsid w:val="00165D66"/>
    <w:rsid w:val="00167049"/>
    <w:rsid w:val="001677EA"/>
    <w:rsid w:val="00171284"/>
    <w:rsid w:val="00173D74"/>
    <w:rsid w:val="001745C9"/>
    <w:rsid w:val="00175995"/>
    <w:rsid w:val="00175D99"/>
    <w:rsid w:val="00176D7D"/>
    <w:rsid w:val="00180B8D"/>
    <w:rsid w:val="00181A72"/>
    <w:rsid w:val="001861D9"/>
    <w:rsid w:val="001876A3"/>
    <w:rsid w:val="00187BCC"/>
    <w:rsid w:val="00187D6F"/>
    <w:rsid w:val="0019253C"/>
    <w:rsid w:val="001932A2"/>
    <w:rsid w:val="00196B5F"/>
    <w:rsid w:val="00196F2F"/>
    <w:rsid w:val="00197266"/>
    <w:rsid w:val="001A0713"/>
    <w:rsid w:val="001A2EF4"/>
    <w:rsid w:val="001A7E71"/>
    <w:rsid w:val="001A7FFA"/>
    <w:rsid w:val="001B1E2A"/>
    <w:rsid w:val="001B47E9"/>
    <w:rsid w:val="001B581D"/>
    <w:rsid w:val="001B5A76"/>
    <w:rsid w:val="001B7261"/>
    <w:rsid w:val="001C172D"/>
    <w:rsid w:val="001C67DB"/>
    <w:rsid w:val="001C6A77"/>
    <w:rsid w:val="001C7A6E"/>
    <w:rsid w:val="001D1042"/>
    <w:rsid w:val="001D19E5"/>
    <w:rsid w:val="001D1D46"/>
    <w:rsid w:val="001D275C"/>
    <w:rsid w:val="001D2CDB"/>
    <w:rsid w:val="001D4D86"/>
    <w:rsid w:val="001D5A09"/>
    <w:rsid w:val="001D7F53"/>
    <w:rsid w:val="001E0884"/>
    <w:rsid w:val="001E3458"/>
    <w:rsid w:val="001E393D"/>
    <w:rsid w:val="001E43F8"/>
    <w:rsid w:val="001F4661"/>
    <w:rsid w:val="001F4B18"/>
    <w:rsid w:val="001F4DF8"/>
    <w:rsid w:val="001F65FB"/>
    <w:rsid w:val="00204B3D"/>
    <w:rsid w:val="00205C70"/>
    <w:rsid w:val="00207EEF"/>
    <w:rsid w:val="00210AF4"/>
    <w:rsid w:val="0021312B"/>
    <w:rsid w:val="0021397F"/>
    <w:rsid w:val="00214873"/>
    <w:rsid w:val="00215634"/>
    <w:rsid w:val="00217A47"/>
    <w:rsid w:val="00220699"/>
    <w:rsid w:val="00222CA1"/>
    <w:rsid w:val="00224EE3"/>
    <w:rsid w:val="002275C6"/>
    <w:rsid w:val="00227D05"/>
    <w:rsid w:val="002305CE"/>
    <w:rsid w:val="002310AA"/>
    <w:rsid w:val="00231490"/>
    <w:rsid w:val="00235C94"/>
    <w:rsid w:val="00235DC4"/>
    <w:rsid w:val="00237470"/>
    <w:rsid w:val="00241A2F"/>
    <w:rsid w:val="00241DE9"/>
    <w:rsid w:val="00245B16"/>
    <w:rsid w:val="0024637B"/>
    <w:rsid w:val="00246B2B"/>
    <w:rsid w:val="002530D2"/>
    <w:rsid w:val="00254604"/>
    <w:rsid w:val="0025498D"/>
    <w:rsid w:val="00256A09"/>
    <w:rsid w:val="00260933"/>
    <w:rsid w:val="002609DB"/>
    <w:rsid w:val="0026263F"/>
    <w:rsid w:val="002628B0"/>
    <w:rsid w:val="00262A26"/>
    <w:rsid w:val="00263287"/>
    <w:rsid w:val="0026461C"/>
    <w:rsid w:val="002646B3"/>
    <w:rsid w:val="0026604F"/>
    <w:rsid w:val="00266469"/>
    <w:rsid w:val="00270021"/>
    <w:rsid w:val="00270F03"/>
    <w:rsid w:val="00272443"/>
    <w:rsid w:val="00274453"/>
    <w:rsid w:val="00277801"/>
    <w:rsid w:val="00277AE5"/>
    <w:rsid w:val="002802D6"/>
    <w:rsid w:val="0028513F"/>
    <w:rsid w:val="00286188"/>
    <w:rsid w:val="0028781D"/>
    <w:rsid w:val="00291BE1"/>
    <w:rsid w:val="00291EEE"/>
    <w:rsid w:val="0029328E"/>
    <w:rsid w:val="00293293"/>
    <w:rsid w:val="00294BE9"/>
    <w:rsid w:val="002A0F0E"/>
    <w:rsid w:val="002A14EE"/>
    <w:rsid w:val="002A3897"/>
    <w:rsid w:val="002A3D6F"/>
    <w:rsid w:val="002A4A50"/>
    <w:rsid w:val="002B0CC6"/>
    <w:rsid w:val="002B1D95"/>
    <w:rsid w:val="002B25CA"/>
    <w:rsid w:val="002B5A2C"/>
    <w:rsid w:val="002B5F37"/>
    <w:rsid w:val="002C3156"/>
    <w:rsid w:val="002C5299"/>
    <w:rsid w:val="002C70A0"/>
    <w:rsid w:val="002C7A3B"/>
    <w:rsid w:val="002D013A"/>
    <w:rsid w:val="002D2006"/>
    <w:rsid w:val="002D5A3E"/>
    <w:rsid w:val="002D6652"/>
    <w:rsid w:val="002D6C5D"/>
    <w:rsid w:val="002E1802"/>
    <w:rsid w:val="002E2FE5"/>
    <w:rsid w:val="002F00A7"/>
    <w:rsid w:val="002F1C9F"/>
    <w:rsid w:val="002F56E7"/>
    <w:rsid w:val="0030515B"/>
    <w:rsid w:val="00307CF6"/>
    <w:rsid w:val="0031095F"/>
    <w:rsid w:val="00310BB9"/>
    <w:rsid w:val="00311E0B"/>
    <w:rsid w:val="00313E56"/>
    <w:rsid w:val="00314A6D"/>
    <w:rsid w:val="00317956"/>
    <w:rsid w:val="00320485"/>
    <w:rsid w:val="0032242E"/>
    <w:rsid w:val="00322636"/>
    <w:rsid w:val="00330868"/>
    <w:rsid w:val="0033189B"/>
    <w:rsid w:val="00332259"/>
    <w:rsid w:val="00333CBF"/>
    <w:rsid w:val="003354F4"/>
    <w:rsid w:val="00336F6D"/>
    <w:rsid w:val="003377FF"/>
    <w:rsid w:val="003434EE"/>
    <w:rsid w:val="00345F44"/>
    <w:rsid w:val="00350031"/>
    <w:rsid w:val="0035004D"/>
    <w:rsid w:val="00350342"/>
    <w:rsid w:val="00350359"/>
    <w:rsid w:val="0035316E"/>
    <w:rsid w:val="003556D8"/>
    <w:rsid w:val="003561D4"/>
    <w:rsid w:val="003606A8"/>
    <w:rsid w:val="00361118"/>
    <w:rsid w:val="0036306A"/>
    <w:rsid w:val="00364792"/>
    <w:rsid w:val="003738E3"/>
    <w:rsid w:val="00373DC9"/>
    <w:rsid w:val="00375A28"/>
    <w:rsid w:val="0037625A"/>
    <w:rsid w:val="00380424"/>
    <w:rsid w:val="00380E37"/>
    <w:rsid w:val="00381BA0"/>
    <w:rsid w:val="003870D6"/>
    <w:rsid w:val="00390DFE"/>
    <w:rsid w:val="003916B0"/>
    <w:rsid w:val="00391EE8"/>
    <w:rsid w:val="00392471"/>
    <w:rsid w:val="00394990"/>
    <w:rsid w:val="00394D89"/>
    <w:rsid w:val="003950CA"/>
    <w:rsid w:val="00395198"/>
    <w:rsid w:val="003971D4"/>
    <w:rsid w:val="00397346"/>
    <w:rsid w:val="00397B5A"/>
    <w:rsid w:val="00397F37"/>
    <w:rsid w:val="003A2204"/>
    <w:rsid w:val="003A32E3"/>
    <w:rsid w:val="003A3C9B"/>
    <w:rsid w:val="003A49B6"/>
    <w:rsid w:val="003A70C8"/>
    <w:rsid w:val="003B21A7"/>
    <w:rsid w:val="003B4511"/>
    <w:rsid w:val="003B4953"/>
    <w:rsid w:val="003B4E48"/>
    <w:rsid w:val="003B6C8E"/>
    <w:rsid w:val="003B78C6"/>
    <w:rsid w:val="003C00E1"/>
    <w:rsid w:val="003C1D53"/>
    <w:rsid w:val="003C418C"/>
    <w:rsid w:val="003C4205"/>
    <w:rsid w:val="003C5264"/>
    <w:rsid w:val="003C5C40"/>
    <w:rsid w:val="003D0215"/>
    <w:rsid w:val="003D091C"/>
    <w:rsid w:val="003D11B4"/>
    <w:rsid w:val="003D1E1E"/>
    <w:rsid w:val="003D1F59"/>
    <w:rsid w:val="003D3289"/>
    <w:rsid w:val="003D554D"/>
    <w:rsid w:val="003E0C67"/>
    <w:rsid w:val="003E2029"/>
    <w:rsid w:val="003E3385"/>
    <w:rsid w:val="003E4845"/>
    <w:rsid w:val="003E6A7C"/>
    <w:rsid w:val="003E731A"/>
    <w:rsid w:val="003F05A4"/>
    <w:rsid w:val="003F0AD1"/>
    <w:rsid w:val="003F0B6E"/>
    <w:rsid w:val="003F0C8B"/>
    <w:rsid w:val="003F22F2"/>
    <w:rsid w:val="003F2E4F"/>
    <w:rsid w:val="003F32C2"/>
    <w:rsid w:val="003F62A4"/>
    <w:rsid w:val="00402915"/>
    <w:rsid w:val="00403A52"/>
    <w:rsid w:val="00407916"/>
    <w:rsid w:val="00410FDC"/>
    <w:rsid w:val="0041202D"/>
    <w:rsid w:val="00412135"/>
    <w:rsid w:val="00412399"/>
    <w:rsid w:val="00413530"/>
    <w:rsid w:val="0041419D"/>
    <w:rsid w:val="00422538"/>
    <w:rsid w:val="00423AEE"/>
    <w:rsid w:val="00423BA5"/>
    <w:rsid w:val="00424C16"/>
    <w:rsid w:val="00424E27"/>
    <w:rsid w:val="00427C20"/>
    <w:rsid w:val="00431950"/>
    <w:rsid w:val="00432A95"/>
    <w:rsid w:val="0043601C"/>
    <w:rsid w:val="0043639E"/>
    <w:rsid w:val="00436D6D"/>
    <w:rsid w:val="00436FA6"/>
    <w:rsid w:val="00437B7C"/>
    <w:rsid w:val="00440E1C"/>
    <w:rsid w:val="00441E5B"/>
    <w:rsid w:val="00443289"/>
    <w:rsid w:val="00444964"/>
    <w:rsid w:val="00446534"/>
    <w:rsid w:val="00451295"/>
    <w:rsid w:val="00452597"/>
    <w:rsid w:val="004552CA"/>
    <w:rsid w:val="004651A4"/>
    <w:rsid w:val="004655AF"/>
    <w:rsid w:val="004657C0"/>
    <w:rsid w:val="00465ED4"/>
    <w:rsid w:val="00466CDD"/>
    <w:rsid w:val="00467433"/>
    <w:rsid w:val="00470015"/>
    <w:rsid w:val="00472EE2"/>
    <w:rsid w:val="00472F1B"/>
    <w:rsid w:val="00472FD3"/>
    <w:rsid w:val="00476124"/>
    <w:rsid w:val="00477B0B"/>
    <w:rsid w:val="0048706E"/>
    <w:rsid w:val="004903CD"/>
    <w:rsid w:val="00490B24"/>
    <w:rsid w:val="004944CF"/>
    <w:rsid w:val="00495928"/>
    <w:rsid w:val="00495FF1"/>
    <w:rsid w:val="004A4F02"/>
    <w:rsid w:val="004A6ABC"/>
    <w:rsid w:val="004B0778"/>
    <w:rsid w:val="004B1D00"/>
    <w:rsid w:val="004C1963"/>
    <w:rsid w:val="004C3E75"/>
    <w:rsid w:val="004C41E1"/>
    <w:rsid w:val="004C5EB0"/>
    <w:rsid w:val="004C7A00"/>
    <w:rsid w:val="004C7EE5"/>
    <w:rsid w:val="004D040B"/>
    <w:rsid w:val="004D256A"/>
    <w:rsid w:val="004D2B2D"/>
    <w:rsid w:val="004D411E"/>
    <w:rsid w:val="004E0EFE"/>
    <w:rsid w:val="004E20B8"/>
    <w:rsid w:val="004E2E9E"/>
    <w:rsid w:val="004F1669"/>
    <w:rsid w:val="004F3C92"/>
    <w:rsid w:val="004F3E79"/>
    <w:rsid w:val="004F51B2"/>
    <w:rsid w:val="004F6083"/>
    <w:rsid w:val="004F6703"/>
    <w:rsid w:val="005001B2"/>
    <w:rsid w:val="00500BB8"/>
    <w:rsid w:val="00502006"/>
    <w:rsid w:val="005021C4"/>
    <w:rsid w:val="00502EFB"/>
    <w:rsid w:val="005037FD"/>
    <w:rsid w:val="005050DD"/>
    <w:rsid w:val="00505A6B"/>
    <w:rsid w:val="00511823"/>
    <w:rsid w:val="00512DD8"/>
    <w:rsid w:val="00512ED0"/>
    <w:rsid w:val="005131DB"/>
    <w:rsid w:val="005134CD"/>
    <w:rsid w:val="00515399"/>
    <w:rsid w:val="00515C37"/>
    <w:rsid w:val="00517915"/>
    <w:rsid w:val="005237F0"/>
    <w:rsid w:val="00523C2D"/>
    <w:rsid w:val="005244F9"/>
    <w:rsid w:val="00524F1F"/>
    <w:rsid w:val="00525416"/>
    <w:rsid w:val="0052573A"/>
    <w:rsid w:val="005308EF"/>
    <w:rsid w:val="0053332F"/>
    <w:rsid w:val="005336F0"/>
    <w:rsid w:val="005377CB"/>
    <w:rsid w:val="00540705"/>
    <w:rsid w:val="0054072D"/>
    <w:rsid w:val="0054114F"/>
    <w:rsid w:val="005414E7"/>
    <w:rsid w:val="00542489"/>
    <w:rsid w:val="00542FFC"/>
    <w:rsid w:val="0054336D"/>
    <w:rsid w:val="005462CA"/>
    <w:rsid w:val="0054697D"/>
    <w:rsid w:val="00550FC3"/>
    <w:rsid w:val="00551A47"/>
    <w:rsid w:val="00551D7E"/>
    <w:rsid w:val="00555267"/>
    <w:rsid w:val="00555F69"/>
    <w:rsid w:val="005570A9"/>
    <w:rsid w:val="00557EAD"/>
    <w:rsid w:val="005633DB"/>
    <w:rsid w:val="00563EB2"/>
    <w:rsid w:val="00564485"/>
    <w:rsid w:val="00571BA1"/>
    <w:rsid w:val="00573167"/>
    <w:rsid w:val="005737D6"/>
    <w:rsid w:val="005741F9"/>
    <w:rsid w:val="00575D47"/>
    <w:rsid w:val="00576013"/>
    <w:rsid w:val="00576919"/>
    <w:rsid w:val="00577168"/>
    <w:rsid w:val="00581FA5"/>
    <w:rsid w:val="00582A7E"/>
    <w:rsid w:val="00583684"/>
    <w:rsid w:val="00583978"/>
    <w:rsid w:val="00585491"/>
    <w:rsid w:val="00590B97"/>
    <w:rsid w:val="00590E17"/>
    <w:rsid w:val="00594359"/>
    <w:rsid w:val="005944C9"/>
    <w:rsid w:val="00594B96"/>
    <w:rsid w:val="00594DE0"/>
    <w:rsid w:val="00594FB3"/>
    <w:rsid w:val="005952F9"/>
    <w:rsid w:val="00597B90"/>
    <w:rsid w:val="005A06D8"/>
    <w:rsid w:val="005A165A"/>
    <w:rsid w:val="005A18B2"/>
    <w:rsid w:val="005A372D"/>
    <w:rsid w:val="005A4D8C"/>
    <w:rsid w:val="005A6CB7"/>
    <w:rsid w:val="005B0ADD"/>
    <w:rsid w:val="005B4B81"/>
    <w:rsid w:val="005B5509"/>
    <w:rsid w:val="005B6F78"/>
    <w:rsid w:val="005B7052"/>
    <w:rsid w:val="005B74E1"/>
    <w:rsid w:val="005C28C1"/>
    <w:rsid w:val="005C46F6"/>
    <w:rsid w:val="005C46FF"/>
    <w:rsid w:val="005C4CDA"/>
    <w:rsid w:val="005D03A6"/>
    <w:rsid w:val="005D082E"/>
    <w:rsid w:val="005D2713"/>
    <w:rsid w:val="005D2787"/>
    <w:rsid w:val="005D3239"/>
    <w:rsid w:val="005D3F3B"/>
    <w:rsid w:val="005D45E1"/>
    <w:rsid w:val="005D5298"/>
    <w:rsid w:val="005D6265"/>
    <w:rsid w:val="005D6D2A"/>
    <w:rsid w:val="005D70AD"/>
    <w:rsid w:val="005D7DA5"/>
    <w:rsid w:val="005E0455"/>
    <w:rsid w:val="005E1CC8"/>
    <w:rsid w:val="005E2BD5"/>
    <w:rsid w:val="005E382E"/>
    <w:rsid w:val="005E3878"/>
    <w:rsid w:val="005E4F64"/>
    <w:rsid w:val="005E66BE"/>
    <w:rsid w:val="005E7785"/>
    <w:rsid w:val="005F3594"/>
    <w:rsid w:val="005F3AE4"/>
    <w:rsid w:val="005F3FC1"/>
    <w:rsid w:val="005F4D71"/>
    <w:rsid w:val="005F593D"/>
    <w:rsid w:val="005F6030"/>
    <w:rsid w:val="005F6D5A"/>
    <w:rsid w:val="00600A70"/>
    <w:rsid w:val="006012E2"/>
    <w:rsid w:val="00601DF5"/>
    <w:rsid w:val="00602284"/>
    <w:rsid w:val="00606B1B"/>
    <w:rsid w:val="006118AA"/>
    <w:rsid w:val="00613464"/>
    <w:rsid w:val="00617969"/>
    <w:rsid w:val="00622BA2"/>
    <w:rsid w:val="00625524"/>
    <w:rsid w:val="00625E52"/>
    <w:rsid w:val="00625E66"/>
    <w:rsid w:val="00631911"/>
    <w:rsid w:val="00634127"/>
    <w:rsid w:val="00634B38"/>
    <w:rsid w:val="00636DEA"/>
    <w:rsid w:val="00641882"/>
    <w:rsid w:val="0064198A"/>
    <w:rsid w:val="00643A7D"/>
    <w:rsid w:val="006453FC"/>
    <w:rsid w:val="006459D3"/>
    <w:rsid w:val="00653102"/>
    <w:rsid w:val="00653537"/>
    <w:rsid w:val="00661D73"/>
    <w:rsid w:val="00663015"/>
    <w:rsid w:val="006639CC"/>
    <w:rsid w:val="006651EE"/>
    <w:rsid w:val="00665DA0"/>
    <w:rsid w:val="00667D37"/>
    <w:rsid w:val="006700B0"/>
    <w:rsid w:val="00675767"/>
    <w:rsid w:val="00676816"/>
    <w:rsid w:val="00681A24"/>
    <w:rsid w:val="0069102F"/>
    <w:rsid w:val="006930F6"/>
    <w:rsid w:val="006950A7"/>
    <w:rsid w:val="00695E0C"/>
    <w:rsid w:val="006A3E51"/>
    <w:rsid w:val="006A5980"/>
    <w:rsid w:val="006B40E1"/>
    <w:rsid w:val="006B50E5"/>
    <w:rsid w:val="006B61CD"/>
    <w:rsid w:val="006B738A"/>
    <w:rsid w:val="006C0B75"/>
    <w:rsid w:val="006C0EFE"/>
    <w:rsid w:val="006C1403"/>
    <w:rsid w:val="006C66FD"/>
    <w:rsid w:val="006C698D"/>
    <w:rsid w:val="006D03F0"/>
    <w:rsid w:val="006D0506"/>
    <w:rsid w:val="006D3BDA"/>
    <w:rsid w:val="006D5035"/>
    <w:rsid w:val="006D6647"/>
    <w:rsid w:val="006D690A"/>
    <w:rsid w:val="006D734B"/>
    <w:rsid w:val="006E6114"/>
    <w:rsid w:val="006E70F2"/>
    <w:rsid w:val="006F299E"/>
    <w:rsid w:val="006F38AF"/>
    <w:rsid w:val="006F4519"/>
    <w:rsid w:val="006F466E"/>
    <w:rsid w:val="006F520D"/>
    <w:rsid w:val="007003E1"/>
    <w:rsid w:val="007006DA"/>
    <w:rsid w:val="00700A54"/>
    <w:rsid w:val="0070587E"/>
    <w:rsid w:val="00705D93"/>
    <w:rsid w:val="00706F2D"/>
    <w:rsid w:val="00712FF1"/>
    <w:rsid w:val="00714791"/>
    <w:rsid w:val="00715812"/>
    <w:rsid w:val="0071697F"/>
    <w:rsid w:val="0072400B"/>
    <w:rsid w:val="007251A9"/>
    <w:rsid w:val="00725960"/>
    <w:rsid w:val="00730DF3"/>
    <w:rsid w:val="00733415"/>
    <w:rsid w:val="00737482"/>
    <w:rsid w:val="00737CD7"/>
    <w:rsid w:val="00740D92"/>
    <w:rsid w:val="00742400"/>
    <w:rsid w:val="00743303"/>
    <w:rsid w:val="007509DC"/>
    <w:rsid w:val="00751CF2"/>
    <w:rsid w:val="00753ABA"/>
    <w:rsid w:val="00755231"/>
    <w:rsid w:val="00757FDE"/>
    <w:rsid w:val="00762978"/>
    <w:rsid w:val="00764433"/>
    <w:rsid w:val="007652D5"/>
    <w:rsid w:val="00766293"/>
    <w:rsid w:val="0077042F"/>
    <w:rsid w:val="0077148E"/>
    <w:rsid w:val="00771FC4"/>
    <w:rsid w:val="00773102"/>
    <w:rsid w:val="007732F1"/>
    <w:rsid w:val="007750AD"/>
    <w:rsid w:val="0077560E"/>
    <w:rsid w:val="00775B6B"/>
    <w:rsid w:val="00775C80"/>
    <w:rsid w:val="00780BAA"/>
    <w:rsid w:val="007827A2"/>
    <w:rsid w:val="007901B9"/>
    <w:rsid w:val="007908A8"/>
    <w:rsid w:val="00792853"/>
    <w:rsid w:val="007935A5"/>
    <w:rsid w:val="00793AB9"/>
    <w:rsid w:val="00793D39"/>
    <w:rsid w:val="00794C8B"/>
    <w:rsid w:val="007A0522"/>
    <w:rsid w:val="007A1481"/>
    <w:rsid w:val="007A2191"/>
    <w:rsid w:val="007A5EBB"/>
    <w:rsid w:val="007A6C8B"/>
    <w:rsid w:val="007B05EC"/>
    <w:rsid w:val="007C0286"/>
    <w:rsid w:val="007C0294"/>
    <w:rsid w:val="007C43C1"/>
    <w:rsid w:val="007C5557"/>
    <w:rsid w:val="007C63BC"/>
    <w:rsid w:val="007D159D"/>
    <w:rsid w:val="007D1BDC"/>
    <w:rsid w:val="007D1DC0"/>
    <w:rsid w:val="007D3D3A"/>
    <w:rsid w:val="007D43DF"/>
    <w:rsid w:val="007D7740"/>
    <w:rsid w:val="007E24C8"/>
    <w:rsid w:val="007E3E04"/>
    <w:rsid w:val="007E4FEC"/>
    <w:rsid w:val="007F1CD9"/>
    <w:rsid w:val="007F4858"/>
    <w:rsid w:val="007F50E4"/>
    <w:rsid w:val="007F6C27"/>
    <w:rsid w:val="007F701E"/>
    <w:rsid w:val="007F7298"/>
    <w:rsid w:val="007F764A"/>
    <w:rsid w:val="007F7DCB"/>
    <w:rsid w:val="008029B5"/>
    <w:rsid w:val="00804301"/>
    <w:rsid w:val="00806039"/>
    <w:rsid w:val="00806C72"/>
    <w:rsid w:val="00810E60"/>
    <w:rsid w:val="0081115B"/>
    <w:rsid w:val="0081139D"/>
    <w:rsid w:val="0081240C"/>
    <w:rsid w:val="008134B7"/>
    <w:rsid w:val="008142A2"/>
    <w:rsid w:val="00815ECB"/>
    <w:rsid w:val="00815F22"/>
    <w:rsid w:val="0081725D"/>
    <w:rsid w:val="008202F6"/>
    <w:rsid w:val="0082043C"/>
    <w:rsid w:val="008209FE"/>
    <w:rsid w:val="008221E8"/>
    <w:rsid w:val="0082582A"/>
    <w:rsid w:val="00826A12"/>
    <w:rsid w:val="008305C3"/>
    <w:rsid w:val="0083483F"/>
    <w:rsid w:val="008368CE"/>
    <w:rsid w:val="00837CA8"/>
    <w:rsid w:val="00837E5D"/>
    <w:rsid w:val="00843171"/>
    <w:rsid w:val="00845F95"/>
    <w:rsid w:val="0084638F"/>
    <w:rsid w:val="008468A0"/>
    <w:rsid w:val="00847053"/>
    <w:rsid w:val="00847133"/>
    <w:rsid w:val="00855298"/>
    <w:rsid w:val="0086135B"/>
    <w:rsid w:val="00861EE0"/>
    <w:rsid w:val="0087546E"/>
    <w:rsid w:val="00875616"/>
    <w:rsid w:val="00887479"/>
    <w:rsid w:val="008874F4"/>
    <w:rsid w:val="00891993"/>
    <w:rsid w:val="00892792"/>
    <w:rsid w:val="0089300D"/>
    <w:rsid w:val="008942F1"/>
    <w:rsid w:val="008972A2"/>
    <w:rsid w:val="00897A98"/>
    <w:rsid w:val="008A0329"/>
    <w:rsid w:val="008A1094"/>
    <w:rsid w:val="008A1E05"/>
    <w:rsid w:val="008A2E2B"/>
    <w:rsid w:val="008A6210"/>
    <w:rsid w:val="008A78FB"/>
    <w:rsid w:val="008A7ECF"/>
    <w:rsid w:val="008B278D"/>
    <w:rsid w:val="008B2DCE"/>
    <w:rsid w:val="008B4C19"/>
    <w:rsid w:val="008C01C9"/>
    <w:rsid w:val="008C039B"/>
    <w:rsid w:val="008C0708"/>
    <w:rsid w:val="008C5649"/>
    <w:rsid w:val="008C797E"/>
    <w:rsid w:val="008C7B49"/>
    <w:rsid w:val="008D0746"/>
    <w:rsid w:val="008D148D"/>
    <w:rsid w:val="008D481F"/>
    <w:rsid w:val="008E0759"/>
    <w:rsid w:val="008E26EC"/>
    <w:rsid w:val="008E2C8D"/>
    <w:rsid w:val="008E4A9C"/>
    <w:rsid w:val="008E5030"/>
    <w:rsid w:val="008E5BA7"/>
    <w:rsid w:val="008E7192"/>
    <w:rsid w:val="008E71A0"/>
    <w:rsid w:val="008E7AE5"/>
    <w:rsid w:val="008E7BAD"/>
    <w:rsid w:val="008F0621"/>
    <w:rsid w:val="008F2A1D"/>
    <w:rsid w:val="008F2ADB"/>
    <w:rsid w:val="008F4EF8"/>
    <w:rsid w:val="008F5F74"/>
    <w:rsid w:val="008F60DD"/>
    <w:rsid w:val="008F6B5E"/>
    <w:rsid w:val="008F6E61"/>
    <w:rsid w:val="00900136"/>
    <w:rsid w:val="009008FB"/>
    <w:rsid w:val="00902430"/>
    <w:rsid w:val="009046F5"/>
    <w:rsid w:val="0090651F"/>
    <w:rsid w:val="00910984"/>
    <w:rsid w:val="00911395"/>
    <w:rsid w:val="00912E46"/>
    <w:rsid w:val="00917642"/>
    <w:rsid w:val="00920755"/>
    <w:rsid w:val="009224D4"/>
    <w:rsid w:val="00924D3A"/>
    <w:rsid w:val="00926030"/>
    <w:rsid w:val="0093080F"/>
    <w:rsid w:val="00931BAF"/>
    <w:rsid w:val="00932F4D"/>
    <w:rsid w:val="00935ED5"/>
    <w:rsid w:val="009368E2"/>
    <w:rsid w:val="00937D31"/>
    <w:rsid w:val="0094045B"/>
    <w:rsid w:val="00943A47"/>
    <w:rsid w:val="0094538C"/>
    <w:rsid w:val="00945B4F"/>
    <w:rsid w:val="00946482"/>
    <w:rsid w:val="00950E5A"/>
    <w:rsid w:val="00951781"/>
    <w:rsid w:val="00953B91"/>
    <w:rsid w:val="009545E7"/>
    <w:rsid w:val="00954AFA"/>
    <w:rsid w:val="00955D47"/>
    <w:rsid w:val="009569E2"/>
    <w:rsid w:val="00962D03"/>
    <w:rsid w:val="00963623"/>
    <w:rsid w:val="009655AE"/>
    <w:rsid w:val="00970065"/>
    <w:rsid w:val="00970F57"/>
    <w:rsid w:val="009717B8"/>
    <w:rsid w:val="009721E1"/>
    <w:rsid w:val="00972FAC"/>
    <w:rsid w:val="00973224"/>
    <w:rsid w:val="009741DE"/>
    <w:rsid w:val="00974F9E"/>
    <w:rsid w:val="00975EFA"/>
    <w:rsid w:val="00982B69"/>
    <w:rsid w:val="00983A57"/>
    <w:rsid w:val="00985857"/>
    <w:rsid w:val="009871B8"/>
    <w:rsid w:val="0099298E"/>
    <w:rsid w:val="009A0FC7"/>
    <w:rsid w:val="009A1B15"/>
    <w:rsid w:val="009A3D96"/>
    <w:rsid w:val="009B002F"/>
    <w:rsid w:val="009B31D5"/>
    <w:rsid w:val="009B506D"/>
    <w:rsid w:val="009B6385"/>
    <w:rsid w:val="009B6875"/>
    <w:rsid w:val="009B76B8"/>
    <w:rsid w:val="009C0628"/>
    <w:rsid w:val="009C1E25"/>
    <w:rsid w:val="009C206C"/>
    <w:rsid w:val="009C2A73"/>
    <w:rsid w:val="009C46A4"/>
    <w:rsid w:val="009D06A1"/>
    <w:rsid w:val="009D36D2"/>
    <w:rsid w:val="009E5D59"/>
    <w:rsid w:val="009F2E08"/>
    <w:rsid w:val="009F3791"/>
    <w:rsid w:val="009F445A"/>
    <w:rsid w:val="009F4486"/>
    <w:rsid w:val="009F5D63"/>
    <w:rsid w:val="009F61D6"/>
    <w:rsid w:val="009F6DC2"/>
    <w:rsid w:val="009F6DE0"/>
    <w:rsid w:val="009F776A"/>
    <w:rsid w:val="00A01FCB"/>
    <w:rsid w:val="00A0235A"/>
    <w:rsid w:val="00A038B7"/>
    <w:rsid w:val="00A04257"/>
    <w:rsid w:val="00A052A7"/>
    <w:rsid w:val="00A052DD"/>
    <w:rsid w:val="00A05C14"/>
    <w:rsid w:val="00A108E4"/>
    <w:rsid w:val="00A1491E"/>
    <w:rsid w:val="00A14BCC"/>
    <w:rsid w:val="00A14D20"/>
    <w:rsid w:val="00A15A35"/>
    <w:rsid w:val="00A15F7F"/>
    <w:rsid w:val="00A16521"/>
    <w:rsid w:val="00A21188"/>
    <w:rsid w:val="00A22AB9"/>
    <w:rsid w:val="00A240DF"/>
    <w:rsid w:val="00A24D72"/>
    <w:rsid w:val="00A30D97"/>
    <w:rsid w:val="00A31096"/>
    <w:rsid w:val="00A349A1"/>
    <w:rsid w:val="00A35FB6"/>
    <w:rsid w:val="00A415C2"/>
    <w:rsid w:val="00A42B9C"/>
    <w:rsid w:val="00A438C9"/>
    <w:rsid w:val="00A51F3C"/>
    <w:rsid w:val="00A61B0D"/>
    <w:rsid w:val="00A6255F"/>
    <w:rsid w:val="00A62A36"/>
    <w:rsid w:val="00A64C4C"/>
    <w:rsid w:val="00A64FAA"/>
    <w:rsid w:val="00A70646"/>
    <w:rsid w:val="00A71421"/>
    <w:rsid w:val="00A72C18"/>
    <w:rsid w:val="00A73265"/>
    <w:rsid w:val="00A7353D"/>
    <w:rsid w:val="00A7449E"/>
    <w:rsid w:val="00A745AF"/>
    <w:rsid w:val="00A74718"/>
    <w:rsid w:val="00A76632"/>
    <w:rsid w:val="00A77F4F"/>
    <w:rsid w:val="00A809B8"/>
    <w:rsid w:val="00A823B8"/>
    <w:rsid w:val="00A824A3"/>
    <w:rsid w:val="00A870F7"/>
    <w:rsid w:val="00A87FFC"/>
    <w:rsid w:val="00A90C7A"/>
    <w:rsid w:val="00A95403"/>
    <w:rsid w:val="00AA1E8B"/>
    <w:rsid w:val="00AA22B4"/>
    <w:rsid w:val="00AA36A1"/>
    <w:rsid w:val="00AA4AF2"/>
    <w:rsid w:val="00AA5249"/>
    <w:rsid w:val="00AA7A2F"/>
    <w:rsid w:val="00AA7B28"/>
    <w:rsid w:val="00AB129B"/>
    <w:rsid w:val="00AB3C17"/>
    <w:rsid w:val="00AC1C2B"/>
    <w:rsid w:val="00AC5DBD"/>
    <w:rsid w:val="00AC73A9"/>
    <w:rsid w:val="00AD131F"/>
    <w:rsid w:val="00AD1607"/>
    <w:rsid w:val="00AD3243"/>
    <w:rsid w:val="00AD62EE"/>
    <w:rsid w:val="00AD68A2"/>
    <w:rsid w:val="00AD69D9"/>
    <w:rsid w:val="00AE08B8"/>
    <w:rsid w:val="00AE0C29"/>
    <w:rsid w:val="00AE229E"/>
    <w:rsid w:val="00AE49AB"/>
    <w:rsid w:val="00AE58CD"/>
    <w:rsid w:val="00AE752D"/>
    <w:rsid w:val="00AF00FC"/>
    <w:rsid w:val="00AF31DA"/>
    <w:rsid w:val="00AF401B"/>
    <w:rsid w:val="00B00A2D"/>
    <w:rsid w:val="00B04EB2"/>
    <w:rsid w:val="00B063F0"/>
    <w:rsid w:val="00B0786A"/>
    <w:rsid w:val="00B13007"/>
    <w:rsid w:val="00B132D7"/>
    <w:rsid w:val="00B16847"/>
    <w:rsid w:val="00B16BAC"/>
    <w:rsid w:val="00B216A6"/>
    <w:rsid w:val="00B2387E"/>
    <w:rsid w:val="00B251BF"/>
    <w:rsid w:val="00B25F3E"/>
    <w:rsid w:val="00B2670A"/>
    <w:rsid w:val="00B26FF8"/>
    <w:rsid w:val="00B33F26"/>
    <w:rsid w:val="00B35034"/>
    <w:rsid w:val="00B37752"/>
    <w:rsid w:val="00B4079B"/>
    <w:rsid w:val="00B42456"/>
    <w:rsid w:val="00B44B45"/>
    <w:rsid w:val="00B53D3F"/>
    <w:rsid w:val="00B57E28"/>
    <w:rsid w:val="00B6449E"/>
    <w:rsid w:val="00B66B13"/>
    <w:rsid w:val="00B66FEA"/>
    <w:rsid w:val="00B67F27"/>
    <w:rsid w:val="00B7151E"/>
    <w:rsid w:val="00B719E8"/>
    <w:rsid w:val="00B7290F"/>
    <w:rsid w:val="00B73933"/>
    <w:rsid w:val="00B7439C"/>
    <w:rsid w:val="00B75521"/>
    <w:rsid w:val="00B76D28"/>
    <w:rsid w:val="00B804E4"/>
    <w:rsid w:val="00B80644"/>
    <w:rsid w:val="00B81302"/>
    <w:rsid w:val="00B82406"/>
    <w:rsid w:val="00B83566"/>
    <w:rsid w:val="00B85414"/>
    <w:rsid w:val="00B85DD5"/>
    <w:rsid w:val="00B86467"/>
    <w:rsid w:val="00B872BD"/>
    <w:rsid w:val="00B90EB6"/>
    <w:rsid w:val="00B92900"/>
    <w:rsid w:val="00B95226"/>
    <w:rsid w:val="00BA34DC"/>
    <w:rsid w:val="00BA50FE"/>
    <w:rsid w:val="00BA5DEE"/>
    <w:rsid w:val="00BA799B"/>
    <w:rsid w:val="00BB08E3"/>
    <w:rsid w:val="00BB0AA4"/>
    <w:rsid w:val="00BB0B82"/>
    <w:rsid w:val="00BB0BF1"/>
    <w:rsid w:val="00BB1E00"/>
    <w:rsid w:val="00BB48D2"/>
    <w:rsid w:val="00BB5426"/>
    <w:rsid w:val="00BB5B8A"/>
    <w:rsid w:val="00BB5D93"/>
    <w:rsid w:val="00BB610A"/>
    <w:rsid w:val="00BC041F"/>
    <w:rsid w:val="00BC08C1"/>
    <w:rsid w:val="00BC16E7"/>
    <w:rsid w:val="00BC2C2A"/>
    <w:rsid w:val="00BC37EA"/>
    <w:rsid w:val="00BC52FC"/>
    <w:rsid w:val="00BC5E87"/>
    <w:rsid w:val="00BC63D3"/>
    <w:rsid w:val="00BD0C4A"/>
    <w:rsid w:val="00BD2C9C"/>
    <w:rsid w:val="00BD36ED"/>
    <w:rsid w:val="00BD4CD1"/>
    <w:rsid w:val="00BD7571"/>
    <w:rsid w:val="00BD7C53"/>
    <w:rsid w:val="00BE0522"/>
    <w:rsid w:val="00BE0681"/>
    <w:rsid w:val="00BE0EB8"/>
    <w:rsid w:val="00BE1157"/>
    <w:rsid w:val="00BE2995"/>
    <w:rsid w:val="00BE2BB0"/>
    <w:rsid w:val="00BE2FFC"/>
    <w:rsid w:val="00BE4337"/>
    <w:rsid w:val="00BE7DC1"/>
    <w:rsid w:val="00BF67E8"/>
    <w:rsid w:val="00C0177F"/>
    <w:rsid w:val="00C035EB"/>
    <w:rsid w:val="00C1099E"/>
    <w:rsid w:val="00C13587"/>
    <w:rsid w:val="00C17C18"/>
    <w:rsid w:val="00C261AF"/>
    <w:rsid w:val="00C303C7"/>
    <w:rsid w:val="00C34B5F"/>
    <w:rsid w:val="00C363CF"/>
    <w:rsid w:val="00C40665"/>
    <w:rsid w:val="00C40D10"/>
    <w:rsid w:val="00C414E3"/>
    <w:rsid w:val="00C4184F"/>
    <w:rsid w:val="00C444A2"/>
    <w:rsid w:val="00C45B6A"/>
    <w:rsid w:val="00C50FCE"/>
    <w:rsid w:val="00C512B4"/>
    <w:rsid w:val="00C5259B"/>
    <w:rsid w:val="00C54F48"/>
    <w:rsid w:val="00C66CFC"/>
    <w:rsid w:val="00C676DD"/>
    <w:rsid w:val="00C72006"/>
    <w:rsid w:val="00C73126"/>
    <w:rsid w:val="00C7662E"/>
    <w:rsid w:val="00C76675"/>
    <w:rsid w:val="00C76B98"/>
    <w:rsid w:val="00C81843"/>
    <w:rsid w:val="00C824E3"/>
    <w:rsid w:val="00C8272B"/>
    <w:rsid w:val="00C82F74"/>
    <w:rsid w:val="00C85490"/>
    <w:rsid w:val="00C86B4D"/>
    <w:rsid w:val="00C9063E"/>
    <w:rsid w:val="00C90F01"/>
    <w:rsid w:val="00C9163B"/>
    <w:rsid w:val="00C937F6"/>
    <w:rsid w:val="00C94247"/>
    <w:rsid w:val="00C9457A"/>
    <w:rsid w:val="00C95956"/>
    <w:rsid w:val="00C95CBA"/>
    <w:rsid w:val="00C97728"/>
    <w:rsid w:val="00CA1416"/>
    <w:rsid w:val="00CA2999"/>
    <w:rsid w:val="00CA3834"/>
    <w:rsid w:val="00CA576E"/>
    <w:rsid w:val="00CB1103"/>
    <w:rsid w:val="00CB1667"/>
    <w:rsid w:val="00CB1DD5"/>
    <w:rsid w:val="00CB4D4F"/>
    <w:rsid w:val="00CB6FBA"/>
    <w:rsid w:val="00CC3670"/>
    <w:rsid w:val="00CC7982"/>
    <w:rsid w:val="00CD36C3"/>
    <w:rsid w:val="00CD5099"/>
    <w:rsid w:val="00CD5734"/>
    <w:rsid w:val="00CE063A"/>
    <w:rsid w:val="00CE0A58"/>
    <w:rsid w:val="00CE2288"/>
    <w:rsid w:val="00CE43F9"/>
    <w:rsid w:val="00CE6761"/>
    <w:rsid w:val="00CE7782"/>
    <w:rsid w:val="00CF1673"/>
    <w:rsid w:val="00CF311B"/>
    <w:rsid w:val="00CF355E"/>
    <w:rsid w:val="00CF6ED7"/>
    <w:rsid w:val="00D02267"/>
    <w:rsid w:val="00D02606"/>
    <w:rsid w:val="00D02939"/>
    <w:rsid w:val="00D03E9B"/>
    <w:rsid w:val="00D04CD7"/>
    <w:rsid w:val="00D061B6"/>
    <w:rsid w:val="00D067F5"/>
    <w:rsid w:val="00D06860"/>
    <w:rsid w:val="00D07DD0"/>
    <w:rsid w:val="00D13AA8"/>
    <w:rsid w:val="00D20D55"/>
    <w:rsid w:val="00D219AB"/>
    <w:rsid w:val="00D22767"/>
    <w:rsid w:val="00D22F49"/>
    <w:rsid w:val="00D2468E"/>
    <w:rsid w:val="00D26225"/>
    <w:rsid w:val="00D266E6"/>
    <w:rsid w:val="00D27C17"/>
    <w:rsid w:val="00D31572"/>
    <w:rsid w:val="00D328E9"/>
    <w:rsid w:val="00D34A2E"/>
    <w:rsid w:val="00D351B6"/>
    <w:rsid w:val="00D35AE5"/>
    <w:rsid w:val="00D36246"/>
    <w:rsid w:val="00D37824"/>
    <w:rsid w:val="00D46B6E"/>
    <w:rsid w:val="00D4725A"/>
    <w:rsid w:val="00D4725E"/>
    <w:rsid w:val="00D502A9"/>
    <w:rsid w:val="00D554A3"/>
    <w:rsid w:val="00D57719"/>
    <w:rsid w:val="00D57F84"/>
    <w:rsid w:val="00D60EB7"/>
    <w:rsid w:val="00D6185D"/>
    <w:rsid w:val="00D65812"/>
    <w:rsid w:val="00D6609E"/>
    <w:rsid w:val="00D66C89"/>
    <w:rsid w:val="00D679EB"/>
    <w:rsid w:val="00D70A82"/>
    <w:rsid w:val="00D71F99"/>
    <w:rsid w:val="00D732C2"/>
    <w:rsid w:val="00D7383C"/>
    <w:rsid w:val="00D75D32"/>
    <w:rsid w:val="00D828E6"/>
    <w:rsid w:val="00D83CC0"/>
    <w:rsid w:val="00D83CED"/>
    <w:rsid w:val="00D84758"/>
    <w:rsid w:val="00D90D7C"/>
    <w:rsid w:val="00D918FC"/>
    <w:rsid w:val="00D93A2C"/>
    <w:rsid w:val="00D9463A"/>
    <w:rsid w:val="00D95BB1"/>
    <w:rsid w:val="00DA0260"/>
    <w:rsid w:val="00DA16F8"/>
    <w:rsid w:val="00DA33CC"/>
    <w:rsid w:val="00DA39F8"/>
    <w:rsid w:val="00DA3ECC"/>
    <w:rsid w:val="00DA4D8D"/>
    <w:rsid w:val="00DA771C"/>
    <w:rsid w:val="00DB030B"/>
    <w:rsid w:val="00DB1285"/>
    <w:rsid w:val="00DB482C"/>
    <w:rsid w:val="00DB5D48"/>
    <w:rsid w:val="00DB6087"/>
    <w:rsid w:val="00DC0758"/>
    <w:rsid w:val="00DC1811"/>
    <w:rsid w:val="00DC23F1"/>
    <w:rsid w:val="00DC3020"/>
    <w:rsid w:val="00DC5CBE"/>
    <w:rsid w:val="00DC6511"/>
    <w:rsid w:val="00DC7ADB"/>
    <w:rsid w:val="00DC7DA5"/>
    <w:rsid w:val="00DD0EB8"/>
    <w:rsid w:val="00DD12D7"/>
    <w:rsid w:val="00DD3161"/>
    <w:rsid w:val="00DD4F63"/>
    <w:rsid w:val="00DD645A"/>
    <w:rsid w:val="00DE15C0"/>
    <w:rsid w:val="00DE3160"/>
    <w:rsid w:val="00DE34D0"/>
    <w:rsid w:val="00DF014C"/>
    <w:rsid w:val="00DF06A6"/>
    <w:rsid w:val="00DF1BD0"/>
    <w:rsid w:val="00DF1C98"/>
    <w:rsid w:val="00DF35C4"/>
    <w:rsid w:val="00DF3E9C"/>
    <w:rsid w:val="00E002EC"/>
    <w:rsid w:val="00E007B7"/>
    <w:rsid w:val="00E010CF"/>
    <w:rsid w:val="00E01419"/>
    <w:rsid w:val="00E053D4"/>
    <w:rsid w:val="00E05E5D"/>
    <w:rsid w:val="00E06371"/>
    <w:rsid w:val="00E0744E"/>
    <w:rsid w:val="00E1348C"/>
    <w:rsid w:val="00E13F45"/>
    <w:rsid w:val="00E1432E"/>
    <w:rsid w:val="00E14B28"/>
    <w:rsid w:val="00E175C4"/>
    <w:rsid w:val="00E17ABB"/>
    <w:rsid w:val="00E26B9A"/>
    <w:rsid w:val="00E26D19"/>
    <w:rsid w:val="00E27C54"/>
    <w:rsid w:val="00E3199C"/>
    <w:rsid w:val="00E3214F"/>
    <w:rsid w:val="00E32B67"/>
    <w:rsid w:val="00E33FB5"/>
    <w:rsid w:val="00E35A23"/>
    <w:rsid w:val="00E40095"/>
    <w:rsid w:val="00E4537B"/>
    <w:rsid w:val="00E4686F"/>
    <w:rsid w:val="00E47310"/>
    <w:rsid w:val="00E557D9"/>
    <w:rsid w:val="00E608F5"/>
    <w:rsid w:val="00E63570"/>
    <w:rsid w:val="00E6476C"/>
    <w:rsid w:val="00E769AD"/>
    <w:rsid w:val="00E77084"/>
    <w:rsid w:val="00E810E4"/>
    <w:rsid w:val="00E817C8"/>
    <w:rsid w:val="00E81FC3"/>
    <w:rsid w:val="00E831A1"/>
    <w:rsid w:val="00E8434A"/>
    <w:rsid w:val="00E84566"/>
    <w:rsid w:val="00E84DE2"/>
    <w:rsid w:val="00E8535B"/>
    <w:rsid w:val="00E86287"/>
    <w:rsid w:val="00E86397"/>
    <w:rsid w:val="00E86915"/>
    <w:rsid w:val="00E87010"/>
    <w:rsid w:val="00E9210A"/>
    <w:rsid w:val="00E94A40"/>
    <w:rsid w:val="00E960F7"/>
    <w:rsid w:val="00E96C7E"/>
    <w:rsid w:val="00E973D8"/>
    <w:rsid w:val="00E97425"/>
    <w:rsid w:val="00E9754B"/>
    <w:rsid w:val="00E97A43"/>
    <w:rsid w:val="00E97D10"/>
    <w:rsid w:val="00EA2BCA"/>
    <w:rsid w:val="00EA4044"/>
    <w:rsid w:val="00EA4B72"/>
    <w:rsid w:val="00EB0B1D"/>
    <w:rsid w:val="00EB26E9"/>
    <w:rsid w:val="00EB2FE6"/>
    <w:rsid w:val="00EB57EF"/>
    <w:rsid w:val="00EB5831"/>
    <w:rsid w:val="00EB61DE"/>
    <w:rsid w:val="00EC014A"/>
    <w:rsid w:val="00EC149D"/>
    <w:rsid w:val="00EC5E50"/>
    <w:rsid w:val="00EC684E"/>
    <w:rsid w:val="00ED039D"/>
    <w:rsid w:val="00ED0995"/>
    <w:rsid w:val="00ED199D"/>
    <w:rsid w:val="00ED269A"/>
    <w:rsid w:val="00ED2DB9"/>
    <w:rsid w:val="00ED4A3F"/>
    <w:rsid w:val="00ED4B00"/>
    <w:rsid w:val="00EE2652"/>
    <w:rsid w:val="00EE45DE"/>
    <w:rsid w:val="00EE5B96"/>
    <w:rsid w:val="00EF038A"/>
    <w:rsid w:val="00EF084A"/>
    <w:rsid w:val="00EF0B68"/>
    <w:rsid w:val="00EF21FD"/>
    <w:rsid w:val="00EF2D53"/>
    <w:rsid w:val="00EF48F0"/>
    <w:rsid w:val="00EF5B99"/>
    <w:rsid w:val="00EF6D2F"/>
    <w:rsid w:val="00F00B3F"/>
    <w:rsid w:val="00F034D7"/>
    <w:rsid w:val="00F07B88"/>
    <w:rsid w:val="00F10447"/>
    <w:rsid w:val="00F11534"/>
    <w:rsid w:val="00F133C7"/>
    <w:rsid w:val="00F13D91"/>
    <w:rsid w:val="00F15079"/>
    <w:rsid w:val="00F155C1"/>
    <w:rsid w:val="00F16AF9"/>
    <w:rsid w:val="00F16D91"/>
    <w:rsid w:val="00F20DFD"/>
    <w:rsid w:val="00F22B86"/>
    <w:rsid w:val="00F3355D"/>
    <w:rsid w:val="00F35742"/>
    <w:rsid w:val="00F35B26"/>
    <w:rsid w:val="00F3654F"/>
    <w:rsid w:val="00F3670A"/>
    <w:rsid w:val="00F40033"/>
    <w:rsid w:val="00F437EE"/>
    <w:rsid w:val="00F47060"/>
    <w:rsid w:val="00F506DC"/>
    <w:rsid w:val="00F50E13"/>
    <w:rsid w:val="00F557F1"/>
    <w:rsid w:val="00F5592B"/>
    <w:rsid w:val="00F5734A"/>
    <w:rsid w:val="00F604CC"/>
    <w:rsid w:val="00F61938"/>
    <w:rsid w:val="00F61EB8"/>
    <w:rsid w:val="00F63FD1"/>
    <w:rsid w:val="00F64314"/>
    <w:rsid w:val="00F646F8"/>
    <w:rsid w:val="00F64D95"/>
    <w:rsid w:val="00F673DA"/>
    <w:rsid w:val="00F7036E"/>
    <w:rsid w:val="00F704AC"/>
    <w:rsid w:val="00F70718"/>
    <w:rsid w:val="00F73703"/>
    <w:rsid w:val="00F74765"/>
    <w:rsid w:val="00F75026"/>
    <w:rsid w:val="00F77C17"/>
    <w:rsid w:val="00F815D6"/>
    <w:rsid w:val="00F847E4"/>
    <w:rsid w:val="00F855EA"/>
    <w:rsid w:val="00F861C1"/>
    <w:rsid w:val="00F87AA4"/>
    <w:rsid w:val="00F95E2E"/>
    <w:rsid w:val="00FA15E1"/>
    <w:rsid w:val="00FA3894"/>
    <w:rsid w:val="00FA4645"/>
    <w:rsid w:val="00FA4F0D"/>
    <w:rsid w:val="00FB1277"/>
    <w:rsid w:val="00FB1C9C"/>
    <w:rsid w:val="00FB34A8"/>
    <w:rsid w:val="00FB3D1A"/>
    <w:rsid w:val="00FC2F33"/>
    <w:rsid w:val="00FC3CE9"/>
    <w:rsid w:val="00FC3FD7"/>
    <w:rsid w:val="00FC433C"/>
    <w:rsid w:val="00FC72A1"/>
    <w:rsid w:val="00FD1945"/>
    <w:rsid w:val="00FD1D25"/>
    <w:rsid w:val="00FD5769"/>
    <w:rsid w:val="00FE0B1D"/>
    <w:rsid w:val="00FE105F"/>
    <w:rsid w:val="00FE2522"/>
    <w:rsid w:val="00FE2F99"/>
    <w:rsid w:val="00FE3AD9"/>
    <w:rsid w:val="00FE3E31"/>
    <w:rsid w:val="00FE41AF"/>
    <w:rsid w:val="00FE4F56"/>
    <w:rsid w:val="00FE75EA"/>
    <w:rsid w:val="00FE77F7"/>
    <w:rsid w:val="00FE7BF1"/>
    <w:rsid w:val="00FF0974"/>
    <w:rsid w:val="00FF09EE"/>
    <w:rsid w:val="00FF1487"/>
    <w:rsid w:val="00FF400D"/>
    <w:rsid w:val="00FF4573"/>
    <w:rsid w:val="00FF5022"/>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08CFD"/>
  <w15:chartTrackingRefBased/>
  <w15:docId w15:val="{FCB644FA-E2D4-416E-A09B-45C31F60C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AA"/>
    <w:pPr>
      <w:spacing w:after="200" w:line="276" w:lineRule="auto"/>
    </w:pPr>
    <w:rPr>
      <w:kern w:val="0"/>
      <w:lang w:val="en-US"/>
      <w14:ligatures w14:val="none"/>
    </w:rPr>
  </w:style>
  <w:style w:type="paragraph" w:styleId="Heading1">
    <w:name w:val="heading 1"/>
    <w:basedOn w:val="Normal"/>
    <w:next w:val="Normal"/>
    <w:link w:val="Heading1Char"/>
    <w:uiPriority w:val="9"/>
    <w:qFormat/>
    <w:rsid w:val="00780B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80B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BAA"/>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semiHidden/>
    <w:rsid w:val="00780BAA"/>
    <w:rPr>
      <w:rFonts w:asciiTheme="majorHAnsi" w:eastAsiaTheme="majorEastAsia" w:hAnsiTheme="majorHAnsi" w:cstheme="majorBidi"/>
      <w:color w:val="2F5496" w:themeColor="accent1" w:themeShade="BF"/>
      <w:kern w:val="0"/>
      <w:sz w:val="26"/>
      <w:szCs w:val="26"/>
      <w:lang w:val="en-US"/>
      <w14:ligatures w14:val="none"/>
    </w:rPr>
  </w:style>
  <w:style w:type="character" w:styleId="Strong">
    <w:name w:val="Strong"/>
    <w:basedOn w:val="DefaultParagraphFont"/>
    <w:uiPriority w:val="22"/>
    <w:qFormat/>
    <w:rsid w:val="00780BAA"/>
    <w:rPr>
      <w:b/>
      <w:bCs/>
    </w:rPr>
  </w:style>
  <w:style w:type="character" w:styleId="LineNumber">
    <w:name w:val="line number"/>
    <w:basedOn w:val="DefaultParagraphFont"/>
    <w:uiPriority w:val="99"/>
    <w:semiHidden/>
    <w:unhideWhenUsed/>
    <w:rsid w:val="00780BAA"/>
  </w:style>
  <w:style w:type="character" w:styleId="Hyperlink">
    <w:name w:val="Hyperlink"/>
    <w:basedOn w:val="DefaultParagraphFont"/>
    <w:uiPriority w:val="99"/>
    <w:unhideWhenUsed/>
    <w:rsid w:val="00780BAA"/>
    <w:rPr>
      <w:color w:val="0563C1" w:themeColor="hyperlink"/>
      <w:u w:val="single"/>
    </w:rPr>
  </w:style>
  <w:style w:type="character" w:customStyle="1" w:styleId="UnresolvedMention1">
    <w:name w:val="Unresolved Mention1"/>
    <w:basedOn w:val="DefaultParagraphFont"/>
    <w:uiPriority w:val="99"/>
    <w:semiHidden/>
    <w:unhideWhenUsed/>
    <w:rsid w:val="00780BAA"/>
    <w:rPr>
      <w:color w:val="605E5C"/>
      <w:shd w:val="clear" w:color="auto" w:fill="E1DFDD"/>
    </w:rPr>
  </w:style>
  <w:style w:type="paragraph" w:styleId="ListParagraph">
    <w:name w:val="List Paragraph"/>
    <w:basedOn w:val="Normal"/>
    <w:uiPriority w:val="34"/>
    <w:qFormat/>
    <w:rsid w:val="00780BAA"/>
    <w:pPr>
      <w:ind w:left="720"/>
      <w:contextualSpacing/>
    </w:pPr>
  </w:style>
  <w:style w:type="table" w:styleId="TableGrid">
    <w:name w:val="Table Grid"/>
    <w:basedOn w:val="TableNormal"/>
    <w:uiPriority w:val="39"/>
    <w:rsid w:val="00780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80B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5">
    <w:name w:val="Grid Table 1 Light Accent 5"/>
    <w:basedOn w:val="TableNormal"/>
    <w:uiPriority w:val="46"/>
    <w:rsid w:val="00780BA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80B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80BAA"/>
    <w:rPr>
      <w:sz w:val="16"/>
      <w:szCs w:val="16"/>
    </w:rPr>
  </w:style>
  <w:style w:type="paragraph" w:styleId="CommentText">
    <w:name w:val="annotation text"/>
    <w:basedOn w:val="Normal"/>
    <w:link w:val="CommentTextChar"/>
    <w:uiPriority w:val="99"/>
    <w:unhideWhenUsed/>
    <w:rsid w:val="00780BAA"/>
    <w:pPr>
      <w:spacing w:line="240" w:lineRule="auto"/>
    </w:pPr>
    <w:rPr>
      <w:sz w:val="20"/>
      <w:szCs w:val="20"/>
    </w:rPr>
  </w:style>
  <w:style w:type="character" w:customStyle="1" w:styleId="CommentTextChar">
    <w:name w:val="Comment Text Char"/>
    <w:basedOn w:val="DefaultParagraphFont"/>
    <w:link w:val="CommentText"/>
    <w:uiPriority w:val="99"/>
    <w:rsid w:val="00780BAA"/>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780BAA"/>
    <w:rPr>
      <w:b/>
      <w:bCs/>
    </w:rPr>
  </w:style>
  <w:style w:type="character" w:customStyle="1" w:styleId="CommentSubjectChar">
    <w:name w:val="Comment Subject Char"/>
    <w:basedOn w:val="CommentTextChar"/>
    <w:link w:val="CommentSubject"/>
    <w:uiPriority w:val="99"/>
    <w:semiHidden/>
    <w:rsid w:val="00780BAA"/>
    <w:rPr>
      <w:b/>
      <w:bCs/>
      <w:kern w:val="0"/>
      <w:sz w:val="20"/>
      <w:szCs w:val="20"/>
      <w:lang w:val="en-US"/>
      <w14:ligatures w14:val="none"/>
    </w:rPr>
  </w:style>
  <w:style w:type="table" w:styleId="PlainTable1">
    <w:name w:val="Plain Table 1"/>
    <w:basedOn w:val="TableNormal"/>
    <w:uiPriority w:val="41"/>
    <w:rsid w:val="00780B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780BAA"/>
    <w:pPr>
      <w:spacing w:after="0" w:line="240" w:lineRule="auto"/>
    </w:pPr>
    <w:rPr>
      <w:rFonts w:ascii="Calibri" w:eastAsia="PMingLiU" w:hAnsi="Calibri" w:cs="Arial"/>
      <w:kern w:val="0"/>
      <w:sz w:val="20"/>
      <w:szCs w:val="20"/>
      <w:lang w:val="it-IT" w:eastAsia="it-IT"/>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1">
    <w:name w:val="Head1"/>
    <w:autoRedefine/>
    <w:qFormat/>
    <w:rsid w:val="00780BAA"/>
    <w:pPr>
      <w:spacing w:after="80" w:line="276" w:lineRule="auto"/>
      <w:jc w:val="both"/>
    </w:pPr>
    <w:rPr>
      <w:rFonts w:ascii="Times New Roman" w:eastAsia="Times New Roman" w:hAnsi="Times New Roman" w:cs="Times New Roman"/>
      <w:bCs/>
      <w:kern w:val="0"/>
      <w:sz w:val="20"/>
      <w:szCs w:val="20"/>
      <w:lang w:val="en-US"/>
      <w14:ligatures w14:val="none"/>
    </w:rPr>
  </w:style>
  <w:style w:type="character" w:styleId="FollowedHyperlink">
    <w:name w:val="FollowedHyperlink"/>
    <w:basedOn w:val="DefaultParagraphFont"/>
    <w:uiPriority w:val="99"/>
    <w:semiHidden/>
    <w:unhideWhenUsed/>
    <w:rsid w:val="00780BAA"/>
    <w:rPr>
      <w:color w:val="800080"/>
      <w:u w:val="single"/>
    </w:rPr>
  </w:style>
  <w:style w:type="paragraph" w:customStyle="1" w:styleId="msonormal0">
    <w:name w:val="msonormal"/>
    <w:basedOn w:val="Normal"/>
    <w:rsid w:val="00780BAA"/>
    <w:pPr>
      <w:spacing w:before="100" w:beforeAutospacing="1" w:after="100" w:afterAutospacing="1" w:line="240" w:lineRule="auto"/>
    </w:pPr>
    <w:rPr>
      <w:rFonts w:ascii="Times New Roman" w:eastAsia="Times New Roman" w:hAnsi="Times New Roman" w:cs="Times New Roman"/>
      <w:sz w:val="24"/>
      <w:szCs w:val="24"/>
      <w:lang w:val="en-IN" w:eastAsia="en-IN" w:bidi="bn-IN"/>
    </w:rPr>
  </w:style>
  <w:style w:type="paragraph" w:customStyle="1" w:styleId="xl66">
    <w:name w:val="xl66"/>
    <w:basedOn w:val="Normal"/>
    <w:rsid w:val="00780B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N" w:eastAsia="en-IN" w:bidi="bn-IN"/>
    </w:rPr>
  </w:style>
  <w:style w:type="paragraph" w:customStyle="1" w:styleId="xl67">
    <w:name w:val="xl67"/>
    <w:basedOn w:val="Normal"/>
    <w:rsid w:val="00780BAA"/>
    <w:pPr>
      <w:spacing w:before="100" w:beforeAutospacing="1" w:after="100" w:afterAutospacing="1" w:line="240" w:lineRule="auto"/>
      <w:textAlignment w:val="center"/>
    </w:pPr>
    <w:rPr>
      <w:rFonts w:ascii="Times New Roman" w:eastAsia="Times New Roman" w:hAnsi="Times New Roman" w:cs="Times New Roman"/>
      <w:b/>
      <w:bCs/>
      <w:sz w:val="24"/>
      <w:szCs w:val="24"/>
      <w:lang w:val="en-IN" w:eastAsia="en-IN" w:bidi="bn-IN"/>
    </w:rPr>
  </w:style>
  <w:style w:type="table" w:styleId="PlainTable2">
    <w:name w:val="Plain Table 2"/>
    <w:basedOn w:val="TableNormal"/>
    <w:uiPriority w:val="42"/>
    <w:rsid w:val="00C76675"/>
    <w:pPr>
      <w:spacing w:after="0" w:line="240" w:lineRule="auto"/>
    </w:pPr>
    <w:rPr>
      <w:rFonts w:eastAsiaTheme="minorEastAsia"/>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102B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B21"/>
    <w:rPr>
      <w:kern w:val="0"/>
      <w:lang w:val="en-US"/>
      <w14:ligatures w14:val="none"/>
    </w:rPr>
  </w:style>
  <w:style w:type="paragraph" w:styleId="Footer">
    <w:name w:val="footer"/>
    <w:basedOn w:val="Normal"/>
    <w:link w:val="FooterChar"/>
    <w:uiPriority w:val="99"/>
    <w:unhideWhenUsed/>
    <w:rsid w:val="00102B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B21"/>
    <w:rPr>
      <w:kern w:val="0"/>
      <w:lang w:val="en-US"/>
      <w14:ligatures w14:val="none"/>
    </w:rPr>
  </w:style>
  <w:style w:type="paragraph" w:styleId="Revision">
    <w:name w:val="Revision"/>
    <w:hidden/>
    <w:uiPriority w:val="99"/>
    <w:semiHidden/>
    <w:rsid w:val="005A06D8"/>
    <w:pPr>
      <w:spacing w:after="0" w:line="240" w:lineRule="auto"/>
    </w:pPr>
    <w:rPr>
      <w:kern w:val="0"/>
      <w:lang w:val="en-US"/>
      <w14:ligatures w14:val="none"/>
    </w:rPr>
  </w:style>
  <w:style w:type="character" w:styleId="UnresolvedMention">
    <w:name w:val="Unresolved Mention"/>
    <w:basedOn w:val="DefaultParagraphFont"/>
    <w:uiPriority w:val="99"/>
    <w:semiHidden/>
    <w:unhideWhenUsed/>
    <w:rsid w:val="000D303B"/>
    <w:rPr>
      <w:color w:val="605E5C"/>
      <w:shd w:val="clear" w:color="auto" w:fill="E1DFDD"/>
    </w:rPr>
  </w:style>
  <w:style w:type="character" w:styleId="PlaceholderText">
    <w:name w:val="Placeholder Text"/>
    <w:basedOn w:val="DefaultParagraphFont"/>
    <w:uiPriority w:val="99"/>
    <w:semiHidden/>
    <w:rsid w:val="002D665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7903">
      <w:bodyDiv w:val="1"/>
      <w:marLeft w:val="0"/>
      <w:marRight w:val="0"/>
      <w:marTop w:val="0"/>
      <w:marBottom w:val="0"/>
      <w:divBdr>
        <w:top w:val="none" w:sz="0" w:space="0" w:color="auto"/>
        <w:left w:val="none" w:sz="0" w:space="0" w:color="auto"/>
        <w:bottom w:val="none" w:sz="0" w:space="0" w:color="auto"/>
        <w:right w:val="none" w:sz="0" w:space="0" w:color="auto"/>
      </w:divBdr>
    </w:div>
    <w:div w:id="14425422">
      <w:bodyDiv w:val="1"/>
      <w:marLeft w:val="0"/>
      <w:marRight w:val="0"/>
      <w:marTop w:val="0"/>
      <w:marBottom w:val="0"/>
      <w:divBdr>
        <w:top w:val="none" w:sz="0" w:space="0" w:color="auto"/>
        <w:left w:val="none" w:sz="0" w:space="0" w:color="auto"/>
        <w:bottom w:val="none" w:sz="0" w:space="0" w:color="auto"/>
        <w:right w:val="none" w:sz="0" w:space="0" w:color="auto"/>
      </w:divBdr>
    </w:div>
    <w:div w:id="19667898">
      <w:bodyDiv w:val="1"/>
      <w:marLeft w:val="0"/>
      <w:marRight w:val="0"/>
      <w:marTop w:val="0"/>
      <w:marBottom w:val="0"/>
      <w:divBdr>
        <w:top w:val="none" w:sz="0" w:space="0" w:color="auto"/>
        <w:left w:val="none" w:sz="0" w:space="0" w:color="auto"/>
        <w:bottom w:val="none" w:sz="0" w:space="0" w:color="auto"/>
        <w:right w:val="none" w:sz="0" w:space="0" w:color="auto"/>
      </w:divBdr>
    </w:div>
    <w:div w:id="35131095">
      <w:bodyDiv w:val="1"/>
      <w:marLeft w:val="0"/>
      <w:marRight w:val="0"/>
      <w:marTop w:val="0"/>
      <w:marBottom w:val="0"/>
      <w:divBdr>
        <w:top w:val="none" w:sz="0" w:space="0" w:color="auto"/>
        <w:left w:val="none" w:sz="0" w:space="0" w:color="auto"/>
        <w:bottom w:val="none" w:sz="0" w:space="0" w:color="auto"/>
        <w:right w:val="none" w:sz="0" w:space="0" w:color="auto"/>
      </w:divBdr>
    </w:div>
    <w:div w:id="55470479">
      <w:bodyDiv w:val="1"/>
      <w:marLeft w:val="0"/>
      <w:marRight w:val="0"/>
      <w:marTop w:val="0"/>
      <w:marBottom w:val="0"/>
      <w:divBdr>
        <w:top w:val="none" w:sz="0" w:space="0" w:color="auto"/>
        <w:left w:val="none" w:sz="0" w:space="0" w:color="auto"/>
        <w:bottom w:val="none" w:sz="0" w:space="0" w:color="auto"/>
        <w:right w:val="none" w:sz="0" w:space="0" w:color="auto"/>
      </w:divBdr>
    </w:div>
    <w:div w:id="78674322">
      <w:bodyDiv w:val="1"/>
      <w:marLeft w:val="0"/>
      <w:marRight w:val="0"/>
      <w:marTop w:val="0"/>
      <w:marBottom w:val="0"/>
      <w:divBdr>
        <w:top w:val="none" w:sz="0" w:space="0" w:color="auto"/>
        <w:left w:val="none" w:sz="0" w:space="0" w:color="auto"/>
        <w:bottom w:val="none" w:sz="0" w:space="0" w:color="auto"/>
        <w:right w:val="none" w:sz="0" w:space="0" w:color="auto"/>
      </w:divBdr>
    </w:div>
    <w:div w:id="79182650">
      <w:bodyDiv w:val="1"/>
      <w:marLeft w:val="0"/>
      <w:marRight w:val="0"/>
      <w:marTop w:val="0"/>
      <w:marBottom w:val="0"/>
      <w:divBdr>
        <w:top w:val="none" w:sz="0" w:space="0" w:color="auto"/>
        <w:left w:val="none" w:sz="0" w:space="0" w:color="auto"/>
        <w:bottom w:val="none" w:sz="0" w:space="0" w:color="auto"/>
        <w:right w:val="none" w:sz="0" w:space="0" w:color="auto"/>
      </w:divBdr>
    </w:div>
    <w:div w:id="91241268">
      <w:bodyDiv w:val="1"/>
      <w:marLeft w:val="0"/>
      <w:marRight w:val="0"/>
      <w:marTop w:val="0"/>
      <w:marBottom w:val="0"/>
      <w:divBdr>
        <w:top w:val="none" w:sz="0" w:space="0" w:color="auto"/>
        <w:left w:val="none" w:sz="0" w:space="0" w:color="auto"/>
        <w:bottom w:val="none" w:sz="0" w:space="0" w:color="auto"/>
        <w:right w:val="none" w:sz="0" w:space="0" w:color="auto"/>
      </w:divBdr>
    </w:div>
    <w:div w:id="97256110">
      <w:bodyDiv w:val="1"/>
      <w:marLeft w:val="0"/>
      <w:marRight w:val="0"/>
      <w:marTop w:val="0"/>
      <w:marBottom w:val="0"/>
      <w:divBdr>
        <w:top w:val="none" w:sz="0" w:space="0" w:color="auto"/>
        <w:left w:val="none" w:sz="0" w:space="0" w:color="auto"/>
        <w:bottom w:val="none" w:sz="0" w:space="0" w:color="auto"/>
        <w:right w:val="none" w:sz="0" w:space="0" w:color="auto"/>
      </w:divBdr>
    </w:div>
    <w:div w:id="136262857">
      <w:bodyDiv w:val="1"/>
      <w:marLeft w:val="0"/>
      <w:marRight w:val="0"/>
      <w:marTop w:val="0"/>
      <w:marBottom w:val="0"/>
      <w:divBdr>
        <w:top w:val="none" w:sz="0" w:space="0" w:color="auto"/>
        <w:left w:val="none" w:sz="0" w:space="0" w:color="auto"/>
        <w:bottom w:val="none" w:sz="0" w:space="0" w:color="auto"/>
        <w:right w:val="none" w:sz="0" w:space="0" w:color="auto"/>
      </w:divBdr>
    </w:div>
    <w:div w:id="186868921">
      <w:bodyDiv w:val="1"/>
      <w:marLeft w:val="0"/>
      <w:marRight w:val="0"/>
      <w:marTop w:val="0"/>
      <w:marBottom w:val="0"/>
      <w:divBdr>
        <w:top w:val="none" w:sz="0" w:space="0" w:color="auto"/>
        <w:left w:val="none" w:sz="0" w:space="0" w:color="auto"/>
        <w:bottom w:val="none" w:sz="0" w:space="0" w:color="auto"/>
        <w:right w:val="none" w:sz="0" w:space="0" w:color="auto"/>
      </w:divBdr>
    </w:div>
    <w:div w:id="192039408">
      <w:bodyDiv w:val="1"/>
      <w:marLeft w:val="0"/>
      <w:marRight w:val="0"/>
      <w:marTop w:val="0"/>
      <w:marBottom w:val="0"/>
      <w:divBdr>
        <w:top w:val="none" w:sz="0" w:space="0" w:color="auto"/>
        <w:left w:val="none" w:sz="0" w:space="0" w:color="auto"/>
        <w:bottom w:val="none" w:sz="0" w:space="0" w:color="auto"/>
        <w:right w:val="none" w:sz="0" w:space="0" w:color="auto"/>
      </w:divBdr>
    </w:div>
    <w:div w:id="211579871">
      <w:bodyDiv w:val="1"/>
      <w:marLeft w:val="0"/>
      <w:marRight w:val="0"/>
      <w:marTop w:val="0"/>
      <w:marBottom w:val="0"/>
      <w:divBdr>
        <w:top w:val="none" w:sz="0" w:space="0" w:color="auto"/>
        <w:left w:val="none" w:sz="0" w:space="0" w:color="auto"/>
        <w:bottom w:val="none" w:sz="0" w:space="0" w:color="auto"/>
        <w:right w:val="none" w:sz="0" w:space="0" w:color="auto"/>
      </w:divBdr>
    </w:div>
    <w:div w:id="231039185">
      <w:bodyDiv w:val="1"/>
      <w:marLeft w:val="0"/>
      <w:marRight w:val="0"/>
      <w:marTop w:val="0"/>
      <w:marBottom w:val="0"/>
      <w:divBdr>
        <w:top w:val="none" w:sz="0" w:space="0" w:color="auto"/>
        <w:left w:val="none" w:sz="0" w:space="0" w:color="auto"/>
        <w:bottom w:val="none" w:sz="0" w:space="0" w:color="auto"/>
        <w:right w:val="none" w:sz="0" w:space="0" w:color="auto"/>
      </w:divBdr>
    </w:div>
    <w:div w:id="260261371">
      <w:bodyDiv w:val="1"/>
      <w:marLeft w:val="0"/>
      <w:marRight w:val="0"/>
      <w:marTop w:val="0"/>
      <w:marBottom w:val="0"/>
      <w:divBdr>
        <w:top w:val="none" w:sz="0" w:space="0" w:color="auto"/>
        <w:left w:val="none" w:sz="0" w:space="0" w:color="auto"/>
        <w:bottom w:val="none" w:sz="0" w:space="0" w:color="auto"/>
        <w:right w:val="none" w:sz="0" w:space="0" w:color="auto"/>
      </w:divBdr>
    </w:div>
    <w:div w:id="267783102">
      <w:bodyDiv w:val="1"/>
      <w:marLeft w:val="0"/>
      <w:marRight w:val="0"/>
      <w:marTop w:val="0"/>
      <w:marBottom w:val="0"/>
      <w:divBdr>
        <w:top w:val="none" w:sz="0" w:space="0" w:color="auto"/>
        <w:left w:val="none" w:sz="0" w:space="0" w:color="auto"/>
        <w:bottom w:val="none" w:sz="0" w:space="0" w:color="auto"/>
        <w:right w:val="none" w:sz="0" w:space="0" w:color="auto"/>
      </w:divBdr>
    </w:div>
    <w:div w:id="268440782">
      <w:bodyDiv w:val="1"/>
      <w:marLeft w:val="0"/>
      <w:marRight w:val="0"/>
      <w:marTop w:val="0"/>
      <w:marBottom w:val="0"/>
      <w:divBdr>
        <w:top w:val="none" w:sz="0" w:space="0" w:color="auto"/>
        <w:left w:val="none" w:sz="0" w:space="0" w:color="auto"/>
        <w:bottom w:val="none" w:sz="0" w:space="0" w:color="auto"/>
        <w:right w:val="none" w:sz="0" w:space="0" w:color="auto"/>
      </w:divBdr>
    </w:div>
    <w:div w:id="289164147">
      <w:bodyDiv w:val="1"/>
      <w:marLeft w:val="0"/>
      <w:marRight w:val="0"/>
      <w:marTop w:val="0"/>
      <w:marBottom w:val="0"/>
      <w:divBdr>
        <w:top w:val="none" w:sz="0" w:space="0" w:color="auto"/>
        <w:left w:val="none" w:sz="0" w:space="0" w:color="auto"/>
        <w:bottom w:val="none" w:sz="0" w:space="0" w:color="auto"/>
        <w:right w:val="none" w:sz="0" w:space="0" w:color="auto"/>
      </w:divBdr>
    </w:div>
    <w:div w:id="298653018">
      <w:bodyDiv w:val="1"/>
      <w:marLeft w:val="0"/>
      <w:marRight w:val="0"/>
      <w:marTop w:val="0"/>
      <w:marBottom w:val="0"/>
      <w:divBdr>
        <w:top w:val="none" w:sz="0" w:space="0" w:color="auto"/>
        <w:left w:val="none" w:sz="0" w:space="0" w:color="auto"/>
        <w:bottom w:val="none" w:sz="0" w:space="0" w:color="auto"/>
        <w:right w:val="none" w:sz="0" w:space="0" w:color="auto"/>
      </w:divBdr>
    </w:div>
    <w:div w:id="301345595">
      <w:bodyDiv w:val="1"/>
      <w:marLeft w:val="0"/>
      <w:marRight w:val="0"/>
      <w:marTop w:val="0"/>
      <w:marBottom w:val="0"/>
      <w:divBdr>
        <w:top w:val="none" w:sz="0" w:space="0" w:color="auto"/>
        <w:left w:val="none" w:sz="0" w:space="0" w:color="auto"/>
        <w:bottom w:val="none" w:sz="0" w:space="0" w:color="auto"/>
        <w:right w:val="none" w:sz="0" w:space="0" w:color="auto"/>
      </w:divBdr>
    </w:div>
    <w:div w:id="305547481">
      <w:bodyDiv w:val="1"/>
      <w:marLeft w:val="0"/>
      <w:marRight w:val="0"/>
      <w:marTop w:val="0"/>
      <w:marBottom w:val="0"/>
      <w:divBdr>
        <w:top w:val="none" w:sz="0" w:space="0" w:color="auto"/>
        <w:left w:val="none" w:sz="0" w:space="0" w:color="auto"/>
        <w:bottom w:val="none" w:sz="0" w:space="0" w:color="auto"/>
        <w:right w:val="none" w:sz="0" w:space="0" w:color="auto"/>
      </w:divBdr>
    </w:div>
    <w:div w:id="323051165">
      <w:bodyDiv w:val="1"/>
      <w:marLeft w:val="0"/>
      <w:marRight w:val="0"/>
      <w:marTop w:val="0"/>
      <w:marBottom w:val="0"/>
      <w:divBdr>
        <w:top w:val="none" w:sz="0" w:space="0" w:color="auto"/>
        <w:left w:val="none" w:sz="0" w:space="0" w:color="auto"/>
        <w:bottom w:val="none" w:sz="0" w:space="0" w:color="auto"/>
        <w:right w:val="none" w:sz="0" w:space="0" w:color="auto"/>
      </w:divBdr>
      <w:divsChild>
        <w:div w:id="1168448851">
          <w:marLeft w:val="0"/>
          <w:marRight w:val="0"/>
          <w:marTop w:val="0"/>
          <w:marBottom w:val="0"/>
          <w:divBdr>
            <w:top w:val="none" w:sz="0" w:space="0" w:color="auto"/>
            <w:left w:val="none" w:sz="0" w:space="0" w:color="auto"/>
            <w:bottom w:val="none" w:sz="0" w:space="0" w:color="auto"/>
            <w:right w:val="none" w:sz="0" w:space="0" w:color="auto"/>
          </w:divBdr>
          <w:divsChild>
            <w:div w:id="396246362">
              <w:marLeft w:val="0"/>
              <w:marRight w:val="0"/>
              <w:marTop w:val="0"/>
              <w:marBottom w:val="0"/>
              <w:divBdr>
                <w:top w:val="none" w:sz="0" w:space="0" w:color="auto"/>
                <w:left w:val="none" w:sz="0" w:space="0" w:color="auto"/>
                <w:bottom w:val="none" w:sz="0" w:space="0" w:color="auto"/>
                <w:right w:val="none" w:sz="0" w:space="0" w:color="auto"/>
              </w:divBdr>
              <w:divsChild>
                <w:div w:id="338435205">
                  <w:marLeft w:val="0"/>
                  <w:marRight w:val="0"/>
                  <w:marTop w:val="0"/>
                  <w:marBottom w:val="0"/>
                  <w:divBdr>
                    <w:top w:val="none" w:sz="0" w:space="0" w:color="auto"/>
                    <w:left w:val="none" w:sz="0" w:space="0" w:color="auto"/>
                    <w:bottom w:val="none" w:sz="0" w:space="0" w:color="auto"/>
                    <w:right w:val="none" w:sz="0" w:space="0" w:color="auto"/>
                  </w:divBdr>
                  <w:divsChild>
                    <w:div w:id="1336808230">
                      <w:marLeft w:val="0"/>
                      <w:marRight w:val="0"/>
                      <w:marTop w:val="0"/>
                      <w:marBottom w:val="0"/>
                      <w:divBdr>
                        <w:top w:val="none" w:sz="0" w:space="0" w:color="auto"/>
                        <w:left w:val="none" w:sz="0" w:space="0" w:color="auto"/>
                        <w:bottom w:val="none" w:sz="0" w:space="0" w:color="auto"/>
                        <w:right w:val="none" w:sz="0" w:space="0" w:color="auto"/>
                      </w:divBdr>
                      <w:divsChild>
                        <w:div w:id="263726668">
                          <w:marLeft w:val="0"/>
                          <w:marRight w:val="0"/>
                          <w:marTop w:val="0"/>
                          <w:marBottom w:val="0"/>
                          <w:divBdr>
                            <w:top w:val="none" w:sz="0" w:space="0" w:color="auto"/>
                            <w:left w:val="none" w:sz="0" w:space="0" w:color="auto"/>
                            <w:bottom w:val="none" w:sz="0" w:space="0" w:color="auto"/>
                            <w:right w:val="none" w:sz="0" w:space="0" w:color="auto"/>
                          </w:divBdr>
                          <w:divsChild>
                            <w:div w:id="17736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18721">
      <w:bodyDiv w:val="1"/>
      <w:marLeft w:val="0"/>
      <w:marRight w:val="0"/>
      <w:marTop w:val="0"/>
      <w:marBottom w:val="0"/>
      <w:divBdr>
        <w:top w:val="none" w:sz="0" w:space="0" w:color="auto"/>
        <w:left w:val="none" w:sz="0" w:space="0" w:color="auto"/>
        <w:bottom w:val="none" w:sz="0" w:space="0" w:color="auto"/>
        <w:right w:val="none" w:sz="0" w:space="0" w:color="auto"/>
      </w:divBdr>
    </w:div>
    <w:div w:id="361519149">
      <w:bodyDiv w:val="1"/>
      <w:marLeft w:val="0"/>
      <w:marRight w:val="0"/>
      <w:marTop w:val="0"/>
      <w:marBottom w:val="0"/>
      <w:divBdr>
        <w:top w:val="none" w:sz="0" w:space="0" w:color="auto"/>
        <w:left w:val="none" w:sz="0" w:space="0" w:color="auto"/>
        <w:bottom w:val="none" w:sz="0" w:space="0" w:color="auto"/>
        <w:right w:val="none" w:sz="0" w:space="0" w:color="auto"/>
      </w:divBdr>
    </w:div>
    <w:div w:id="363335815">
      <w:bodyDiv w:val="1"/>
      <w:marLeft w:val="0"/>
      <w:marRight w:val="0"/>
      <w:marTop w:val="0"/>
      <w:marBottom w:val="0"/>
      <w:divBdr>
        <w:top w:val="none" w:sz="0" w:space="0" w:color="auto"/>
        <w:left w:val="none" w:sz="0" w:space="0" w:color="auto"/>
        <w:bottom w:val="none" w:sz="0" w:space="0" w:color="auto"/>
        <w:right w:val="none" w:sz="0" w:space="0" w:color="auto"/>
      </w:divBdr>
    </w:div>
    <w:div w:id="368147085">
      <w:bodyDiv w:val="1"/>
      <w:marLeft w:val="0"/>
      <w:marRight w:val="0"/>
      <w:marTop w:val="0"/>
      <w:marBottom w:val="0"/>
      <w:divBdr>
        <w:top w:val="none" w:sz="0" w:space="0" w:color="auto"/>
        <w:left w:val="none" w:sz="0" w:space="0" w:color="auto"/>
        <w:bottom w:val="none" w:sz="0" w:space="0" w:color="auto"/>
        <w:right w:val="none" w:sz="0" w:space="0" w:color="auto"/>
      </w:divBdr>
    </w:div>
    <w:div w:id="381099441">
      <w:bodyDiv w:val="1"/>
      <w:marLeft w:val="0"/>
      <w:marRight w:val="0"/>
      <w:marTop w:val="0"/>
      <w:marBottom w:val="0"/>
      <w:divBdr>
        <w:top w:val="none" w:sz="0" w:space="0" w:color="auto"/>
        <w:left w:val="none" w:sz="0" w:space="0" w:color="auto"/>
        <w:bottom w:val="none" w:sz="0" w:space="0" w:color="auto"/>
        <w:right w:val="none" w:sz="0" w:space="0" w:color="auto"/>
      </w:divBdr>
    </w:div>
    <w:div w:id="384843122">
      <w:bodyDiv w:val="1"/>
      <w:marLeft w:val="0"/>
      <w:marRight w:val="0"/>
      <w:marTop w:val="0"/>
      <w:marBottom w:val="0"/>
      <w:divBdr>
        <w:top w:val="none" w:sz="0" w:space="0" w:color="auto"/>
        <w:left w:val="none" w:sz="0" w:space="0" w:color="auto"/>
        <w:bottom w:val="none" w:sz="0" w:space="0" w:color="auto"/>
        <w:right w:val="none" w:sz="0" w:space="0" w:color="auto"/>
      </w:divBdr>
    </w:div>
    <w:div w:id="384912239">
      <w:bodyDiv w:val="1"/>
      <w:marLeft w:val="0"/>
      <w:marRight w:val="0"/>
      <w:marTop w:val="0"/>
      <w:marBottom w:val="0"/>
      <w:divBdr>
        <w:top w:val="none" w:sz="0" w:space="0" w:color="auto"/>
        <w:left w:val="none" w:sz="0" w:space="0" w:color="auto"/>
        <w:bottom w:val="none" w:sz="0" w:space="0" w:color="auto"/>
        <w:right w:val="none" w:sz="0" w:space="0" w:color="auto"/>
      </w:divBdr>
    </w:div>
    <w:div w:id="414591458">
      <w:bodyDiv w:val="1"/>
      <w:marLeft w:val="0"/>
      <w:marRight w:val="0"/>
      <w:marTop w:val="0"/>
      <w:marBottom w:val="0"/>
      <w:divBdr>
        <w:top w:val="none" w:sz="0" w:space="0" w:color="auto"/>
        <w:left w:val="none" w:sz="0" w:space="0" w:color="auto"/>
        <w:bottom w:val="none" w:sz="0" w:space="0" w:color="auto"/>
        <w:right w:val="none" w:sz="0" w:space="0" w:color="auto"/>
      </w:divBdr>
    </w:div>
    <w:div w:id="423307985">
      <w:bodyDiv w:val="1"/>
      <w:marLeft w:val="0"/>
      <w:marRight w:val="0"/>
      <w:marTop w:val="0"/>
      <w:marBottom w:val="0"/>
      <w:divBdr>
        <w:top w:val="none" w:sz="0" w:space="0" w:color="auto"/>
        <w:left w:val="none" w:sz="0" w:space="0" w:color="auto"/>
        <w:bottom w:val="none" w:sz="0" w:space="0" w:color="auto"/>
        <w:right w:val="none" w:sz="0" w:space="0" w:color="auto"/>
      </w:divBdr>
    </w:div>
    <w:div w:id="435910450">
      <w:bodyDiv w:val="1"/>
      <w:marLeft w:val="0"/>
      <w:marRight w:val="0"/>
      <w:marTop w:val="0"/>
      <w:marBottom w:val="0"/>
      <w:divBdr>
        <w:top w:val="none" w:sz="0" w:space="0" w:color="auto"/>
        <w:left w:val="none" w:sz="0" w:space="0" w:color="auto"/>
        <w:bottom w:val="none" w:sz="0" w:space="0" w:color="auto"/>
        <w:right w:val="none" w:sz="0" w:space="0" w:color="auto"/>
      </w:divBdr>
    </w:div>
    <w:div w:id="494951985">
      <w:bodyDiv w:val="1"/>
      <w:marLeft w:val="0"/>
      <w:marRight w:val="0"/>
      <w:marTop w:val="0"/>
      <w:marBottom w:val="0"/>
      <w:divBdr>
        <w:top w:val="none" w:sz="0" w:space="0" w:color="auto"/>
        <w:left w:val="none" w:sz="0" w:space="0" w:color="auto"/>
        <w:bottom w:val="none" w:sz="0" w:space="0" w:color="auto"/>
        <w:right w:val="none" w:sz="0" w:space="0" w:color="auto"/>
      </w:divBdr>
    </w:div>
    <w:div w:id="539436267">
      <w:bodyDiv w:val="1"/>
      <w:marLeft w:val="0"/>
      <w:marRight w:val="0"/>
      <w:marTop w:val="0"/>
      <w:marBottom w:val="0"/>
      <w:divBdr>
        <w:top w:val="none" w:sz="0" w:space="0" w:color="auto"/>
        <w:left w:val="none" w:sz="0" w:space="0" w:color="auto"/>
        <w:bottom w:val="none" w:sz="0" w:space="0" w:color="auto"/>
        <w:right w:val="none" w:sz="0" w:space="0" w:color="auto"/>
      </w:divBdr>
    </w:div>
    <w:div w:id="550507907">
      <w:bodyDiv w:val="1"/>
      <w:marLeft w:val="0"/>
      <w:marRight w:val="0"/>
      <w:marTop w:val="0"/>
      <w:marBottom w:val="0"/>
      <w:divBdr>
        <w:top w:val="none" w:sz="0" w:space="0" w:color="auto"/>
        <w:left w:val="none" w:sz="0" w:space="0" w:color="auto"/>
        <w:bottom w:val="none" w:sz="0" w:space="0" w:color="auto"/>
        <w:right w:val="none" w:sz="0" w:space="0" w:color="auto"/>
      </w:divBdr>
    </w:div>
    <w:div w:id="558829218">
      <w:bodyDiv w:val="1"/>
      <w:marLeft w:val="0"/>
      <w:marRight w:val="0"/>
      <w:marTop w:val="0"/>
      <w:marBottom w:val="0"/>
      <w:divBdr>
        <w:top w:val="none" w:sz="0" w:space="0" w:color="auto"/>
        <w:left w:val="none" w:sz="0" w:space="0" w:color="auto"/>
        <w:bottom w:val="none" w:sz="0" w:space="0" w:color="auto"/>
        <w:right w:val="none" w:sz="0" w:space="0" w:color="auto"/>
      </w:divBdr>
    </w:div>
    <w:div w:id="568618486">
      <w:bodyDiv w:val="1"/>
      <w:marLeft w:val="0"/>
      <w:marRight w:val="0"/>
      <w:marTop w:val="0"/>
      <w:marBottom w:val="0"/>
      <w:divBdr>
        <w:top w:val="none" w:sz="0" w:space="0" w:color="auto"/>
        <w:left w:val="none" w:sz="0" w:space="0" w:color="auto"/>
        <w:bottom w:val="none" w:sz="0" w:space="0" w:color="auto"/>
        <w:right w:val="none" w:sz="0" w:space="0" w:color="auto"/>
      </w:divBdr>
    </w:div>
    <w:div w:id="597638579">
      <w:bodyDiv w:val="1"/>
      <w:marLeft w:val="0"/>
      <w:marRight w:val="0"/>
      <w:marTop w:val="0"/>
      <w:marBottom w:val="0"/>
      <w:divBdr>
        <w:top w:val="none" w:sz="0" w:space="0" w:color="auto"/>
        <w:left w:val="none" w:sz="0" w:space="0" w:color="auto"/>
        <w:bottom w:val="none" w:sz="0" w:space="0" w:color="auto"/>
        <w:right w:val="none" w:sz="0" w:space="0" w:color="auto"/>
      </w:divBdr>
    </w:div>
    <w:div w:id="601569694">
      <w:bodyDiv w:val="1"/>
      <w:marLeft w:val="0"/>
      <w:marRight w:val="0"/>
      <w:marTop w:val="0"/>
      <w:marBottom w:val="0"/>
      <w:divBdr>
        <w:top w:val="none" w:sz="0" w:space="0" w:color="auto"/>
        <w:left w:val="none" w:sz="0" w:space="0" w:color="auto"/>
        <w:bottom w:val="none" w:sz="0" w:space="0" w:color="auto"/>
        <w:right w:val="none" w:sz="0" w:space="0" w:color="auto"/>
      </w:divBdr>
    </w:div>
    <w:div w:id="617687175">
      <w:bodyDiv w:val="1"/>
      <w:marLeft w:val="0"/>
      <w:marRight w:val="0"/>
      <w:marTop w:val="0"/>
      <w:marBottom w:val="0"/>
      <w:divBdr>
        <w:top w:val="none" w:sz="0" w:space="0" w:color="auto"/>
        <w:left w:val="none" w:sz="0" w:space="0" w:color="auto"/>
        <w:bottom w:val="none" w:sz="0" w:space="0" w:color="auto"/>
        <w:right w:val="none" w:sz="0" w:space="0" w:color="auto"/>
      </w:divBdr>
    </w:div>
    <w:div w:id="621111571">
      <w:bodyDiv w:val="1"/>
      <w:marLeft w:val="0"/>
      <w:marRight w:val="0"/>
      <w:marTop w:val="0"/>
      <w:marBottom w:val="0"/>
      <w:divBdr>
        <w:top w:val="none" w:sz="0" w:space="0" w:color="auto"/>
        <w:left w:val="none" w:sz="0" w:space="0" w:color="auto"/>
        <w:bottom w:val="none" w:sz="0" w:space="0" w:color="auto"/>
        <w:right w:val="none" w:sz="0" w:space="0" w:color="auto"/>
      </w:divBdr>
    </w:div>
    <w:div w:id="642855064">
      <w:bodyDiv w:val="1"/>
      <w:marLeft w:val="0"/>
      <w:marRight w:val="0"/>
      <w:marTop w:val="0"/>
      <w:marBottom w:val="0"/>
      <w:divBdr>
        <w:top w:val="none" w:sz="0" w:space="0" w:color="auto"/>
        <w:left w:val="none" w:sz="0" w:space="0" w:color="auto"/>
        <w:bottom w:val="none" w:sz="0" w:space="0" w:color="auto"/>
        <w:right w:val="none" w:sz="0" w:space="0" w:color="auto"/>
      </w:divBdr>
    </w:div>
    <w:div w:id="680816779">
      <w:bodyDiv w:val="1"/>
      <w:marLeft w:val="0"/>
      <w:marRight w:val="0"/>
      <w:marTop w:val="0"/>
      <w:marBottom w:val="0"/>
      <w:divBdr>
        <w:top w:val="none" w:sz="0" w:space="0" w:color="auto"/>
        <w:left w:val="none" w:sz="0" w:space="0" w:color="auto"/>
        <w:bottom w:val="none" w:sz="0" w:space="0" w:color="auto"/>
        <w:right w:val="none" w:sz="0" w:space="0" w:color="auto"/>
      </w:divBdr>
    </w:div>
    <w:div w:id="686978809">
      <w:bodyDiv w:val="1"/>
      <w:marLeft w:val="0"/>
      <w:marRight w:val="0"/>
      <w:marTop w:val="0"/>
      <w:marBottom w:val="0"/>
      <w:divBdr>
        <w:top w:val="none" w:sz="0" w:space="0" w:color="auto"/>
        <w:left w:val="none" w:sz="0" w:space="0" w:color="auto"/>
        <w:bottom w:val="none" w:sz="0" w:space="0" w:color="auto"/>
        <w:right w:val="none" w:sz="0" w:space="0" w:color="auto"/>
      </w:divBdr>
    </w:div>
    <w:div w:id="720446539">
      <w:bodyDiv w:val="1"/>
      <w:marLeft w:val="0"/>
      <w:marRight w:val="0"/>
      <w:marTop w:val="0"/>
      <w:marBottom w:val="0"/>
      <w:divBdr>
        <w:top w:val="none" w:sz="0" w:space="0" w:color="auto"/>
        <w:left w:val="none" w:sz="0" w:space="0" w:color="auto"/>
        <w:bottom w:val="none" w:sz="0" w:space="0" w:color="auto"/>
        <w:right w:val="none" w:sz="0" w:space="0" w:color="auto"/>
      </w:divBdr>
    </w:div>
    <w:div w:id="731998643">
      <w:bodyDiv w:val="1"/>
      <w:marLeft w:val="0"/>
      <w:marRight w:val="0"/>
      <w:marTop w:val="0"/>
      <w:marBottom w:val="0"/>
      <w:divBdr>
        <w:top w:val="none" w:sz="0" w:space="0" w:color="auto"/>
        <w:left w:val="none" w:sz="0" w:space="0" w:color="auto"/>
        <w:bottom w:val="none" w:sz="0" w:space="0" w:color="auto"/>
        <w:right w:val="none" w:sz="0" w:space="0" w:color="auto"/>
      </w:divBdr>
    </w:div>
    <w:div w:id="748575346">
      <w:bodyDiv w:val="1"/>
      <w:marLeft w:val="0"/>
      <w:marRight w:val="0"/>
      <w:marTop w:val="0"/>
      <w:marBottom w:val="0"/>
      <w:divBdr>
        <w:top w:val="none" w:sz="0" w:space="0" w:color="auto"/>
        <w:left w:val="none" w:sz="0" w:space="0" w:color="auto"/>
        <w:bottom w:val="none" w:sz="0" w:space="0" w:color="auto"/>
        <w:right w:val="none" w:sz="0" w:space="0" w:color="auto"/>
      </w:divBdr>
    </w:div>
    <w:div w:id="760613389">
      <w:bodyDiv w:val="1"/>
      <w:marLeft w:val="0"/>
      <w:marRight w:val="0"/>
      <w:marTop w:val="0"/>
      <w:marBottom w:val="0"/>
      <w:divBdr>
        <w:top w:val="none" w:sz="0" w:space="0" w:color="auto"/>
        <w:left w:val="none" w:sz="0" w:space="0" w:color="auto"/>
        <w:bottom w:val="none" w:sz="0" w:space="0" w:color="auto"/>
        <w:right w:val="none" w:sz="0" w:space="0" w:color="auto"/>
      </w:divBdr>
    </w:div>
    <w:div w:id="768965127">
      <w:bodyDiv w:val="1"/>
      <w:marLeft w:val="0"/>
      <w:marRight w:val="0"/>
      <w:marTop w:val="0"/>
      <w:marBottom w:val="0"/>
      <w:divBdr>
        <w:top w:val="none" w:sz="0" w:space="0" w:color="auto"/>
        <w:left w:val="none" w:sz="0" w:space="0" w:color="auto"/>
        <w:bottom w:val="none" w:sz="0" w:space="0" w:color="auto"/>
        <w:right w:val="none" w:sz="0" w:space="0" w:color="auto"/>
      </w:divBdr>
    </w:div>
    <w:div w:id="771322717">
      <w:bodyDiv w:val="1"/>
      <w:marLeft w:val="0"/>
      <w:marRight w:val="0"/>
      <w:marTop w:val="0"/>
      <w:marBottom w:val="0"/>
      <w:divBdr>
        <w:top w:val="none" w:sz="0" w:space="0" w:color="auto"/>
        <w:left w:val="none" w:sz="0" w:space="0" w:color="auto"/>
        <w:bottom w:val="none" w:sz="0" w:space="0" w:color="auto"/>
        <w:right w:val="none" w:sz="0" w:space="0" w:color="auto"/>
      </w:divBdr>
    </w:div>
    <w:div w:id="796601571">
      <w:bodyDiv w:val="1"/>
      <w:marLeft w:val="0"/>
      <w:marRight w:val="0"/>
      <w:marTop w:val="0"/>
      <w:marBottom w:val="0"/>
      <w:divBdr>
        <w:top w:val="none" w:sz="0" w:space="0" w:color="auto"/>
        <w:left w:val="none" w:sz="0" w:space="0" w:color="auto"/>
        <w:bottom w:val="none" w:sz="0" w:space="0" w:color="auto"/>
        <w:right w:val="none" w:sz="0" w:space="0" w:color="auto"/>
      </w:divBdr>
    </w:div>
    <w:div w:id="824400565">
      <w:bodyDiv w:val="1"/>
      <w:marLeft w:val="0"/>
      <w:marRight w:val="0"/>
      <w:marTop w:val="0"/>
      <w:marBottom w:val="0"/>
      <w:divBdr>
        <w:top w:val="none" w:sz="0" w:space="0" w:color="auto"/>
        <w:left w:val="none" w:sz="0" w:space="0" w:color="auto"/>
        <w:bottom w:val="none" w:sz="0" w:space="0" w:color="auto"/>
        <w:right w:val="none" w:sz="0" w:space="0" w:color="auto"/>
      </w:divBdr>
    </w:div>
    <w:div w:id="825974317">
      <w:bodyDiv w:val="1"/>
      <w:marLeft w:val="0"/>
      <w:marRight w:val="0"/>
      <w:marTop w:val="0"/>
      <w:marBottom w:val="0"/>
      <w:divBdr>
        <w:top w:val="none" w:sz="0" w:space="0" w:color="auto"/>
        <w:left w:val="none" w:sz="0" w:space="0" w:color="auto"/>
        <w:bottom w:val="none" w:sz="0" w:space="0" w:color="auto"/>
        <w:right w:val="none" w:sz="0" w:space="0" w:color="auto"/>
      </w:divBdr>
    </w:div>
    <w:div w:id="829440999">
      <w:bodyDiv w:val="1"/>
      <w:marLeft w:val="0"/>
      <w:marRight w:val="0"/>
      <w:marTop w:val="0"/>
      <w:marBottom w:val="0"/>
      <w:divBdr>
        <w:top w:val="none" w:sz="0" w:space="0" w:color="auto"/>
        <w:left w:val="none" w:sz="0" w:space="0" w:color="auto"/>
        <w:bottom w:val="none" w:sz="0" w:space="0" w:color="auto"/>
        <w:right w:val="none" w:sz="0" w:space="0" w:color="auto"/>
      </w:divBdr>
    </w:div>
    <w:div w:id="858198233">
      <w:bodyDiv w:val="1"/>
      <w:marLeft w:val="0"/>
      <w:marRight w:val="0"/>
      <w:marTop w:val="0"/>
      <w:marBottom w:val="0"/>
      <w:divBdr>
        <w:top w:val="none" w:sz="0" w:space="0" w:color="auto"/>
        <w:left w:val="none" w:sz="0" w:space="0" w:color="auto"/>
        <w:bottom w:val="none" w:sz="0" w:space="0" w:color="auto"/>
        <w:right w:val="none" w:sz="0" w:space="0" w:color="auto"/>
      </w:divBdr>
    </w:div>
    <w:div w:id="924805335">
      <w:bodyDiv w:val="1"/>
      <w:marLeft w:val="0"/>
      <w:marRight w:val="0"/>
      <w:marTop w:val="0"/>
      <w:marBottom w:val="0"/>
      <w:divBdr>
        <w:top w:val="none" w:sz="0" w:space="0" w:color="auto"/>
        <w:left w:val="none" w:sz="0" w:space="0" w:color="auto"/>
        <w:bottom w:val="none" w:sz="0" w:space="0" w:color="auto"/>
        <w:right w:val="none" w:sz="0" w:space="0" w:color="auto"/>
      </w:divBdr>
    </w:div>
    <w:div w:id="935601925">
      <w:bodyDiv w:val="1"/>
      <w:marLeft w:val="0"/>
      <w:marRight w:val="0"/>
      <w:marTop w:val="0"/>
      <w:marBottom w:val="0"/>
      <w:divBdr>
        <w:top w:val="none" w:sz="0" w:space="0" w:color="auto"/>
        <w:left w:val="none" w:sz="0" w:space="0" w:color="auto"/>
        <w:bottom w:val="none" w:sz="0" w:space="0" w:color="auto"/>
        <w:right w:val="none" w:sz="0" w:space="0" w:color="auto"/>
      </w:divBdr>
    </w:div>
    <w:div w:id="948128237">
      <w:bodyDiv w:val="1"/>
      <w:marLeft w:val="0"/>
      <w:marRight w:val="0"/>
      <w:marTop w:val="0"/>
      <w:marBottom w:val="0"/>
      <w:divBdr>
        <w:top w:val="none" w:sz="0" w:space="0" w:color="auto"/>
        <w:left w:val="none" w:sz="0" w:space="0" w:color="auto"/>
        <w:bottom w:val="none" w:sz="0" w:space="0" w:color="auto"/>
        <w:right w:val="none" w:sz="0" w:space="0" w:color="auto"/>
      </w:divBdr>
    </w:div>
    <w:div w:id="957874890">
      <w:bodyDiv w:val="1"/>
      <w:marLeft w:val="0"/>
      <w:marRight w:val="0"/>
      <w:marTop w:val="0"/>
      <w:marBottom w:val="0"/>
      <w:divBdr>
        <w:top w:val="none" w:sz="0" w:space="0" w:color="auto"/>
        <w:left w:val="none" w:sz="0" w:space="0" w:color="auto"/>
        <w:bottom w:val="none" w:sz="0" w:space="0" w:color="auto"/>
        <w:right w:val="none" w:sz="0" w:space="0" w:color="auto"/>
      </w:divBdr>
    </w:div>
    <w:div w:id="958028929">
      <w:bodyDiv w:val="1"/>
      <w:marLeft w:val="0"/>
      <w:marRight w:val="0"/>
      <w:marTop w:val="0"/>
      <w:marBottom w:val="0"/>
      <w:divBdr>
        <w:top w:val="none" w:sz="0" w:space="0" w:color="auto"/>
        <w:left w:val="none" w:sz="0" w:space="0" w:color="auto"/>
        <w:bottom w:val="none" w:sz="0" w:space="0" w:color="auto"/>
        <w:right w:val="none" w:sz="0" w:space="0" w:color="auto"/>
      </w:divBdr>
    </w:div>
    <w:div w:id="963540816">
      <w:bodyDiv w:val="1"/>
      <w:marLeft w:val="0"/>
      <w:marRight w:val="0"/>
      <w:marTop w:val="0"/>
      <w:marBottom w:val="0"/>
      <w:divBdr>
        <w:top w:val="none" w:sz="0" w:space="0" w:color="auto"/>
        <w:left w:val="none" w:sz="0" w:space="0" w:color="auto"/>
        <w:bottom w:val="none" w:sz="0" w:space="0" w:color="auto"/>
        <w:right w:val="none" w:sz="0" w:space="0" w:color="auto"/>
      </w:divBdr>
    </w:div>
    <w:div w:id="964043123">
      <w:bodyDiv w:val="1"/>
      <w:marLeft w:val="0"/>
      <w:marRight w:val="0"/>
      <w:marTop w:val="0"/>
      <w:marBottom w:val="0"/>
      <w:divBdr>
        <w:top w:val="none" w:sz="0" w:space="0" w:color="auto"/>
        <w:left w:val="none" w:sz="0" w:space="0" w:color="auto"/>
        <w:bottom w:val="none" w:sz="0" w:space="0" w:color="auto"/>
        <w:right w:val="none" w:sz="0" w:space="0" w:color="auto"/>
      </w:divBdr>
    </w:div>
    <w:div w:id="965892591">
      <w:bodyDiv w:val="1"/>
      <w:marLeft w:val="0"/>
      <w:marRight w:val="0"/>
      <w:marTop w:val="0"/>
      <w:marBottom w:val="0"/>
      <w:divBdr>
        <w:top w:val="none" w:sz="0" w:space="0" w:color="auto"/>
        <w:left w:val="none" w:sz="0" w:space="0" w:color="auto"/>
        <w:bottom w:val="none" w:sz="0" w:space="0" w:color="auto"/>
        <w:right w:val="none" w:sz="0" w:space="0" w:color="auto"/>
      </w:divBdr>
    </w:div>
    <w:div w:id="1009914526">
      <w:bodyDiv w:val="1"/>
      <w:marLeft w:val="0"/>
      <w:marRight w:val="0"/>
      <w:marTop w:val="0"/>
      <w:marBottom w:val="0"/>
      <w:divBdr>
        <w:top w:val="none" w:sz="0" w:space="0" w:color="auto"/>
        <w:left w:val="none" w:sz="0" w:space="0" w:color="auto"/>
        <w:bottom w:val="none" w:sz="0" w:space="0" w:color="auto"/>
        <w:right w:val="none" w:sz="0" w:space="0" w:color="auto"/>
      </w:divBdr>
    </w:div>
    <w:div w:id="1014767369">
      <w:bodyDiv w:val="1"/>
      <w:marLeft w:val="0"/>
      <w:marRight w:val="0"/>
      <w:marTop w:val="0"/>
      <w:marBottom w:val="0"/>
      <w:divBdr>
        <w:top w:val="none" w:sz="0" w:space="0" w:color="auto"/>
        <w:left w:val="none" w:sz="0" w:space="0" w:color="auto"/>
        <w:bottom w:val="none" w:sz="0" w:space="0" w:color="auto"/>
        <w:right w:val="none" w:sz="0" w:space="0" w:color="auto"/>
      </w:divBdr>
    </w:div>
    <w:div w:id="1021856472">
      <w:bodyDiv w:val="1"/>
      <w:marLeft w:val="0"/>
      <w:marRight w:val="0"/>
      <w:marTop w:val="0"/>
      <w:marBottom w:val="0"/>
      <w:divBdr>
        <w:top w:val="none" w:sz="0" w:space="0" w:color="auto"/>
        <w:left w:val="none" w:sz="0" w:space="0" w:color="auto"/>
        <w:bottom w:val="none" w:sz="0" w:space="0" w:color="auto"/>
        <w:right w:val="none" w:sz="0" w:space="0" w:color="auto"/>
      </w:divBdr>
    </w:div>
    <w:div w:id="1038121635">
      <w:bodyDiv w:val="1"/>
      <w:marLeft w:val="0"/>
      <w:marRight w:val="0"/>
      <w:marTop w:val="0"/>
      <w:marBottom w:val="0"/>
      <w:divBdr>
        <w:top w:val="none" w:sz="0" w:space="0" w:color="auto"/>
        <w:left w:val="none" w:sz="0" w:space="0" w:color="auto"/>
        <w:bottom w:val="none" w:sz="0" w:space="0" w:color="auto"/>
        <w:right w:val="none" w:sz="0" w:space="0" w:color="auto"/>
      </w:divBdr>
    </w:div>
    <w:div w:id="1040668340">
      <w:bodyDiv w:val="1"/>
      <w:marLeft w:val="0"/>
      <w:marRight w:val="0"/>
      <w:marTop w:val="0"/>
      <w:marBottom w:val="0"/>
      <w:divBdr>
        <w:top w:val="none" w:sz="0" w:space="0" w:color="auto"/>
        <w:left w:val="none" w:sz="0" w:space="0" w:color="auto"/>
        <w:bottom w:val="none" w:sz="0" w:space="0" w:color="auto"/>
        <w:right w:val="none" w:sz="0" w:space="0" w:color="auto"/>
      </w:divBdr>
    </w:div>
    <w:div w:id="1046026058">
      <w:bodyDiv w:val="1"/>
      <w:marLeft w:val="0"/>
      <w:marRight w:val="0"/>
      <w:marTop w:val="0"/>
      <w:marBottom w:val="0"/>
      <w:divBdr>
        <w:top w:val="none" w:sz="0" w:space="0" w:color="auto"/>
        <w:left w:val="none" w:sz="0" w:space="0" w:color="auto"/>
        <w:bottom w:val="none" w:sz="0" w:space="0" w:color="auto"/>
        <w:right w:val="none" w:sz="0" w:space="0" w:color="auto"/>
      </w:divBdr>
    </w:div>
    <w:div w:id="1053233845">
      <w:bodyDiv w:val="1"/>
      <w:marLeft w:val="0"/>
      <w:marRight w:val="0"/>
      <w:marTop w:val="0"/>
      <w:marBottom w:val="0"/>
      <w:divBdr>
        <w:top w:val="none" w:sz="0" w:space="0" w:color="auto"/>
        <w:left w:val="none" w:sz="0" w:space="0" w:color="auto"/>
        <w:bottom w:val="none" w:sz="0" w:space="0" w:color="auto"/>
        <w:right w:val="none" w:sz="0" w:space="0" w:color="auto"/>
      </w:divBdr>
    </w:div>
    <w:div w:id="1088841839">
      <w:bodyDiv w:val="1"/>
      <w:marLeft w:val="0"/>
      <w:marRight w:val="0"/>
      <w:marTop w:val="0"/>
      <w:marBottom w:val="0"/>
      <w:divBdr>
        <w:top w:val="none" w:sz="0" w:space="0" w:color="auto"/>
        <w:left w:val="none" w:sz="0" w:space="0" w:color="auto"/>
        <w:bottom w:val="none" w:sz="0" w:space="0" w:color="auto"/>
        <w:right w:val="none" w:sz="0" w:space="0" w:color="auto"/>
      </w:divBdr>
    </w:div>
    <w:div w:id="1091699393">
      <w:bodyDiv w:val="1"/>
      <w:marLeft w:val="0"/>
      <w:marRight w:val="0"/>
      <w:marTop w:val="0"/>
      <w:marBottom w:val="0"/>
      <w:divBdr>
        <w:top w:val="none" w:sz="0" w:space="0" w:color="auto"/>
        <w:left w:val="none" w:sz="0" w:space="0" w:color="auto"/>
        <w:bottom w:val="none" w:sz="0" w:space="0" w:color="auto"/>
        <w:right w:val="none" w:sz="0" w:space="0" w:color="auto"/>
      </w:divBdr>
    </w:div>
    <w:div w:id="1113401462">
      <w:bodyDiv w:val="1"/>
      <w:marLeft w:val="0"/>
      <w:marRight w:val="0"/>
      <w:marTop w:val="0"/>
      <w:marBottom w:val="0"/>
      <w:divBdr>
        <w:top w:val="none" w:sz="0" w:space="0" w:color="auto"/>
        <w:left w:val="none" w:sz="0" w:space="0" w:color="auto"/>
        <w:bottom w:val="none" w:sz="0" w:space="0" w:color="auto"/>
        <w:right w:val="none" w:sz="0" w:space="0" w:color="auto"/>
      </w:divBdr>
    </w:div>
    <w:div w:id="1114133852">
      <w:bodyDiv w:val="1"/>
      <w:marLeft w:val="0"/>
      <w:marRight w:val="0"/>
      <w:marTop w:val="0"/>
      <w:marBottom w:val="0"/>
      <w:divBdr>
        <w:top w:val="none" w:sz="0" w:space="0" w:color="auto"/>
        <w:left w:val="none" w:sz="0" w:space="0" w:color="auto"/>
        <w:bottom w:val="none" w:sz="0" w:space="0" w:color="auto"/>
        <w:right w:val="none" w:sz="0" w:space="0" w:color="auto"/>
      </w:divBdr>
    </w:div>
    <w:div w:id="1116607453">
      <w:bodyDiv w:val="1"/>
      <w:marLeft w:val="0"/>
      <w:marRight w:val="0"/>
      <w:marTop w:val="0"/>
      <w:marBottom w:val="0"/>
      <w:divBdr>
        <w:top w:val="none" w:sz="0" w:space="0" w:color="auto"/>
        <w:left w:val="none" w:sz="0" w:space="0" w:color="auto"/>
        <w:bottom w:val="none" w:sz="0" w:space="0" w:color="auto"/>
        <w:right w:val="none" w:sz="0" w:space="0" w:color="auto"/>
      </w:divBdr>
    </w:div>
    <w:div w:id="1126969334">
      <w:bodyDiv w:val="1"/>
      <w:marLeft w:val="0"/>
      <w:marRight w:val="0"/>
      <w:marTop w:val="0"/>
      <w:marBottom w:val="0"/>
      <w:divBdr>
        <w:top w:val="none" w:sz="0" w:space="0" w:color="auto"/>
        <w:left w:val="none" w:sz="0" w:space="0" w:color="auto"/>
        <w:bottom w:val="none" w:sz="0" w:space="0" w:color="auto"/>
        <w:right w:val="none" w:sz="0" w:space="0" w:color="auto"/>
      </w:divBdr>
    </w:div>
    <w:div w:id="1138955349">
      <w:bodyDiv w:val="1"/>
      <w:marLeft w:val="0"/>
      <w:marRight w:val="0"/>
      <w:marTop w:val="0"/>
      <w:marBottom w:val="0"/>
      <w:divBdr>
        <w:top w:val="none" w:sz="0" w:space="0" w:color="auto"/>
        <w:left w:val="none" w:sz="0" w:space="0" w:color="auto"/>
        <w:bottom w:val="none" w:sz="0" w:space="0" w:color="auto"/>
        <w:right w:val="none" w:sz="0" w:space="0" w:color="auto"/>
      </w:divBdr>
    </w:div>
    <w:div w:id="1140995911">
      <w:bodyDiv w:val="1"/>
      <w:marLeft w:val="0"/>
      <w:marRight w:val="0"/>
      <w:marTop w:val="0"/>
      <w:marBottom w:val="0"/>
      <w:divBdr>
        <w:top w:val="none" w:sz="0" w:space="0" w:color="auto"/>
        <w:left w:val="none" w:sz="0" w:space="0" w:color="auto"/>
        <w:bottom w:val="none" w:sz="0" w:space="0" w:color="auto"/>
        <w:right w:val="none" w:sz="0" w:space="0" w:color="auto"/>
      </w:divBdr>
    </w:div>
    <w:div w:id="1149395064">
      <w:bodyDiv w:val="1"/>
      <w:marLeft w:val="0"/>
      <w:marRight w:val="0"/>
      <w:marTop w:val="0"/>
      <w:marBottom w:val="0"/>
      <w:divBdr>
        <w:top w:val="none" w:sz="0" w:space="0" w:color="auto"/>
        <w:left w:val="none" w:sz="0" w:space="0" w:color="auto"/>
        <w:bottom w:val="none" w:sz="0" w:space="0" w:color="auto"/>
        <w:right w:val="none" w:sz="0" w:space="0" w:color="auto"/>
      </w:divBdr>
    </w:div>
    <w:div w:id="1151408275">
      <w:bodyDiv w:val="1"/>
      <w:marLeft w:val="0"/>
      <w:marRight w:val="0"/>
      <w:marTop w:val="0"/>
      <w:marBottom w:val="0"/>
      <w:divBdr>
        <w:top w:val="none" w:sz="0" w:space="0" w:color="auto"/>
        <w:left w:val="none" w:sz="0" w:space="0" w:color="auto"/>
        <w:bottom w:val="none" w:sz="0" w:space="0" w:color="auto"/>
        <w:right w:val="none" w:sz="0" w:space="0" w:color="auto"/>
      </w:divBdr>
    </w:div>
    <w:div w:id="1181358137">
      <w:bodyDiv w:val="1"/>
      <w:marLeft w:val="0"/>
      <w:marRight w:val="0"/>
      <w:marTop w:val="0"/>
      <w:marBottom w:val="0"/>
      <w:divBdr>
        <w:top w:val="none" w:sz="0" w:space="0" w:color="auto"/>
        <w:left w:val="none" w:sz="0" w:space="0" w:color="auto"/>
        <w:bottom w:val="none" w:sz="0" w:space="0" w:color="auto"/>
        <w:right w:val="none" w:sz="0" w:space="0" w:color="auto"/>
      </w:divBdr>
    </w:div>
    <w:div w:id="1212301119">
      <w:bodyDiv w:val="1"/>
      <w:marLeft w:val="0"/>
      <w:marRight w:val="0"/>
      <w:marTop w:val="0"/>
      <w:marBottom w:val="0"/>
      <w:divBdr>
        <w:top w:val="none" w:sz="0" w:space="0" w:color="auto"/>
        <w:left w:val="none" w:sz="0" w:space="0" w:color="auto"/>
        <w:bottom w:val="none" w:sz="0" w:space="0" w:color="auto"/>
        <w:right w:val="none" w:sz="0" w:space="0" w:color="auto"/>
      </w:divBdr>
    </w:div>
    <w:div w:id="1258710471">
      <w:bodyDiv w:val="1"/>
      <w:marLeft w:val="0"/>
      <w:marRight w:val="0"/>
      <w:marTop w:val="0"/>
      <w:marBottom w:val="0"/>
      <w:divBdr>
        <w:top w:val="none" w:sz="0" w:space="0" w:color="auto"/>
        <w:left w:val="none" w:sz="0" w:space="0" w:color="auto"/>
        <w:bottom w:val="none" w:sz="0" w:space="0" w:color="auto"/>
        <w:right w:val="none" w:sz="0" w:space="0" w:color="auto"/>
      </w:divBdr>
    </w:div>
    <w:div w:id="1270770769">
      <w:bodyDiv w:val="1"/>
      <w:marLeft w:val="0"/>
      <w:marRight w:val="0"/>
      <w:marTop w:val="0"/>
      <w:marBottom w:val="0"/>
      <w:divBdr>
        <w:top w:val="none" w:sz="0" w:space="0" w:color="auto"/>
        <w:left w:val="none" w:sz="0" w:space="0" w:color="auto"/>
        <w:bottom w:val="none" w:sz="0" w:space="0" w:color="auto"/>
        <w:right w:val="none" w:sz="0" w:space="0" w:color="auto"/>
      </w:divBdr>
    </w:div>
    <w:div w:id="1271661407">
      <w:bodyDiv w:val="1"/>
      <w:marLeft w:val="0"/>
      <w:marRight w:val="0"/>
      <w:marTop w:val="0"/>
      <w:marBottom w:val="0"/>
      <w:divBdr>
        <w:top w:val="none" w:sz="0" w:space="0" w:color="auto"/>
        <w:left w:val="none" w:sz="0" w:space="0" w:color="auto"/>
        <w:bottom w:val="none" w:sz="0" w:space="0" w:color="auto"/>
        <w:right w:val="none" w:sz="0" w:space="0" w:color="auto"/>
      </w:divBdr>
    </w:div>
    <w:div w:id="1276446777">
      <w:bodyDiv w:val="1"/>
      <w:marLeft w:val="0"/>
      <w:marRight w:val="0"/>
      <w:marTop w:val="0"/>
      <w:marBottom w:val="0"/>
      <w:divBdr>
        <w:top w:val="none" w:sz="0" w:space="0" w:color="auto"/>
        <w:left w:val="none" w:sz="0" w:space="0" w:color="auto"/>
        <w:bottom w:val="none" w:sz="0" w:space="0" w:color="auto"/>
        <w:right w:val="none" w:sz="0" w:space="0" w:color="auto"/>
      </w:divBdr>
    </w:div>
    <w:div w:id="1294562656">
      <w:bodyDiv w:val="1"/>
      <w:marLeft w:val="0"/>
      <w:marRight w:val="0"/>
      <w:marTop w:val="0"/>
      <w:marBottom w:val="0"/>
      <w:divBdr>
        <w:top w:val="none" w:sz="0" w:space="0" w:color="auto"/>
        <w:left w:val="none" w:sz="0" w:space="0" w:color="auto"/>
        <w:bottom w:val="none" w:sz="0" w:space="0" w:color="auto"/>
        <w:right w:val="none" w:sz="0" w:space="0" w:color="auto"/>
      </w:divBdr>
    </w:div>
    <w:div w:id="1303852551">
      <w:bodyDiv w:val="1"/>
      <w:marLeft w:val="0"/>
      <w:marRight w:val="0"/>
      <w:marTop w:val="0"/>
      <w:marBottom w:val="0"/>
      <w:divBdr>
        <w:top w:val="none" w:sz="0" w:space="0" w:color="auto"/>
        <w:left w:val="none" w:sz="0" w:space="0" w:color="auto"/>
        <w:bottom w:val="none" w:sz="0" w:space="0" w:color="auto"/>
        <w:right w:val="none" w:sz="0" w:space="0" w:color="auto"/>
      </w:divBdr>
    </w:div>
    <w:div w:id="1308440721">
      <w:bodyDiv w:val="1"/>
      <w:marLeft w:val="0"/>
      <w:marRight w:val="0"/>
      <w:marTop w:val="0"/>
      <w:marBottom w:val="0"/>
      <w:divBdr>
        <w:top w:val="none" w:sz="0" w:space="0" w:color="auto"/>
        <w:left w:val="none" w:sz="0" w:space="0" w:color="auto"/>
        <w:bottom w:val="none" w:sz="0" w:space="0" w:color="auto"/>
        <w:right w:val="none" w:sz="0" w:space="0" w:color="auto"/>
      </w:divBdr>
    </w:div>
    <w:div w:id="1311128816">
      <w:bodyDiv w:val="1"/>
      <w:marLeft w:val="0"/>
      <w:marRight w:val="0"/>
      <w:marTop w:val="0"/>
      <w:marBottom w:val="0"/>
      <w:divBdr>
        <w:top w:val="none" w:sz="0" w:space="0" w:color="auto"/>
        <w:left w:val="none" w:sz="0" w:space="0" w:color="auto"/>
        <w:bottom w:val="none" w:sz="0" w:space="0" w:color="auto"/>
        <w:right w:val="none" w:sz="0" w:space="0" w:color="auto"/>
      </w:divBdr>
    </w:div>
    <w:div w:id="1329821641">
      <w:bodyDiv w:val="1"/>
      <w:marLeft w:val="0"/>
      <w:marRight w:val="0"/>
      <w:marTop w:val="0"/>
      <w:marBottom w:val="0"/>
      <w:divBdr>
        <w:top w:val="none" w:sz="0" w:space="0" w:color="auto"/>
        <w:left w:val="none" w:sz="0" w:space="0" w:color="auto"/>
        <w:bottom w:val="none" w:sz="0" w:space="0" w:color="auto"/>
        <w:right w:val="none" w:sz="0" w:space="0" w:color="auto"/>
      </w:divBdr>
    </w:div>
    <w:div w:id="1348219231">
      <w:bodyDiv w:val="1"/>
      <w:marLeft w:val="0"/>
      <w:marRight w:val="0"/>
      <w:marTop w:val="0"/>
      <w:marBottom w:val="0"/>
      <w:divBdr>
        <w:top w:val="none" w:sz="0" w:space="0" w:color="auto"/>
        <w:left w:val="none" w:sz="0" w:space="0" w:color="auto"/>
        <w:bottom w:val="none" w:sz="0" w:space="0" w:color="auto"/>
        <w:right w:val="none" w:sz="0" w:space="0" w:color="auto"/>
      </w:divBdr>
    </w:div>
    <w:div w:id="1353073952">
      <w:bodyDiv w:val="1"/>
      <w:marLeft w:val="0"/>
      <w:marRight w:val="0"/>
      <w:marTop w:val="0"/>
      <w:marBottom w:val="0"/>
      <w:divBdr>
        <w:top w:val="none" w:sz="0" w:space="0" w:color="auto"/>
        <w:left w:val="none" w:sz="0" w:space="0" w:color="auto"/>
        <w:bottom w:val="none" w:sz="0" w:space="0" w:color="auto"/>
        <w:right w:val="none" w:sz="0" w:space="0" w:color="auto"/>
      </w:divBdr>
    </w:div>
    <w:div w:id="1360937575">
      <w:bodyDiv w:val="1"/>
      <w:marLeft w:val="0"/>
      <w:marRight w:val="0"/>
      <w:marTop w:val="0"/>
      <w:marBottom w:val="0"/>
      <w:divBdr>
        <w:top w:val="none" w:sz="0" w:space="0" w:color="auto"/>
        <w:left w:val="none" w:sz="0" w:space="0" w:color="auto"/>
        <w:bottom w:val="none" w:sz="0" w:space="0" w:color="auto"/>
        <w:right w:val="none" w:sz="0" w:space="0" w:color="auto"/>
      </w:divBdr>
    </w:div>
    <w:div w:id="1361320195">
      <w:bodyDiv w:val="1"/>
      <w:marLeft w:val="0"/>
      <w:marRight w:val="0"/>
      <w:marTop w:val="0"/>
      <w:marBottom w:val="0"/>
      <w:divBdr>
        <w:top w:val="none" w:sz="0" w:space="0" w:color="auto"/>
        <w:left w:val="none" w:sz="0" w:space="0" w:color="auto"/>
        <w:bottom w:val="none" w:sz="0" w:space="0" w:color="auto"/>
        <w:right w:val="none" w:sz="0" w:space="0" w:color="auto"/>
      </w:divBdr>
    </w:div>
    <w:div w:id="1377004988">
      <w:bodyDiv w:val="1"/>
      <w:marLeft w:val="0"/>
      <w:marRight w:val="0"/>
      <w:marTop w:val="0"/>
      <w:marBottom w:val="0"/>
      <w:divBdr>
        <w:top w:val="none" w:sz="0" w:space="0" w:color="auto"/>
        <w:left w:val="none" w:sz="0" w:space="0" w:color="auto"/>
        <w:bottom w:val="none" w:sz="0" w:space="0" w:color="auto"/>
        <w:right w:val="none" w:sz="0" w:space="0" w:color="auto"/>
      </w:divBdr>
    </w:div>
    <w:div w:id="1380082789">
      <w:bodyDiv w:val="1"/>
      <w:marLeft w:val="0"/>
      <w:marRight w:val="0"/>
      <w:marTop w:val="0"/>
      <w:marBottom w:val="0"/>
      <w:divBdr>
        <w:top w:val="none" w:sz="0" w:space="0" w:color="auto"/>
        <w:left w:val="none" w:sz="0" w:space="0" w:color="auto"/>
        <w:bottom w:val="none" w:sz="0" w:space="0" w:color="auto"/>
        <w:right w:val="none" w:sz="0" w:space="0" w:color="auto"/>
      </w:divBdr>
    </w:div>
    <w:div w:id="1397976769">
      <w:bodyDiv w:val="1"/>
      <w:marLeft w:val="0"/>
      <w:marRight w:val="0"/>
      <w:marTop w:val="0"/>
      <w:marBottom w:val="0"/>
      <w:divBdr>
        <w:top w:val="none" w:sz="0" w:space="0" w:color="auto"/>
        <w:left w:val="none" w:sz="0" w:space="0" w:color="auto"/>
        <w:bottom w:val="none" w:sz="0" w:space="0" w:color="auto"/>
        <w:right w:val="none" w:sz="0" w:space="0" w:color="auto"/>
      </w:divBdr>
    </w:div>
    <w:div w:id="1410732928">
      <w:bodyDiv w:val="1"/>
      <w:marLeft w:val="0"/>
      <w:marRight w:val="0"/>
      <w:marTop w:val="0"/>
      <w:marBottom w:val="0"/>
      <w:divBdr>
        <w:top w:val="none" w:sz="0" w:space="0" w:color="auto"/>
        <w:left w:val="none" w:sz="0" w:space="0" w:color="auto"/>
        <w:bottom w:val="none" w:sz="0" w:space="0" w:color="auto"/>
        <w:right w:val="none" w:sz="0" w:space="0" w:color="auto"/>
      </w:divBdr>
    </w:div>
    <w:div w:id="1426223761">
      <w:bodyDiv w:val="1"/>
      <w:marLeft w:val="0"/>
      <w:marRight w:val="0"/>
      <w:marTop w:val="0"/>
      <w:marBottom w:val="0"/>
      <w:divBdr>
        <w:top w:val="none" w:sz="0" w:space="0" w:color="auto"/>
        <w:left w:val="none" w:sz="0" w:space="0" w:color="auto"/>
        <w:bottom w:val="none" w:sz="0" w:space="0" w:color="auto"/>
        <w:right w:val="none" w:sz="0" w:space="0" w:color="auto"/>
      </w:divBdr>
    </w:div>
    <w:div w:id="1454134638">
      <w:bodyDiv w:val="1"/>
      <w:marLeft w:val="0"/>
      <w:marRight w:val="0"/>
      <w:marTop w:val="0"/>
      <w:marBottom w:val="0"/>
      <w:divBdr>
        <w:top w:val="none" w:sz="0" w:space="0" w:color="auto"/>
        <w:left w:val="none" w:sz="0" w:space="0" w:color="auto"/>
        <w:bottom w:val="none" w:sz="0" w:space="0" w:color="auto"/>
        <w:right w:val="none" w:sz="0" w:space="0" w:color="auto"/>
      </w:divBdr>
    </w:div>
    <w:div w:id="1470826390">
      <w:bodyDiv w:val="1"/>
      <w:marLeft w:val="0"/>
      <w:marRight w:val="0"/>
      <w:marTop w:val="0"/>
      <w:marBottom w:val="0"/>
      <w:divBdr>
        <w:top w:val="none" w:sz="0" w:space="0" w:color="auto"/>
        <w:left w:val="none" w:sz="0" w:space="0" w:color="auto"/>
        <w:bottom w:val="none" w:sz="0" w:space="0" w:color="auto"/>
        <w:right w:val="none" w:sz="0" w:space="0" w:color="auto"/>
      </w:divBdr>
    </w:div>
    <w:div w:id="1481728195">
      <w:bodyDiv w:val="1"/>
      <w:marLeft w:val="0"/>
      <w:marRight w:val="0"/>
      <w:marTop w:val="0"/>
      <w:marBottom w:val="0"/>
      <w:divBdr>
        <w:top w:val="none" w:sz="0" w:space="0" w:color="auto"/>
        <w:left w:val="none" w:sz="0" w:space="0" w:color="auto"/>
        <w:bottom w:val="none" w:sz="0" w:space="0" w:color="auto"/>
        <w:right w:val="none" w:sz="0" w:space="0" w:color="auto"/>
      </w:divBdr>
    </w:div>
    <w:div w:id="1491874116">
      <w:bodyDiv w:val="1"/>
      <w:marLeft w:val="0"/>
      <w:marRight w:val="0"/>
      <w:marTop w:val="0"/>
      <w:marBottom w:val="0"/>
      <w:divBdr>
        <w:top w:val="none" w:sz="0" w:space="0" w:color="auto"/>
        <w:left w:val="none" w:sz="0" w:space="0" w:color="auto"/>
        <w:bottom w:val="none" w:sz="0" w:space="0" w:color="auto"/>
        <w:right w:val="none" w:sz="0" w:space="0" w:color="auto"/>
      </w:divBdr>
    </w:div>
    <w:div w:id="1522285086">
      <w:bodyDiv w:val="1"/>
      <w:marLeft w:val="0"/>
      <w:marRight w:val="0"/>
      <w:marTop w:val="0"/>
      <w:marBottom w:val="0"/>
      <w:divBdr>
        <w:top w:val="none" w:sz="0" w:space="0" w:color="auto"/>
        <w:left w:val="none" w:sz="0" w:space="0" w:color="auto"/>
        <w:bottom w:val="none" w:sz="0" w:space="0" w:color="auto"/>
        <w:right w:val="none" w:sz="0" w:space="0" w:color="auto"/>
      </w:divBdr>
    </w:div>
    <w:div w:id="1523401969">
      <w:bodyDiv w:val="1"/>
      <w:marLeft w:val="0"/>
      <w:marRight w:val="0"/>
      <w:marTop w:val="0"/>
      <w:marBottom w:val="0"/>
      <w:divBdr>
        <w:top w:val="none" w:sz="0" w:space="0" w:color="auto"/>
        <w:left w:val="none" w:sz="0" w:space="0" w:color="auto"/>
        <w:bottom w:val="none" w:sz="0" w:space="0" w:color="auto"/>
        <w:right w:val="none" w:sz="0" w:space="0" w:color="auto"/>
      </w:divBdr>
    </w:div>
    <w:div w:id="1549296593">
      <w:bodyDiv w:val="1"/>
      <w:marLeft w:val="0"/>
      <w:marRight w:val="0"/>
      <w:marTop w:val="0"/>
      <w:marBottom w:val="0"/>
      <w:divBdr>
        <w:top w:val="none" w:sz="0" w:space="0" w:color="auto"/>
        <w:left w:val="none" w:sz="0" w:space="0" w:color="auto"/>
        <w:bottom w:val="none" w:sz="0" w:space="0" w:color="auto"/>
        <w:right w:val="none" w:sz="0" w:space="0" w:color="auto"/>
      </w:divBdr>
    </w:div>
    <w:div w:id="1550999072">
      <w:bodyDiv w:val="1"/>
      <w:marLeft w:val="0"/>
      <w:marRight w:val="0"/>
      <w:marTop w:val="0"/>
      <w:marBottom w:val="0"/>
      <w:divBdr>
        <w:top w:val="none" w:sz="0" w:space="0" w:color="auto"/>
        <w:left w:val="none" w:sz="0" w:space="0" w:color="auto"/>
        <w:bottom w:val="none" w:sz="0" w:space="0" w:color="auto"/>
        <w:right w:val="none" w:sz="0" w:space="0" w:color="auto"/>
      </w:divBdr>
    </w:div>
    <w:div w:id="1577204658">
      <w:bodyDiv w:val="1"/>
      <w:marLeft w:val="0"/>
      <w:marRight w:val="0"/>
      <w:marTop w:val="0"/>
      <w:marBottom w:val="0"/>
      <w:divBdr>
        <w:top w:val="none" w:sz="0" w:space="0" w:color="auto"/>
        <w:left w:val="none" w:sz="0" w:space="0" w:color="auto"/>
        <w:bottom w:val="none" w:sz="0" w:space="0" w:color="auto"/>
        <w:right w:val="none" w:sz="0" w:space="0" w:color="auto"/>
      </w:divBdr>
    </w:div>
    <w:div w:id="1577864545">
      <w:bodyDiv w:val="1"/>
      <w:marLeft w:val="0"/>
      <w:marRight w:val="0"/>
      <w:marTop w:val="0"/>
      <w:marBottom w:val="0"/>
      <w:divBdr>
        <w:top w:val="none" w:sz="0" w:space="0" w:color="auto"/>
        <w:left w:val="none" w:sz="0" w:space="0" w:color="auto"/>
        <w:bottom w:val="none" w:sz="0" w:space="0" w:color="auto"/>
        <w:right w:val="none" w:sz="0" w:space="0" w:color="auto"/>
      </w:divBdr>
    </w:div>
    <w:div w:id="1578781038">
      <w:bodyDiv w:val="1"/>
      <w:marLeft w:val="0"/>
      <w:marRight w:val="0"/>
      <w:marTop w:val="0"/>
      <w:marBottom w:val="0"/>
      <w:divBdr>
        <w:top w:val="none" w:sz="0" w:space="0" w:color="auto"/>
        <w:left w:val="none" w:sz="0" w:space="0" w:color="auto"/>
        <w:bottom w:val="none" w:sz="0" w:space="0" w:color="auto"/>
        <w:right w:val="none" w:sz="0" w:space="0" w:color="auto"/>
      </w:divBdr>
    </w:div>
    <w:div w:id="1583565255">
      <w:bodyDiv w:val="1"/>
      <w:marLeft w:val="0"/>
      <w:marRight w:val="0"/>
      <w:marTop w:val="0"/>
      <w:marBottom w:val="0"/>
      <w:divBdr>
        <w:top w:val="none" w:sz="0" w:space="0" w:color="auto"/>
        <w:left w:val="none" w:sz="0" w:space="0" w:color="auto"/>
        <w:bottom w:val="none" w:sz="0" w:space="0" w:color="auto"/>
        <w:right w:val="none" w:sz="0" w:space="0" w:color="auto"/>
      </w:divBdr>
    </w:div>
    <w:div w:id="1599369924">
      <w:bodyDiv w:val="1"/>
      <w:marLeft w:val="0"/>
      <w:marRight w:val="0"/>
      <w:marTop w:val="0"/>
      <w:marBottom w:val="0"/>
      <w:divBdr>
        <w:top w:val="none" w:sz="0" w:space="0" w:color="auto"/>
        <w:left w:val="none" w:sz="0" w:space="0" w:color="auto"/>
        <w:bottom w:val="none" w:sz="0" w:space="0" w:color="auto"/>
        <w:right w:val="none" w:sz="0" w:space="0" w:color="auto"/>
      </w:divBdr>
    </w:div>
    <w:div w:id="1615942905">
      <w:bodyDiv w:val="1"/>
      <w:marLeft w:val="0"/>
      <w:marRight w:val="0"/>
      <w:marTop w:val="0"/>
      <w:marBottom w:val="0"/>
      <w:divBdr>
        <w:top w:val="none" w:sz="0" w:space="0" w:color="auto"/>
        <w:left w:val="none" w:sz="0" w:space="0" w:color="auto"/>
        <w:bottom w:val="none" w:sz="0" w:space="0" w:color="auto"/>
        <w:right w:val="none" w:sz="0" w:space="0" w:color="auto"/>
      </w:divBdr>
    </w:div>
    <w:div w:id="1616788080">
      <w:bodyDiv w:val="1"/>
      <w:marLeft w:val="0"/>
      <w:marRight w:val="0"/>
      <w:marTop w:val="0"/>
      <w:marBottom w:val="0"/>
      <w:divBdr>
        <w:top w:val="none" w:sz="0" w:space="0" w:color="auto"/>
        <w:left w:val="none" w:sz="0" w:space="0" w:color="auto"/>
        <w:bottom w:val="none" w:sz="0" w:space="0" w:color="auto"/>
        <w:right w:val="none" w:sz="0" w:space="0" w:color="auto"/>
      </w:divBdr>
    </w:div>
    <w:div w:id="1693219689">
      <w:bodyDiv w:val="1"/>
      <w:marLeft w:val="0"/>
      <w:marRight w:val="0"/>
      <w:marTop w:val="0"/>
      <w:marBottom w:val="0"/>
      <w:divBdr>
        <w:top w:val="none" w:sz="0" w:space="0" w:color="auto"/>
        <w:left w:val="none" w:sz="0" w:space="0" w:color="auto"/>
        <w:bottom w:val="none" w:sz="0" w:space="0" w:color="auto"/>
        <w:right w:val="none" w:sz="0" w:space="0" w:color="auto"/>
      </w:divBdr>
    </w:div>
    <w:div w:id="1708026934">
      <w:bodyDiv w:val="1"/>
      <w:marLeft w:val="0"/>
      <w:marRight w:val="0"/>
      <w:marTop w:val="0"/>
      <w:marBottom w:val="0"/>
      <w:divBdr>
        <w:top w:val="none" w:sz="0" w:space="0" w:color="auto"/>
        <w:left w:val="none" w:sz="0" w:space="0" w:color="auto"/>
        <w:bottom w:val="none" w:sz="0" w:space="0" w:color="auto"/>
        <w:right w:val="none" w:sz="0" w:space="0" w:color="auto"/>
      </w:divBdr>
      <w:divsChild>
        <w:div w:id="904800758">
          <w:marLeft w:val="0"/>
          <w:marRight w:val="0"/>
          <w:marTop w:val="0"/>
          <w:marBottom w:val="0"/>
          <w:divBdr>
            <w:top w:val="none" w:sz="0" w:space="0" w:color="auto"/>
            <w:left w:val="none" w:sz="0" w:space="0" w:color="auto"/>
            <w:bottom w:val="none" w:sz="0" w:space="0" w:color="auto"/>
            <w:right w:val="none" w:sz="0" w:space="0" w:color="auto"/>
          </w:divBdr>
          <w:divsChild>
            <w:div w:id="684013129">
              <w:marLeft w:val="0"/>
              <w:marRight w:val="0"/>
              <w:marTop w:val="0"/>
              <w:marBottom w:val="0"/>
              <w:divBdr>
                <w:top w:val="none" w:sz="0" w:space="0" w:color="auto"/>
                <w:left w:val="none" w:sz="0" w:space="0" w:color="auto"/>
                <w:bottom w:val="none" w:sz="0" w:space="0" w:color="auto"/>
                <w:right w:val="none" w:sz="0" w:space="0" w:color="auto"/>
              </w:divBdr>
              <w:divsChild>
                <w:div w:id="1941064707">
                  <w:marLeft w:val="0"/>
                  <w:marRight w:val="0"/>
                  <w:marTop w:val="0"/>
                  <w:marBottom w:val="0"/>
                  <w:divBdr>
                    <w:top w:val="none" w:sz="0" w:space="0" w:color="auto"/>
                    <w:left w:val="none" w:sz="0" w:space="0" w:color="auto"/>
                    <w:bottom w:val="none" w:sz="0" w:space="0" w:color="auto"/>
                    <w:right w:val="none" w:sz="0" w:space="0" w:color="auto"/>
                  </w:divBdr>
                  <w:divsChild>
                    <w:div w:id="1524855896">
                      <w:marLeft w:val="0"/>
                      <w:marRight w:val="0"/>
                      <w:marTop w:val="0"/>
                      <w:marBottom w:val="0"/>
                      <w:divBdr>
                        <w:top w:val="none" w:sz="0" w:space="0" w:color="auto"/>
                        <w:left w:val="none" w:sz="0" w:space="0" w:color="auto"/>
                        <w:bottom w:val="none" w:sz="0" w:space="0" w:color="auto"/>
                        <w:right w:val="none" w:sz="0" w:space="0" w:color="auto"/>
                      </w:divBdr>
                      <w:divsChild>
                        <w:div w:id="378208582">
                          <w:marLeft w:val="0"/>
                          <w:marRight w:val="0"/>
                          <w:marTop w:val="0"/>
                          <w:marBottom w:val="0"/>
                          <w:divBdr>
                            <w:top w:val="none" w:sz="0" w:space="0" w:color="auto"/>
                            <w:left w:val="none" w:sz="0" w:space="0" w:color="auto"/>
                            <w:bottom w:val="none" w:sz="0" w:space="0" w:color="auto"/>
                            <w:right w:val="none" w:sz="0" w:space="0" w:color="auto"/>
                          </w:divBdr>
                          <w:divsChild>
                            <w:div w:id="1096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485350">
      <w:bodyDiv w:val="1"/>
      <w:marLeft w:val="0"/>
      <w:marRight w:val="0"/>
      <w:marTop w:val="0"/>
      <w:marBottom w:val="0"/>
      <w:divBdr>
        <w:top w:val="none" w:sz="0" w:space="0" w:color="auto"/>
        <w:left w:val="none" w:sz="0" w:space="0" w:color="auto"/>
        <w:bottom w:val="none" w:sz="0" w:space="0" w:color="auto"/>
        <w:right w:val="none" w:sz="0" w:space="0" w:color="auto"/>
      </w:divBdr>
    </w:div>
    <w:div w:id="1774546956">
      <w:bodyDiv w:val="1"/>
      <w:marLeft w:val="0"/>
      <w:marRight w:val="0"/>
      <w:marTop w:val="0"/>
      <w:marBottom w:val="0"/>
      <w:divBdr>
        <w:top w:val="none" w:sz="0" w:space="0" w:color="auto"/>
        <w:left w:val="none" w:sz="0" w:space="0" w:color="auto"/>
        <w:bottom w:val="none" w:sz="0" w:space="0" w:color="auto"/>
        <w:right w:val="none" w:sz="0" w:space="0" w:color="auto"/>
      </w:divBdr>
      <w:divsChild>
        <w:div w:id="1468621253">
          <w:marLeft w:val="0"/>
          <w:marRight w:val="0"/>
          <w:marTop w:val="0"/>
          <w:marBottom w:val="0"/>
          <w:divBdr>
            <w:top w:val="none" w:sz="0" w:space="0" w:color="auto"/>
            <w:left w:val="none" w:sz="0" w:space="0" w:color="auto"/>
            <w:bottom w:val="none" w:sz="0" w:space="0" w:color="auto"/>
            <w:right w:val="none" w:sz="0" w:space="0" w:color="auto"/>
          </w:divBdr>
          <w:divsChild>
            <w:div w:id="1661999515">
              <w:marLeft w:val="0"/>
              <w:marRight w:val="0"/>
              <w:marTop w:val="0"/>
              <w:marBottom w:val="0"/>
              <w:divBdr>
                <w:top w:val="none" w:sz="0" w:space="0" w:color="auto"/>
                <w:left w:val="none" w:sz="0" w:space="0" w:color="auto"/>
                <w:bottom w:val="none" w:sz="0" w:space="0" w:color="auto"/>
                <w:right w:val="none" w:sz="0" w:space="0" w:color="auto"/>
              </w:divBdr>
              <w:divsChild>
                <w:div w:id="1832865733">
                  <w:marLeft w:val="0"/>
                  <w:marRight w:val="0"/>
                  <w:marTop w:val="0"/>
                  <w:marBottom w:val="0"/>
                  <w:divBdr>
                    <w:top w:val="none" w:sz="0" w:space="0" w:color="auto"/>
                    <w:left w:val="none" w:sz="0" w:space="0" w:color="auto"/>
                    <w:bottom w:val="none" w:sz="0" w:space="0" w:color="auto"/>
                    <w:right w:val="none" w:sz="0" w:space="0" w:color="auto"/>
                  </w:divBdr>
                  <w:divsChild>
                    <w:div w:id="1845852438">
                      <w:marLeft w:val="0"/>
                      <w:marRight w:val="0"/>
                      <w:marTop w:val="0"/>
                      <w:marBottom w:val="0"/>
                      <w:divBdr>
                        <w:top w:val="none" w:sz="0" w:space="0" w:color="auto"/>
                        <w:left w:val="none" w:sz="0" w:space="0" w:color="auto"/>
                        <w:bottom w:val="none" w:sz="0" w:space="0" w:color="auto"/>
                        <w:right w:val="none" w:sz="0" w:space="0" w:color="auto"/>
                      </w:divBdr>
                      <w:divsChild>
                        <w:div w:id="2031104333">
                          <w:marLeft w:val="0"/>
                          <w:marRight w:val="0"/>
                          <w:marTop w:val="0"/>
                          <w:marBottom w:val="0"/>
                          <w:divBdr>
                            <w:top w:val="none" w:sz="0" w:space="0" w:color="auto"/>
                            <w:left w:val="none" w:sz="0" w:space="0" w:color="auto"/>
                            <w:bottom w:val="none" w:sz="0" w:space="0" w:color="auto"/>
                            <w:right w:val="none" w:sz="0" w:space="0" w:color="auto"/>
                          </w:divBdr>
                          <w:divsChild>
                            <w:div w:id="910236674">
                              <w:marLeft w:val="0"/>
                              <w:marRight w:val="0"/>
                              <w:marTop w:val="0"/>
                              <w:marBottom w:val="0"/>
                              <w:divBdr>
                                <w:top w:val="none" w:sz="0" w:space="0" w:color="auto"/>
                                <w:left w:val="none" w:sz="0" w:space="0" w:color="auto"/>
                                <w:bottom w:val="none" w:sz="0" w:space="0" w:color="auto"/>
                                <w:right w:val="none" w:sz="0" w:space="0" w:color="auto"/>
                              </w:divBdr>
                              <w:divsChild>
                                <w:div w:id="1382560399">
                                  <w:marLeft w:val="0"/>
                                  <w:marRight w:val="0"/>
                                  <w:marTop w:val="0"/>
                                  <w:marBottom w:val="0"/>
                                  <w:divBdr>
                                    <w:top w:val="none" w:sz="0" w:space="0" w:color="auto"/>
                                    <w:left w:val="none" w:sz="0" w:space="0" w:color="auto"/>
                                    <w:bottom w:val="none" w:sz="0" w:space="0" w:color="auto"/>
                                    <w:right w:val="none" w:sz="0" w:space="0" w:color="auto"/>
                                  </w:divBdr>
                                  <w:divsChild>
                                    <w:div w:id="76893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440110">
      <w:bodyDiv w:val="1"/>
      <w:marLeft w:val="0"/>
      <w:marRight w:val="0"/>
      <w:marTop w:val="0"/>
      <w:marBottom w:val="0"/>
      <w:divBdr>
        <w:top w:val="none" w:sz="0" w:space="0" w:color="auto"/>
        <w:left w:val="none" w:sz="0" w:space="0" w:color="auto"/>
        <w:bottom w:val="none" w:sz="0" w:space="0" w:color="auto"/>
        <w:right w:val="none" w:sz="0" w:space="0" w:color="auto"/>
      </w:divBdr>
    </w:div>
    <w:div w:id="1807700635">
      <w:bodyDiv w:val="1"/>
      <w:marLeft w:val="0"/>
      <w:marRight w:val="0"/>
      <w:marTop w:val="0"/>
      <w:marBottom w:val="0"/>
      <w:divBdr>
        <w:top w:val="none" w:sz="0" w:space="0" w:color="auto"/>
        <w:left w:val="none" w:sz="0" w:space="0" w:color="auto"/>
        <w:bottom w:val="none" w:sz="0" w:space="0" w:color="auto"/>
        <w:right w:val="none" w:sz="0" w:space="0" w:color="auto"/>
      </w:divBdr>
    </w:div>
    <w:div w:id="1813673427">
      <w:bodyDiv w:val="1"/>
      <w:marLeft w:val="0"/>
      <w:marRight w:val="0"/>
      <w:marTop w:val="0"/>
      <w:marBottom w:val="0"/>
      <w:divBdr>
        <w:top w:val="none" w:sz="0" w:space="0" w:color="auto"/>
        <w:left w:val="none" w:sz="0" w:space="0" w:color="auto"/>
        <w:bottom w:val="none" w:sz="0" w:space="0" w:color="auto"/>
        <w:right w:val="none" w:sz="0" w:space="0" w:color="auto"/>
      </w:divBdr>
      <w:divsChild>
        <w:div w:id="271010323">
          <w:marLeft w:val="0"/>
          <w:marRight w:val="0"/>
          <w:marTop w:val="0"/>
          <w:marBottom w:val="0"/>
          <w:divBdr>
            <w:top w:val="none" w:sz="0" w:space="0" w:color="auto"/>
            <w:left w:val="none" w:sz="0" w:space="0" w:color="auto"/>
            <w:bottom w:val="none" w:sz="0" w:space="0" w:color="auto"/>
            <w:right w:val="none" w:sz="0" w:space="0" w:color="auto"/>
          </w:divBdr>
          <w:divsChild>
            <w:div w:id="1579363261">
              <w:marLeft w:val="0"/>
              <w:marRight w:val="0"/>
              <w:marTop w:val="0"/>
              <w:marBottom w:val="0"/>
              <w:divBdr>
                <w:top w:val="none" w:sz="0" w:space="0" w:color="auto"/>
                <w:left w:val="none" w:sz="0" w:space="0" w:color="auto"/>
                <w:bottom w:val="none" w:sz="0" w:space="0" w:color="auto"/>
                <w:right w:val="none" w:sz="0" w:space="0" w:color="auto"/>
              </w:divBdr>
              <w:divsChild>
                <w:div w:id="1661806700">
                  <w:marLeft w:val="0"/>
                  <w:marRight w:val="0"/>
                  <w:marTop w:val="0"/>
                  <w:marBottom w:val="0"/>
                  <w:divBdr>
                    <w:top w:val="none" w:sz="0" w:space="0" w:color="auto"/>
                    <w:left w:val="none" w:sz="0" w:space="0" w:color="auto"/>
                    <w:bottom w:val="none" w:sz="0" w:space="0" w:color="auto"/>
                    <w:right w:val="none" w:sz="0" w:space="0" w:color="auto"/>
                  </w:divBdr>
                  <w:divsChild>
                    <w:div w:id="1088769729">
                      <w:marLeft w:val="0"/>
                      <w:marRight w:val="0"/>
                      <w:marTop w:val="0"/>
                      <w:marBottom w:val="0"/>
                      <w:divBdr>
                        <w:top w:val="none" w:sz="0" w:space="0" w:color="auto"/>
                        <w:left w:val="none" w:sz="0" w:space="0" w:color="auto"/>
                        <w:bottom w:val="none" w:sz="0" w:space="0" w:color="auto"/>
                        <w:right w:val="none" w:sz="0" w:space="0" w:color="auto"/>
                      </w:divBdr>
                      <w:divsChild>
                        <w:div w:id="866408966">
                          <w:marLeft w:val="0"/>
                          <w:marRight w:val="0"/>
                          <w:marTop w:val="0"/>
                          <w:marBottom w:val="0"/>
                          <w:divBdr>
                            <w:top w:val="none" w:sz="0" w:space="0" w:color="auto"/>
                            <w:left w:val="none" w:sz="0" w:space="0" w:color="auto"/>
                            <w:bottom w:val="none" w:sz="0" w:space="0" w:color="auto"/>
                            <w:right w:val="none" w:sz="0" w:space="0" w:color="auto"/>
                          </w:divBdr>
                          <w:divsChild>
                            <w:div w:id="887765261">
                              <w:marLeft w:val="0"/>
                              <w:marRight w:val="0"/>
                              <w:marTop w:val="0"/>
                              <w:marBottom w:val="0"/>
                              <w:divBdr>
                                <w:top w:val="none" w:sz="0" w:space="0" w:color="auto"/>
                                <w:left w:val="none" w:sz="0" w:space="0" w:color="auto"/>
                                <w:bottom w:val="none" w:sz="0" w:space="0" w:color="auto"/>
                                <w:right w:val="none" w:sz="0" w:space="0" w:color="auto"/>
                              </w:divBdr>
                              <w:divsChild>
                                <w:div w:id="552470336">
                                  <w:marLeft w:val="0"/>
                                  <w:marRight w:val="0"/>
                                  <w:marTop w:val="0"/>
                                  <w:marBottom w:val="0"/>
                                  <w:divBdr>
                                    <w:top w:val="none" w:sz="0" w:space="0" w:color="auto"/>
                                    <w:left w:val="none" w:sz="0" w:space="0" w:color="auto"/>
                                    <w:bottom w:val="none" w:sz="0" w:space="0" w:color="auto"/>
                                    <w:right w:val="none" w:sz="0" w:space="0" w:color="auto"/>
                                  </w:divBdr>
                                  <w:divsChild>
                                    <w:div w:id="12085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123">
      <w:bodyDiv w:val="1"/>
      <w:marLeft w:val="0"/>
      <w:marRight w:val="0"/>
      <w:marTop w:val="0"/>
      <w:marBottom w:val="0"/>
      <w:divBdr>
        <w:top w:val="none" w:sz="0" w:space="0" w:color="auto"/>
        <w:left w:val="none" w:sz="0" w:space="0" w:color="auto"/>
        <w:bottom w:val="none" w:sz="0" w:space="0" w:color="auto"/>
        <w:right w:val="none" w:sz="0" w:space="0" w:color="auto"/>
      </w:divBdr>
    </w:div>
    <w:div w:id="1821263718">
      <w:bodyDiv w:val="1"/>
      <w:marLeft w:val="0"/>
      <w:marRight w:val="0"/>
      <w:marTop w:val="0"/>
      <w:marBottom w:val="0"/>
      <w:divBdr>
        <w:top w:val="none" w:sz="0" w:space="0" w:color="auto"/>
        <w:left w:val="none" w:sz="0" w:space="0" w:color="auto"/>
        <w:bottom w:val="none" w:sz="0" w:space="0" w:color="auto"/>
        <w:right w:val="none" w:sz="0" w:space="0" w:color="auto"/>
      </w:divBdr>
    </w:div>
    <w:div w:id="1821460433">
      <w:bodyDiv w:val="1"/>
      <w:marLeft w:val="0"/>
      <w:marRight w:val="0"/>
      <w:marTop w:val="0"/>
      <w:marBottom w:val="0"/>
      <w:divBdr>
        <w:top w:val="none" w:sz="0" w:space="0" w:color="auto"/>
        <w:left w:val="none" w:sz="0" w:space="0" w:color="auto"/>
        <w:bottom w:val="none" w:sz="0" w:space="0" w:color="auto"/>
        <w:right w:val="none" w:sz="0" w:space="0" w:color="auto"/>
      </w:divBdr>
    </w:div>
    <w:div w:id="1824853458">
      <w:bodyDiv w:val="1"/>
      <w:marLeft w:val="0"/>
      <w:marRight w:val="0"/>
      <w:marTop w:val="0"/>
      <w:marBottom w:val="0"/>
      <w:divBdr>
        <w:top w:val="none" w:sz="0" w:space="0" w:color="auto"/>
        <w:left w:val="none" w:sz="0" w:space="0" w:color="auto"/>
        <w:bottom w:val="none" w:sz="0" w:space="0" w:color="auto"/>
        <w:right w:val="none" w:sz="0" w:space="0" w:color="auto"/>
      </w:divBdr>
    </w:div>
    <w:div w:id="1835760350">
      <w:bodyDiv w:val="1"/>
      <w:marLeft w:val="0"/>
      <w:marRight w:val="0"/>
      <w:marTop w:val="0"/>
      <w:marBottom w:val="0"/>
      <w:divBdr>
        <w:top w:val="none" w:sz="0" w:space="0" w:color="auto"/>
        <w:left w:val="none" w:sz="0" w:space="0" w:color="auto"/>
        <w:bottom w:val="none" w:sz="0" w:space="0" w:color="auto"/>
        <w:right w:val="none" w:sz="0" w:space="0" w:color="auto"/>
      </w:divBdr>
    </w:div>
    <w:div w:id="1847019331">
      <w:bodyDiv w:val="1"/>
      <w:marLeft w:val="0"/>
      <w:marRight w:val="0"/>
      <w:marTop w:val="0"/>
      <w:marBottom w:val="0"/>
      <w:divBdr>
        <w:top w:val="none" w:sz="0" w:space="0" w:color="auto"/>
        <w:left w:val="none" w:sz="0" w:space="0" w:color="auto"/>
        <w:bottom w:val="none" w:sz="0" w:space="0" w:color="auto"/>
        <w:right w:val="none" w:sz="0" w:space="0" w:color="auto"/>
      </w:divBdr>
    </w:div>
    <w:div w:id="1859805567">
      <w:bodyDiv w:val="1"/>
      <w:marLeft w:val="0"/>
      <w:marRight w:val="0"/>
      <w:marTop w:val="0"/>
      <w:marBottom w:val="0"/>
      <w:divBdr>
        <w:top w:val="none" w:sz="0" w:space="0" w:color="auto"/>
        <w:left w:val="none" w:sz="0" w:space="0" w:color="auto"/>
        <w:bottom w:val="none" w:sz="0" w:space="0" w:color="auto"/>
        <w:right w:val="none" w:sz="0" w:space="0" w:color="auto"/>
      </w:divBdr>
    </w:div>
    <w:div w:id="1870951249">
      <w:bodyDiv w:val="1"/>
      <w:marLeft w:val="0"/>
      <w:marRight w:val="0"/>
      <w:marTop w:val="0"/>
      <w:marBottom w:val="0"/>
      <w:divBdr>
        <w:top w:val="none" w:sz="0" w:space="0" w:color="auto"/>
        <w:left w:val="none" w:sz="0" w:space="0" w:color="auto"/>
        <w:bottom w:val="none" w:sz="0" w:space="0" w:color="auto"/>
        <w:right w:val="none" w:sz="0" w:space="0" w:color="auto"/>
      </w:divBdr>
    </w:div>
    <w:div w:id="1907760018">
      <w:bodyDiv w:val="1"/>
      <w:marLeft w:val="0"/>
      <w:marRight w:val="0"/>
      <w:marTop w:val="0"/>
      <w:marBottom w:val="0"/>
      <w:divBdr>
        <w:top w:val="none" w:sz="0" w:space="0" w:color="auto"/>
        <w:left w:val="none" w:sz="0" w:space="0" w:color="auto"/>
        <w:bottom w:val="none" w:sz="0" w:space="0" w:color="auto"/>
        <w:right w:val="none" w:sz="0" w:space="0" w:color="auto"/>
      </w:divBdr>
    </w:div>
    <w:div w:id="1941058845">
      <w:bodyDiv w:val="1"/>
      <w:marLeft w:val="0"/>
      <w:marRight w:val="0"/>
      <w:marTop w:val="0"/>
      <w:marBottom w:val="0"/>
      <w:divBdr>
        <w:top w:val="none" w:sz="0" w:space="0" w:color="auto"/>
        <w:left w:val="none" w:sz="0" w:space="0" w:color="auto"/>
        <w:bottom w:val="none" w:sz="0" w:space="0" w:color="auto"/>
        <w:right w:val="none" w:sz="0" w:space="0" w:color="auto"/>
      </w:divBdr>
    </w:div>
    <w:div w:id="1942684901">
      <w:bodyDiv w:val="1"/>
      <w:marLeft w:val="0"/>
      <w:marRight w:val="0"/>
      <w:marTop w:val="0"/>
      <w:marBottom w:val="0"/>
      <w:divBdr>
        <w:top w:val="none" w:sz="0" w:space="0" w:color="auto"/>
        <w:left w:val="none" w:sz="0" w:space="0" w:color="auto"/>
        <w:bottom w:val="none" w:sz="0" w:space="0" w:color="auto"/>
        <w:right w:val="none" w:sz="0" w:space="0" w:color="auto"/>
      </w:divBdr>
    </w:div>
    <w:div w:id="1971547470">
      <w:bodyDiv w:val="1"/>
      <w:marLeft w:val="0"/>
      <w:marRight w:val="0"/>
      <w:marTop w:val="0"/>
      <w:marBottom w:val="0"/>
      <w:divBdr>
        <w:top w:val="none" w:sz="0" w:space="0" w:color="auto"/>
        <w:left w:val="none" w:sz="0" w:space="0" w:color="auto"/>
        <w:bottom w:val="none" w:sz="0" w:space="0" w:color="auto"/>
        <w:right w:val="none" w:sz="0" w:space="0" w:color="auto"/>
      </w:divBdr>
    </w:div>
    <w:div w:id="1975021820">
      <w:bodyDiv w:val="1"/>
      <w:marLeft w:val="0"/>
      <w:marRight w:val="0"/>
      <w:marTop w:val="0"/>
      <w:marBottom w:val="0"/>
      <w:divBdr>
        <w:top w:val="none" w:sz="0" w:space="0" w:color="auto"/>
        <w:left w:val="none" w:sz="0" w:space="0" w:color="auto"/>
        <w:bottom w:val="none" w:sz="0" w:space="0" w:color="auto"/>
        <w:right w:val="none" w:sz="0" w:space="0" w:color="auto"/>
      </w:divBdr>
    </w:div>
    <w:div w:id="1998723398">
      <w:bodyDiv w:val="1"/>
      <w:marLeft w:val="0"/>
      <w:marRight w:val="0"/>
      <w:marTop w:val="0"/>
      <w:marBottom w:val="0"/>
      <w:divBdr>
        <w:top w:val="none" w:sz="0" w:space="0" w:color="auto"/>
        <w:left w:val="none" w:sz="0" w:space="0" w:color="auto"/>
        <w:bottom w:val="none" w:sz="0" w:space="0" w:color="auto"/>
        <w:right w:val="none" w:sz="0" w:space="0" w:color="auto"/>
      </w:divBdr>
    </w:div>
    <w:div w:id="2002732476">
      <w:bodyDiv w:val="1"/>
      <w:marLeft w:val="0"/>
      <w:marRight w:val="0"/>
      <w:marTop w:val="0"/>
      <w:marBottom w:val="0"/>
      <w:divBdr>
        <w:top w:val="none" w:sz="0" w:space="0" w:color="auto"/>
        <w:left w:val="none" w:sz="0" w:space="0" w:color="auto"/>
        <w:bottom w:val="none" w:sz="0" w:space="0" w:color="auto"/>
        <w:right w:val="none" w:sz="0" w:space="0" w:color="auto"/>
      </w:divBdr>
    </w:div>
    <w:div w:id="2016105969">
      <w:bodyDiv w:val="1"/>
      <w:marLeft w:val="0"/>
      <w:marRight w:val="0"/>
      <w:marTop w:val="0"/>
      <w:marBottom w:val="0"/>
      <w:divBdr>
        <w:top w:val="none" w:sz="0" w:space="0" w:color="auto"/>
        <w:left w:val="none" w:sz="0" w:space="0" w:color="auto"/>
        <w:bottom w:val="none" w:sz="0" w:space="0" w:color="auto"/>
        <w:right w:val="none" w:sz="0" w:space="0" w:color="auto"/>
      </w:divBdr>
    </w:div>
    <w:div w:id="2033727999">
      <w:bodyDiv w:val="1"/>
      <w:marLeft w:val="0"/>
      <w:marRight w:val="0"/>
      <w:marTop w:val="0"/>
      <w:marBottom w:val="0"/>
      <w:divBdr>
        <w:top w:val="none" w:sz="0" w:space="0" w:color="auto"/>
        <w:left w:val="none" w:sz="0" w:space="0" w:color="auto"/>
        <w:bottom w:val="none" w:sz="0" w:space="0" w:color="auto"/>
        <w:right w:val="none" w:sz="0" w:space="0" w:color="auto"/>
      </w:divBdr>
    </w:div>
    <w:div w:id="2043243743">
      <w:bodyDiv w:val="1"/>
      <w:marLeft w:val="0"/>
      <w:marRight w:val="0"/>
      <w:marTop w:val="0"/>
      <w:marBottom w:val="0"/>
      <w:divBdr>
        <w:top w:val="none" w:sz="0" w:space="0" w:color="auto"/>
        <w:left w:val="none" w:sz="0" w:space="0" w:color="auto"/>
        <w:bottom w:val="none" w:sz="0" w:space="0" w:color="auto"/>
        <w:right w:val="none" w:sz="0" w:space="0" w:color="auto"/>
      </w:divBdr>
    </w:div>
    <w:div w:id="2062098699">
      <w:bodyDiv w:val="1"/>
      <w:marLeft w:val="0"/>
      <w:marRight w:val="0"/>
      <w:marTop w:val="0"/>
      <w:marBottom w:val="0"/>
      <w:divBdr>
        <w:top w:val="none" w:sz="0" w:space="0" w:color="auto"/>
        <w:left w:val="none" w:sz="0" w:space="0" w:color="auto"/>
        <w:bottom w:val="none" w:sz="0" w:space="0" w:color="auto"/>
        <w:right w:val="none" w:sz="0" w:space="0" w:color="auto"/>
      </w:divBdr>
    </w:div>
    <w:div w:id="2075542784">
      <w:bodyDiv w:val="1"/>
      <w:marLeft w:val="0"/>
      <w:marRight w:val="0"/>
      <w:marTop w:val="0"/>
      <w:marBottom w:val="0"/>
      <w:divBdr>
        <w:top w:val="none" w:sz="0" w:space="0" w:color="auto"/>
        <w:left w:val="none" w:sz="0" w:space="0" w:color="auto"/>
        <w:bottom w:val="none" w:sz="0" w:space="0" w:color="auto"/>
        <w:right w:val="none" w:sz="0" w:space="0" w:color="auto"/>
      </w:divBdr>
    </w:div>
    <w:div w:id="2084528418">
      <w:bodyDiv w:val="1"/>
      <w:marLeft w:val="0"/>
      <w:marRight w:val="0"/>
      <w:marTop w:val="0"/>
      <w:marBottom w:val="0"/>
      <w:divBdr>
        <w:top w:val="none" w:sz="0" w:space="0" w:color="auto"/>
        <w:left w:val="none" w:sz="0" w:space="0" w:color="auto"/>
        <w:bottom w:val="none" w:sz="0" w:space="0" w:color="auto"/>
        <w:right w:val="none" w:sz="0" w:space="0" w:color="auto"/>
      </w:divBdr>
    </w:div>
    <w:div w:id="2093962060">
      <w:bodyDiv w:val="1"/>
      <w:marLeft w:val="0"/>
      <w:marRight w:val="0"/>
      <w:marTop w:val="0"/>
      <w:marBottom w:val="0"/>
      <w:divBdr>
        <w:top w:val="none" w:sz="0" w:space="0" w:color="auto"/>
        <w:left w:val="none" w:sz="0" w:space="0" w:color="auto"/>
        <w:bottom w:val="none" w:sz="0" w:space="0" w:color="auto"/>
        <w:right w:val="none" w:sz="0" w:space="0" w:color="auto"/>
      </w:divBdr>
    </w:div>
    <w:div w:id="2103333621">
      <w:bodyDiv w:val="1"/>
      <w:marLeft w:val="0"/>
      <w:marRight w:val="0"/>
      <w:marTop w:val="0"/>
      <w:marBottom w:val="0"/>
      <w:divBdr>
        <w:top w:val="none" w:sz="0" w:space="0" w:color="auto"/>
        <w:left w:val="none" w:sz="0" w:space="0" w:color="auto"/>
        <w:bottom w:val="none" w:sz="0" w:space="0" w:color="auto"/>
        <w:right w:val="none" w:sz="0" w:space="0" w:color="auto"/>
      </w:divBdr>
    </w:div>
    <w:div w:id="212403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uman-settlement.emergency.copernicus.eu/index.ph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footer" Target="footer2.xml"/><Relationship Id="rId50"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hyperlink" Target="https://data-starcloud.pcl.ac.cn/iearthdata/"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human-settlement.emergency.copernicus.eu/index.php" TargetMode="External"/><Relationship Id="rId19" Type="http://schemas.openxmlformats.org/officeDocument/2006/relationships/hyperlink" Target="https://human-settlement.emergency.copernicus.eu/index.php"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earthdata.nasa.gov/" TargetMode="External"/><Relationship Id="rId14" Type="http://schemas.openxmlformats.org/officeDocument/2006/relationships/hyperlink" Target="https://landscan.ornl.gov/"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sites.research.google/gr/open-buildings/"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eader" Target="header1.xml"/><Relationship Id="rId20" Type="http://schemas.openxmlformats.org/officeDocument/2006/relationships/hyperlink" Target="https://human-settlement.emergency.copernicus.eu/index.php" TargetMode="External"/><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arthdata.nasa.gov/"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1.xml"/><Relationship Id="rId4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07CA2-AB86-4DBB-B879-F1E963C9E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17254</Words>
  <Characters>98348</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Nilabhra Mondal</dc:creator>
  <cp:keywords/>
  <dc:description/>
  <cp:lastModifiedBy>Nilabhra Mondal</cp:lastModifiedBy>
  <cp:revision>7</cp:revision>
  <cp:lastPrinted>2024-12-17T10:04:00Z</cp:lastPrinted>
  <dcterms:created xsi:type="dcterms:W3CDTF">2025-07-05T13:16:00Z</dcterms:created>
  <dcterms:modified xsi:type="dcterms:W3CDTF">2025-07-05T13:25:00Z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http://www.zotero.org/styles/computers-environment-and-urban-systems</vt:lpwstr>
  </property>
  <property fmtid="{D5CDD505-2E9C-101B-9397-08002B2CF9AE}" pid="5" name="Mendeley Recent Style Name 1_1">
    <vt:lpwstr>Computers, Environment and Urban Systems</vt:lpwstr>
  </property>
  <property fmtid="{D5CDD505-2E9C-101B-9397-08002B2CF9AE}" pid="6" name="Mendeley Recent Style Id 2_1">
    <vt:lpwstr>http://www.zotero.org/styles/environment-and-urbanization</vt:lpwstr>
  </property>
  <property fmtid="{D5CDD505-2E9C-101B-9397-08002B2CF9AE}" pid="7" name="Mendeley Recent Style Name 2_1">
    <vt:lpwstr>Environment and Urbanization</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http://www.zotero.org/styles/remote-sensing-of-environment</vt:lpwstr>
  </property>
  <property fmtid="{D5CDD505-2E9C-101B-9397-08002B2CF9AE}" pid="19" name="Mendeley Recent Style Name 8_1">
    <vt:lpwstr>Remote Sensing of Environment</vt:lpwstr>
  </property>
  <property fmtid="{D5CDD505-2E9C-101B-9397-08002B2CF9AE}" pid="20" name="Mendeley Recent Style Id 9_1">
    <vt:lpwstr>http://www.zotero.org/styles/sustainable-cities-and-society</vt:lpwstr>
  </property>
  <property fmtid="{D5CDD505-2E9C-101B-9397-08002B2CF9AE}" pid="21" name="Mendeley Recent Style Name 9_1">
    <vt:lpwstr>Sustainable Cities and Society</vt:lpwstr>
  </property>
  <property fmtid="{D5CDD505-2E9C-101B-9397-08002B2CF9AE}" pid="22" name="Mendeley Document_1">
    <vt:lpwstr>True</vt:lpwstr>
  </property>
  <property fmtid="{D5CDD505-2E9C-101B-9397-08002B2CF9AE}" pid="23" name="Mendeley Citation Style_1">
    <vt:lpwstr>http://www.zotero.org/styles/nature</vt:lpwstr>
  </property>
  <property fmtid="{D5CDD505-2E9C-101B-9397-08002B2CF9AE}" pid="24" name="Mendeley Unique User Id_1">
    <vt:lpwstr>308352d5-b6c0-3f6f-b116-e7761d23165e</vt:lpwstr>
  </property>
</Properties>
</file>