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CA496" w14:textId="77777777" w:rsidR="00657B18" w:rsidRDefault="00657B18" w:rsidP="00657B18">
      <w:pPr>
        <w:rPr>
          <w:rFonts w:ascii="Arial" w:hAnsi="Arial" w:cs="Arial"/>
          <w:b/>
          <w:bCs/>
        </w:rPr>
      </w:pPr>
      <w:r w:rsidRPr="000B4DB3">
        <w:rPr>
          <w:rFonts w:ascii="Arial" w:hAnsi="Arial" w:cs="Arial"/>
          <w:b/>
          <w:bCs/>
        </w:rPr>
        <w:t>Supplementary figure</w:t>
      </w:r>
      <w:r>
        <w:rPr>
          <w:rFonts w:ascii="Arial" w:hAnsi="Arial" w:cs="Arial"/>
          <w:b/>
          <w:bCs/>
        </w:rPr>
        <w:t>s</w:t>
      </w:r>
    </w:p>
    <w:p w14:paraId="4962DC7E" w14:textId="77777777" w:rsidR="00657B18" w:rsidRDefault="00657B18" w:rsidP="00657B18">
      <w:pPr>
        <w:rPr>
          <w:rFonts w:ascii="-webkit-standard" w:hAnsi="-webkit-standard"/>
          <w:color w:val="000000"/>
          <w:sz w:val="27"/>
          <w:szCs w:val="27"/>
        </w:rPr>
      </w:pPr>
    </w:p>
    <w:p w14:paraId="70B1AAFB" w14:textId="77777777" w:rsidR="00657B18" w:rsidRPr="00D10410" w:rsidRDefault="00657B18" w:rsidP="00657B18">
      <w:pPr>
        <w:rPr>
          <w:rFonts w:ascii="Arial" w:hAnsi="Arial" w:cs="Arial"/>
          <w:b/>
          <w:bCs/>
          <w:color w:val="000000"/>
        </w:rPr>
      </w:pPr>
    </w:p>
    <w:tbl>
      <w:tblPr>
        <w:tblStyle w:val="TableGrid"/>
        <w:tblW w:w="0" w:type="auto"/>
        <w:tblLook w:val="04A0" w:firstRow="1" w:lastRow="0" w:firstColumn="1" w:lastColumn="0" w:noHBand="0" w:noVBand="1"/>
      </w:tblPr>
      <w:tblGrid>
        <w:gridCol w:w="9242"/>
      </w:tblGrid>
      <w:tr w:rsidR="00657B18" w14:paraId="7B93AD4B" w14:textId="77777777" w:rsidTr="006D2BA1">
        <w:tc>
          <w:tcPr>
            <w:tcW w:w="9016" w:type="dxa"/>
          </w:tcPr>
          <w:p w14:paraId="6AF95DE3" w14:textId="77777777" w:rsidR="00657B18" w:rsidRDefault="00657B18" w:rsidP="006D2BA1">
            <w:pPr>
              <w:rPr>
                <w:rFonts w:ascii="Arial" w:hAnsi="Arial" w:cs="Arial"/>
                <w:b/>
                <w:bCs/>
                <w:color w:val="000000"/>
              </w:rPr>
            </w:pPr>
            <w:r>
              <w:rPr>
                <w:rFonts w:ascii="Arial" w:hAnsi="Arial" w:cs="Arial"/>
                <w:b/>
                <w:bCs/>
                <w:noProof/>
                <w:color w:val="000000"/>
              </w:rPr>
              <w:drawing>
                <wp:inline distT="0" distB="0" distL="0" distR="0" wp14:anchorId="5483BF55" wp14:editId="5D500F5F">
                  <wp:extent cx="5731510" cy="2107565"/>
                  <wp:effectExtent l="0" t="0" r="0" b="0"/>
                  <wp:docPr id="1353144966" name="Picture 2" descr="A comparison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44966" name="Picture 2" descr="A comparison of a diagram&#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2107565"/>
                          </a:xfrm>
                          <a:prstGeom prst="rect">
                            <a:avLst/>
                          </a:prstGeom>
                        </pic:spPr>
                      </pic:pic>
                    </a:graphicData>
                  </a:graphic>
                </wp:inline>
              </w:drawing>
            </w:r>
          </w:p>
        </w:tc>
      </w:tr>
      <w:tr w:rsidR="00657B18" w14:paraId="1E30CA2F" w14:textId="77777777" w:rsidTr="006D2BA1">
        <w:tc>
          <w:tcPr>
            <w:tcW w:w="9016" w:type="dxa"/>
          </w:tcPr>
          <w:p w14:paraId="6B6C22BC" w14:textId="77777777" w:rsidR="00657B18" w:rsidRDefault="00657B18" w:rsidP="006D2BA1">
            <w:pPr>
              <w:rPr>
                <w:rFonts w:ascii="Arial" w:hAnsi="Arial" w:cs="Arial"/>
              </w:rPr>
            </w:pPr>
            <w:r w:rsidRPr="00D10410">
              <w:rPr>
                <w:rFonts w:ascii="Arial" w:hAnsi="Arial" w:cs="Arial"/>
                <w:b/>
                <w:bCs/>
                <w:color w:val="000000"/>
              </w:rPr>
              <w:t>Supplementaty 1:</w:t>
            </w:r>
            <w:r>
              <w:rPr>
                <w:rFonts w:ascii="Arial" w:hAnsi="Arial" w:cs="Arial"/>
                <w:b/>
                <w:bCs/>
                <w:color w:val="000000"/>
              </w:rPr>
              <w:t xml:space="preserve"> </w:t>
            </w:r>
            <w:r w:rsidRPr="00D10410">
              <w:rPr>
                <w:rFonts w:ascii="Arial" w:hAnsi="Arial" w:cs="Arial"/>
                <w:b/>
                <w:bCs/>
              </w:rPr>
              <w:t>Comparison of metabolome and microbiome of participants living in rural community</w:t>
            </w:r>
            <w:r>
              <w:rPr>
                <w:rFonts w:ascii="Arial" w:hAnsi="Arial" w:cs="Arial"/>
              </w:rPr>
              <w:t>. (</w:t>
            </w:r>
            <w:r w:rsidRPr="00D10410">
              <w:rPr>
                <w:rFonts w:ascii="Arial" w:hAnsi="Arial" w:cs="Arial"/>
                <w:b/>
                <w:bCs/>
              </w:rPr>
              <w:t>A</w:t>
            </w:r>
            <w:r>
              <w:rPr>
                <w:rFonts w:ascii="Arial" w:hAnsi="Arial" w:cs="Arial"/>
                <w:b/>
                <w:bCs/>
              </w:rPr>
              <w:t>)</w:t>
            </w:r>
            <w:r>
              <w:rPr>
                <w:rFonts w:ascii="Arial" w:hAnsi="Arial" w:cs="Arial"/>
              </w:rPr>
              <w:t xml:space="preserve"> PLSDA plot </w:t>
            </w:r>
            <w:r w:rsidRPr="00A43F8B">
              <w:rPr>
                <w:rFonts w:ascii="Arial" w:hAnsi="Arial" w:cs="Arial"/>
              </w:rPr>
              <w:t>comparison of</w:t>
            </w:r>
            <w:r>
              <w:rPr>
                <w:rFonts w:ascii="Arial" w:hAnsi="Arial" w:cs="Arial"/>
              </w:rPr>
              <w:t xml:space="preserve"> metabolomes between intensive and standard antihelminthic treatment. </w:t>
            </w:r>
            <w:r w:rsidRPr="00D10410">
              <w:rPr>
                <w:rFonts w:ascii="Arial" w:hAnsi="Arial" w:cs="Arial"/>
                <w:b/>
                <w:bCs/>
              </w:rPr>
              <w:t xml:space="preserve">(B) </w:t>
            </w:r>
            <w:r>
              <w:rPr>
                <w:rFonts w:ascii="Arial" w:hAnsi="Arial" w:cs="Arial"/>
              </w:rPr>
              <w:t>PcoA plot showing b</w:t>
            </w:r>
            <w:r w:rsidRPr="00A43F8B">
              <w:rPr>
                <w:rFonts w:ascii="Arial" w:hAnsi="Arial" w:cs="Arial"/>
              </w:rPr>
              <w:t xml:space="preserve">eta diversity (using </w:t>
            </w:r>
            <w:r>
              <w:rPr>
                <w:rFonts w:ascii="Arial" w:hAnsi="Arial" w:cs="Arial"/>
              </w:rPr>
              <w:t>B</w:t>
            </w:r>
            <w:r w:rsidRPr="00A43F8B">
              <w:rPr>
                <w:rFonts w:ascii="Arial" w:hAnsi="Arial" w:cs="Arial"/>
              </w:rPr>
              <w:t>ray-</w:t>
            </w:r>
            <w:r>
              <w:rPr>
                <w:rFonts w:ascii="Arial" w:hAnsi="Arial" w:cs="Arial"/>
              </w:rPr>
              <w:t>C</w:t>
            </w:r>
            <w:r w:rsidRPr="00A43F8B">
              <w:rPr>
                <w:rFonts w:ascii="Arial" w:hAnsi="Arial" w:cs="Arial"/>
              </w:rPr>
              <w:t>urtis distance)</w:t>
            </w:r>
            <w:r>
              <w:rPr>
                <w:rFonts w:ascii="Arial" w:hAnsi="Arial" w:cs="Arial"/>
              </w:rPr>
              <w:t xml:space="preserve"> comparison between intensive and standard antihelminthic treatment</w:t>
            </w:r>
            <w:r w:rsidRPr="00A43F8B">
              <w:rPr>
                <w:rFonts w:ascii="Arial" w:hAnsi="Arial" w:cs="Arial"/>
              </w:rPr>
              <w:t xml:space="preserve">. </w:t>
            </w:r>
          </w:p>
          <w:p w14:paraId="2E7D7651" w14:textId="77777777" w:rsidR="00657B18" w:rsidRDefault="00657B18" w:rsidP="006D2BA1">
            <w:pPr>
              <w:rPr>
                <w:rFonts w:ascii="Arial" w:hAnsi="Arial" w:cs="Arial"/>
                <w:b/>
                <w:bCs/>
                <w:noProof/>
                <w:color w:val="000000"/>
              </w:rPr>
            </w:pPr>
          </w:p>
        </w:tc>
      </w:tr>
    </w:tbl>
    <w:p w14:paraId="50C92EDC" w14:textId="77777777" w:rsidR="00657B18" w:rsidRPr="00D10410" w:rsidRDefault="00657B18" w:rsidP="00657B18">
      <w:pPr>
        <w:rPr>
          <w:rFonts w:ascii="Arial" w:hAnsi="Arial" w:cs="Arial"/>
          <w:b/>
          <w:bCs/>
          <w:color w:val="000000"/>
        </w:rPr>
      </w:pPr>
    </w:p>
    <w:tbl>
      <w:tblPr>
        <w:tblStyle w:val="TableGrid"/>
        <w:tblW w:w="0" w:type="auto"/>
        <w:tblLook w:val="04A0" w:firstRow="1" w:lastRow="0" w:firstColumn="1" w:lastColumn="0" w:noHBand="0" w:noVBand="1"/>
      </w:tblPr>
      <w:tblGrid>
        <w:gridCol w:w="9242"/>
      </w:tblGrid>
      <w:tr w:rsidR="00657B18" w14:paraId="118335B3" w14:textId="77777777" w:rsidTr="006D2BA1">
        <w:tc>
          <w:tcPr>
            <w:tcW w:w="9016" w:type="dxa"/>
          </w:tcPr>
          <w:p w14:paraId="51179A31" w14:textId="77777777" w:rsidR="00657B18" w:rsidRDefault="00657B18" w:rsidP="006D2BA1">
            <w:pPr>
              <w:rPr>
                <w:rFonts w:ascii="Arial" w:hAnsi="Arial" w:cs="Arial"/>
                <w:b/>
                <w:bCs/>
              </w:rPr>
            </w:pPr>
            <w:r>
              <w:rPr>
                <w:rFonts w:ascii="Arial" w:hAnsi="Arial" w:cs="Arial"/>
                <w:b/>
                <w:bCs/>
                <w:noProof/>
              </w:rPr>
              <w:drawing>
                <wp:inline distT="0" distB="0" distL="0" distR="0" wp14:anchorId="636A9423" wp14:editId="0AC200BF">
                  <wp:extent cx="5731510" cy="3908659"/>
                  <wp:effectExtent l="0" t="0" r="0" b="0"/>
                  <wp:docPr id="1550032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32807" name="Picture 1550032807"/>
                          <pic:cNvPicPr/>
                        </pic:nvPicPr>
                        <pic:blipFill rotWithShape="1">
                          <a:blip r:embed="rId5"/>
                          <a:srcRect t="3942"/>
                          <a:stretch/>
                        </pic:blipFill>
                        <pic:spPr bwMode="auto">
                          <a:xfrm>
                            <a:off x="0" y="0"/>
                            <a:ext cx="5731510" cy="3908659"/>
                          </a:xfrm>
                          <a:prstGeom prst="rect">
                            <a:avLst/>
                          </a:prstGeom>
                          <a:ln>
                            <a:noFill/>
                          </a:ln>
                          <a:extLst>
                            <a:ext uri="{53640926-AAD7-44D8-BBD7-CCE9431645EC}">
                              <a14:shadowObscured xmlns:a14="http://schemas.microsoft.com/office/drawing/2010/main"/>
                            </a:ext>
                          </a:extLst>
                        </pic:spPr>
                      </pic:pic>
                    </a:graphicData>
                  </a:graphic>
                </wp:inline>
              </w:drawing>
            </w:r>
          </w:p>
        </w:tc>
      </w:tr>
      <w:tr w:rsidR="00657B18" w14:paraId="4C988ED2" w14:textId="77777777" w:rsidTr="006D2BA1">
        <w:tc>
          <w:tcPr>
            <w:tcW w:w="9016" w:type="dxa"/>
          </w:tcPr>
          <w:p w14:paraId="71AFDD14" w14:textId="77777777" w:rsidR="00657B18" w:rsidRPr="004E7C75" w:rsidRDefault="00657B18" w:rsidP="006D2BA1">
            <w:pPr>
              <w:rPr>
                <w:rFonts w:ascii="Arial" w:hAnsi="Arial" w:cs="Arial"/>
                <w:color w:val="000000"/>
              </w:rPr>
            </w:pPr>
            <w:r>
              <w:rPr>
                <w:rFonts w:ascii="Arial" w:hAnsi="Arial" w:cs="Arial"/>
                <w:b/>
                <w:bCs/>
              </w:rPr>
              <w:t xml:space="preserve">Supplementary 2: Differential abundance analysis. </w:t>
            </w:r>
            <w:r w:rsidRPr="004E7C75">
              <w:rPr>
                <w:rFonts w:ascii="Arial" w:hAnsi="Arial" w:cs="Arial"/>
                <w:color w:val="000000"/>
              </w:rPr>
              <w:t>Volcano plot showing the log</w:t>
            </w:r>
            <w:r w:rsidRPr="004E7C75">
              <w:rPr>
                <w:rFonts w:ascii="Cambria Math" w:hAnsi="Cambria Math" w:cs="Cambria Math"/>
                <w:color w:val="000000"/>
              </w:rPr>
              <w:t>₂</w:t>
            </w:r>
            <w:r w:rsidRPr="004E7C75">
              <w:rPr>
                <w:rFonts w:ascii="Arial" w:hAnsi="Arial" w:cs="Arial"/>
                <w:color w:val="000000"/>
              </w:rPr>
              <w:t xml:space="preserve"> fold change in abundance (x-axis) versus the –log</w:t>
            </w:r>
            <w:r w:rsidRPr="004E7C75">
              <w:rPr>
                <w:rFonts w:ascii="Cambria Math" w:hAnsi="Cambria Math" w:cs="Cambria Math"/>
                <w:color w:val="000000"/>
              </w:rPr>
              <w:t>₁₀</w:t>
            </w:r>
            <w:r w:rsidRPr="004E7C75">
              <w:rPr>
                <w:rFonts w:ascii="Arial" w:hAnsi="Arial" w:cs="Arial"/>
                <w:color w:val="000000"/>
              </w:rPr>
              <w:t xml:space="preserve"> adjusted</w:t>
            </w:r>
            <w:r w:rsidRPr="004E7C75">
              <w:rPr>
                <w:rStyle w:val="apple-converted-space"/>
                <w:rFonts w:ascii="Arial" w:hAnsi="Arial" w:cs="Arial"/>
                <w:color w:val="000000"/>
              </w:rPr>
              <w:t> </w:t>
            </w:r>
            <w:r w:rsidRPr="004E7C75">
              <w:rPr>
                <w:rStyle w:val="Emphasis"/>
                <w:rFonts w:ascii="Arial" w:hAnsi="Arial" w:cs="Arial"/>
                <w:color w:val="000000"/>
              </w:rPr>
              <w:t>p</w:t>
            </w:r>
            <w:r w:rsidRPr="004E7C75">
              <w:rPr>
                <w:rFonts w:ascii="Arial" w:hAnsi="Arial" w:cs="Arial"/>
                <w:color w:val="000000"/>
              </w:rPr>
              <w:t xml:space="preserve">-value (y-axis) for microbial taxa differentially abundant between </w:t>
            </w:r>
            <w:r w:rsidRPr="004E7C75">
              <w:rPr>
                <w:rFonts w:ascii="Arial" w:hAnsi="Arial" w:cs="Arial"/>
                <w:i/>
                <w:iCs/>
                <w:color w:val="000000"/>
              </w:rPr>
              <w:t>S. mansoni</w:t>
            </w:r>
            <w:r w:rsidRPr="004E7C75">
              <w:rPr>
                <w:rFonts w:ascii="Arial" w:hAnsi="Arial" w:cs="Arial"/>
                <w:color w:val="000000"/>
              </w:rPr>
              <w:t xml:space="preserve">-infected and -uninfected individuals. Each point represents a microbial taxon. Taxa to the right of the vertical dashed line are enriched in </w:t>
            </w:r>
            <w:r w:rsidRPr="004E7C75">
              <w:rPr>
                <w:rFonts w:ascii="Arial" w:hAnsi="Arial" w:cs="Arial"/>
                <w:i/>
                <w:iCs/>
                <w:color w:val="000000"/>
              </w:rPr>
              <w:t>S. mansoni</w:t>
            </w:r>
            <w:r w:rsidRPr="004E7C75">
              <w:rPr>
                <w:rFonts w:ascii="Arial" w:hAnsi="Arial" w:cs="Arial"/>
                <w:color w:val="000000"/>
              </w:rPr>
              <w:t>-infected individuals, while those to the left are depleted. Points are colored by their log</w:t>
            </w:r>
            <w:r w:rsidRPr="004E7C75">
              <w:rPr>
                <w:rFonts w:ascii="Cambria Math" w:hAnsi="Cambria Math" w:cs="Cambria Math"/>
                <w:color w:val="000000"/>
              </w:rPr>
              <w:t>₂</w:t>
            </w:r>
            <w:r w:rsidRPr="004E7C75">
              <w:rPr>
                <w:rFonts w:ascii="Arial" w:hAnsi="Arial" w:cs="Arial"/>
                <w:color w:val="000000"/>
              </w:rPr>
              <w:t xml:space="preserve"> fold change, with red indicating higher abundance and blue indicating lower abundance in </w:t>
            </w:r>
            <w:r w:rsidRPr="004E7C75">
              <w:rPr>
                <w:rFonts w:ascii="Arial" w:hAnsi="Arial" w:cs="Arial"/>
                <w:i/>
                <w:iCs/>
                <w:color w:val="000000"/>
              </w:rPr>
              <w:t>S. mansoni</w:t>
            </w:r>
            <w:r w:rsidRPr="004E7C75">
              <w:rPr>
                <w:rFonts w:ascii="Arial" w:hAnsi="Arial" w:cs="Arial"/>
                <w:color w:val="000000"/>
              </w:rPr>
              <w:t xml:space="preserve">-infected. Labels highlight </w:t>
            </w:r>
            <w:r>
              <w:rPr>
                <w:rFonts w:ascii="Arial" w:hAnsi="Arial" w:cs="Arial"/>
                <w:color w:val="000000"/>
              </w:rPr>
              <w:t xml:space="preserve">All </w:t>
            </w:r>
            <w:r w:rsidRPr="004E7C75">
              <w:rPr>
                <w:rFonts w:ascii="Arial" w:hAnsi="Arial" w:cs="Arial"/>
                <w:color w:val="000000"/>
              </w:rPr>
              <w:t>taxa with statistically significant differences (FDR-adjusted</w:t>
            </w:r>
            <w:r w:rsidRPr="004E7C75">
              <w:rPr>
                <w:rStyle w:val="apple-converted-space"/>
                <w:rFonts w:ascii="Arial" w:hAnsi="Arial" w:cs="Arial"/>
                <w:color w:val="000000"/>
              </w:rPr>
              <w:t> </w:t>
            </w:r>
            <w:r w:rsidRPr="004E7C75">
              <w:rPr>
                <w:rStyle w:val="Emphasis"/>
                <w:rFonts w:ascii="Arial" w:hAnsi="Arial" w:cs="Arial"/>
                <w:color w:val="000000"/>
              </w:rPr>
              <w:t>p</w:t>
            </w:r>
            <w:r w:rsidRPr="004E7C75">
              <w:rPr>
                <w:rStyle w:val="apple-converted-space"/>
                <w:rFonts w:ascii="Arial" w:hAnsi="Arial" w:cs="Arial"/>
                <w:color w:val="000000"/>
              </w:rPr>
              <w:t> </w:t>
            </w:r>
            <w:r w:rsidRPr="004E7C75">
              <w:rPr>
                <w:rFonts w:ascii="Arial" w:hAnsi="Arial" w:cs="Arial"/>
                <w:color w:val="000000"/>
              </w:rPr>
              <w:t>&lt; 0.05).</w:t>
            </w:r>
            <w:r>
              <w:rPr>
                <w:rFonts w:ascii="Arial" w:hAnsi="Arial" w:cs="Arial"/>
                <w:color w:val="000000"/>
              </w:rPr>
              <w:t xml:space="preserve"> </w:t>
            </w:r>
            <w:r>
              <w:rPr>
                <w:rFonts w:ascii="Arial" w:hAnsi="Arial" w:cs="Arial"/>
                <w:color w:val="000000"/>
              </w:rPr>
              <w:lastRenderedPageBreak/>
              <w:t xml:space="preserve">Also, coloured taxa denoted by triangular dots are both significantly enriched in </w:t>
            </w:r>
            <w:r w:rsidRPr="00D10410">
              <w:rPr>
                <w:rFonts w:ascii="Arial" w:hAnsi="Arial" w:cs="Arial"/>
                <w:i/>
                <w:iCs/>
                <w:color w:val="000000"/>
              </w:rPr>
              <w:t>S. mansoni</w:t>
            </w:r>
            <w:r>
              <w:rPr>
                <w:rFonts w:ascii="Arial" w:hAnsi="Arial" w:cs="Arial"/>
                <w:color w:val="000000"/>
              </w:rPr>
              <w:t xml:space="preserve"> partipants and also asociated with CVD risk. Those taxa shown by circular dots are significantly impacted by </w:t>
            </w:r>
            <w:r w:rsidRPr="00D10410">
              <w:rPr>
                <w:rFonts w:ascii="Arial" w:hAnsi="Arial" w:cs="Arial"/>
                <w:i/>
                <w:iCs/>
                <w:color w:val="000000"/>
              </w:rPr>
              <w:t>S. mansoni</w:t>
            </w:r>
            <w:r>
              <w:rPr>
                <w:rFonts w:ascii="Arial" w:hAnsi="Arial" w:cs="Arial"/>
                <w:color w:val="000000"/>
              </w:rPr>
              <w:t xml:space="preserve"> infection but are not associated with CVD risk.</w:t>
            </w:r>
          </w:p>
          <w:p w14:paraId="02C14C4B" w14:textId="77777777" w:rsidR="00657B18" w:rsidRDefault="00657B18" w:rsidP="006D2BA1">
            <w:pPr>
              <w:rPr>
                <w:rFonts w:ascii="Arial" w:hAnsi="Arial" w:cs="Arial"/>
                <w:b/>
                <w:bCs/>
                <w:noProof/>
              </w:rPr>
            </w:pPr>
          </w:p>
        </w:tc>
      </w:tr>
    </w:tbl>
    <w:p w14:paraId="13ABE343" w14:textId="77777777" w:rsidR="00657B18" w:rsidRDefault="00657B18" w:rsidP="00657B18">
      <w:pPr>
        <w:rPr>
          <w:rFonts w:ascii="Arial" w:hAnsi="Arial" w:cs="Arial"/>
        </w:rPr>
      </w:pPr>
    </w:p>
    <w:tbl>
      <w:tblPr>
        <w:tblStyle w:val="TableGrid"/>
        <w:tblW w:w="0" w:type="auto"/>
        <w:tblLook w:val="04A0" w:firstRow="1" w:lastRow="0" w:firstColumn="1" w:lastColumn="0" w:noHBand="0" w:noVBand="1"/>
      </w:tblPr>
      <w:tblGrid>
        <w:gridCol w:w="9242"/>
      </w:tblGrid>
      <w:tr w:rsidR="00657B18" w14:paraId="0B5EC131" w14:textId="77777777" w:rsidTr="006D2BA1">
        <w:tc>
          <w:tcPr>
            <w:tcW w:w="9016" w:type="dxa"/>
          </w:tcPr>
          <w:p w14:paraId="443A4B12" w14:textId="77777777" w:rsidR="00657B18" w:rsidRDefault="00657B18" w:rsidP="006D2BA1">
            <w:pPr>
              <w:rPr>
                <w:b/>
                <w:bCs/>
              </w:rPr>
            </w:pPr>
            <w:r>
              <w:rPr>
                <w:b/>
                <w:bCs/>
                <w:noProof/>
              </w:rPr>
              <w:drawing>
                <wp:inline distT="0" distB="0" distL="0" distR="0" wp14:anchorId="4FA366CB" wp14:editId="4AAB578E">
                  <wp:extent cx="5731510" cy="4187825"/>
                  <wp:effectExtent l="0" t="0" r="0" b="3175"/>
                  <wp:docPr id="159322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2263" name="Picture 1593226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187825"/>
                          </a:xfrm>
                          <a:prstGeom prst="rect">
                            <a:avLst/>
                          </a:prstGeom>
                        </pic:spPr>
                      </pic:pic>
                    </a:graphicData>
                  </a:graphic>
                </wp:inline>
              </w:drawing>
            </w:r>
          </w:p>
        </w:tc>
      </w:tr>
      <w:tr w:rsidR="00657B18" w14:paraId="3BB9F5B5" w14:textId="77777777" w:rsidTr="006D2BA1">
        <w:tc>
          <w:tcPr>
            <w:tcW w:w="9016" w:type="dxa"/>
          </w:tcPr>
          <w:p w14:paraId="4D262B7F" w14:textId="77777777" w:rsidR="00657B18" w:rsidRPr="00D10410" w:rsidRDefault="00657B18" w:rsidP="006D2BA1">
            <w:pPr>
              <w:rPr>
                <w:rFonts w:ascii="Arial" w:hAnsi="Arial" w:cs="Arial"/>
                <w:b/>
                <w:bCs/>
              </w:rPr>
            </w:pPr>
            <w:r>
              <w:rPr>
                <w:b/>
                <w:bCs/>
              </w:rPr>
              <w:t xml:space="preserve">Supplementary 3: </w:t>
            </w:r>
            <w:r w:rsidRPr="00D10410">
              <w:rPr>
                <w:rFonts w:ascii="Arial" w:hAnsi="Arial" w:cs="Arial"/>
                <w:b/>
                <w:bCs/>
              </w:rPr>
              <w:t>Positive mediation by microbes</w:t>
            </w:r>
          </w:p>
          <w:p w14:paraId="4C5F97E7" w14:textId="77777777" w:rsidR="00657B18" w:rsidRPr="00D10410" w:rsidRDefault="00657B18" w:rsidP="006D2BA1">
            <w:pPr>
              <w:rPr>
                <w:b/>
                <w:bCs/>
              </w:rPr>
            </w:pPr>
            <w:r w:rsidRPr="00D10410">
              <w:rPr>
                <w:rFonts w:ascii="Arial" w:hAnsi="Arial" w:cs="Arial"/>
                <w:b/>
                <w:bCs/>
              </w:rPr>
              <w:t>(A)</w:t>
            </w:r>
            <w:r w:rsidRPr="00D10410">
              <w:rPr>
                <w:rFonts w:ascii="Arial" w:hAnsi="Arial" w:cs="Arial"/>
              </w:rPr>
              <w:t xml:space="preserve"> </w:t>
            </w:r>
            <w:r w:rsidRPr="00D10410">
              <w:rPr>
                <w:rFonts w:ascii="Arial" w:hAnsi="Arial" w:cs="Arial"/>
                <w:color w:val="000000"/>
              </w:rPr>
              <w:t xml:space="preserve">Visualisation of the mediation analysis model showing hypothesis underlying the link between microbes, </w:t>
            </w:r>
            <w:r w:rsidRPr="00D10410">
              <w:rPr>
                <w:rFonts w:ascii="Arial" w:hAnsi="Arial" w:cs="Arial"/>
                <w:i/>
                <w:iCs/>
                <w:color w:val="000000"/>
              </w:rPr>
              <w:t>S. mansoni</w:t>
            </w:r>
            <w:r w:rsidRPr="00D10410">
              <w:rPr>
                <w:rFonts w:ascii="Arial" w:hAnsi="Arial" w:cs="Arial"/>
                <w:color w:val="000000"/>
              </w:rPr>
              <w:t xml:space="preserve"> infection and CVD risk.  </w:t>
            </w:r>
            <w:r w:rsidRPr="00D10410">
              <w:rPr>
                <w:rFonts w:ascii="Arial" w:hAnsi="Arial" w:cs="Arial"/>
                <w:b/>
                <w:bCs/>
              </w:rPr>
              <w:t>(B)</w:t>
            </w:r>
            <w:r w:rsidRPr="00D10410">
              <w:rPr>
                <w:rFonts w:ascii="Arial" w:hAnsi="Arial" w:cs="Arial"/>
              </w:rPr>
              <w:t xml:space="preserve"> </w:t>
            </w:r>
            <w:r w:rsidRPr="00D10410">
              <w:rPr>
                <w:rFonts w:ascii="Arial" w:hAnsi="Arial" w:cs="Arial"/>
                <w:color w:val="000000"/>
              </w:rPr>
              <w:t xml:space="preserve">Mediation analysis illustrating the mediatory role of microbes in </w:t>
            </w:r>
            <w:r w:rsidRPr="00D10410">
              <w:rPr>
                <w:rFonts w:ascii="Arial" w:hAnsi="Arial" w:cs="Arial"/>
                <w:i/>
                <w:iCs/>
                <w:color w:val="000000"/>
              </w:rPr>
              <w:t>S.mansoni</w:t>
            </w:r>
            <w:r w:rsidRPr="00D10410">
              <w:rPr>
                <w:rFonts w:ascii="Arial" w:hAnsi="Arial" w:cs="Arial"/>
                <w:color w:val="000000"/>
              </w:rPr>
              <w:t>-driven CVD risk resolution. An alluvial plot showing microbes through which helminths may alter one’s CVD risk. Results from mediation analysis using bias-correct non-parametric bootstrap method in the pingouin.mediation analysis package in R. Microbial taxa shown were differentially abundant (p=0.05) in either the S.m+ and S.m- groups (shown the Y-axis). All the microbes above had a significant positive mediation effect (p&lt;0.05, 97.5% CI) on CVD risk factors shown.</w:t>
            </w:r>
            <w:r w:rsidRPr="00D10410">
              <w:rPr>
                <w:rStyle w:val="apple-converted-space"/>
                <w:rFonts w:ascii="Arial" w:eastAsiaTheme="majorEastAsia" w:hAnsi="Arial" w:cs="Arial"/>
                <w:color w:val="000000"/>
              </w:rPr>
              <w:t> </w:t>
            </w:r>
          </w:p>
          <w:p w14:paraId="0A5360EC" w14:textId="77777777" w:rsidR="00657B18" w:rsidRDefault="00657B18" w:rsidP="006D2BA1">
            <w:pPr>
              <w:rPr>
                <w:b/>
                <w:bCs/>
                <w:noProof/>
              </w:rPr>
            </w:pPr>
          </w:p>
        </w:tc>
      </w:tr>
    </w:tbl>
    <w:p w14:paraId="6813EE87" w14:textId="77777777" w:rsidR="00657B18" w:rsidRDefault="00657B18" w:rsidP="00657B18">
      <w:pPr>
        <w:rPr>
          <w:rFonts w:ascii="Arial" w:hAnsi="Arial" w:cs="Arial"/>
        </w:rPr>
      </w:pPr>
    </w:p>
    <w:p w14:paraId="5FB29FB6" w14:textId="77777777" w:rsidR="00657B18" w:rsidRDefault="00657B18" w:rsidP="00657B18">
      <w:pPr>
        <w:rPr>
          <w:rFonts w:ascii="Arial" w:hAnsi="Arial" w:cs="Arial"/>
          <w:b/>
          <w:bCs/>
        </w:rPr>
      </w:pPr>
    </w:p>
    <w:p w14:paraId="62A5EDD2" w14:textId="77777777" w:rsidR="00657B18" w:rsidRDefault="00657B18" w:rsidP="00657B18">
      <w:pPr>
        <w:rPr>
          <w:rFonts w:ascii="Arial" w:hAnsi="Arial" w:cs="Arial"/>
          <w:b/>
          <w:bCs/>
        </w:rPr>
      </w:pPr>
    </w:p>
    <w:p w14:paraId="12A16FED" w14:textId="77777777" w:rsidR="00657B18" w:rsidRDefault="00657B18" w:rsidP="00657B18">
      <w:pPr>
        <w:rPr>
          <w:rFonts w:ascii="Arial" w:hAnsi="Arial" w:cs="Arial"/>
          <w:b/>
          <w:bCs/>
        </w:rPr>
      </w:pPr>
    </w:p>
    <w:p w14:paraId="564F9A62" w14:textId="77777777" w:rsidR="00657B18" w:rsidRDefault="00657B18" w:rsidP="00657B18">
      <w:pPr>
        <w:rPr>
          <w:rFonts w:ascii="Arial" w:hAnsi="Arial" w:cs="Arial"/>
          <w:b/>
          <w:bCs/>
        </w:rPr>
      </w:pPr>
    </w:p>
    <w:p w14:paraId="46E27FC9" w14:textId="77777777" w:rsidR="00657B18" w:rsidRDefault="00657B18" w:rsidP="00657B18">
      <w:pPr>
        <w:rPr>
          <w:rFonts w:ascii="Arial" w:hAnsi="Arial" w:cs="Arial"/>
          <w:b/>
          <w:bCs/>
        </w:rPr>
      </w:pPr>
    </w:p>
    <w:p w14:paraId="7A4D2838" w14:textId="77777777" w:rsidR="00657B18" w:rsidRDefault="00657B18" w:rsidP="00657B18">
      <w:pPr>
        <w:rPr>
          <w:rFonts w:ascii="Arial" w:hAnsi="Arial" w:cs="Arial"/>
          <w:b/>
          <w:bCs/>
        </w:rPr>
      </w:pPr>
    </w:p>
    <w:p w14:paraId="7D0CE340" w14:textId="77777777" w:rsidR="00657B18" w:rsidRDefault="00657B18" w:rsidP="00657B18">
      <w:pPr>
        <w:rPr>
          <w:rFonts w:ascii="Arial" w:hAnsi="Arial" w:cs="Arial"/>
          <w:b/>
          <w:bCs/>
        </w:rPr>
      </w:pPr>
    </w:p>
    <w:p w14:paraId="727718A4" w14:textId="77777777" w:rsidR="00657B18" w:rsidRDefault="00657B18" w:rsidP="00657B18">
      <w:pPr>
        <w:rPr>
          <w:rFonts w:ascii="Arial" w:hAnsi="Arial" w:cs="Arial"/>
          <w:b/>
          <w:bCs/>
        </w:rPr>
      </w:pPr>
    </w:p>
    <w:tbl>
      <w:tblPr>
        <w:tblStyle w:val="TableGrid"/>
        <w:tblW w:w="0" w:type="auto"/>
        <w:tblLook w:val="04A0" w:firstRow="1" w:lastRow="0" w:firstColumn="1" w:lastColumn="0" w:noHBand="0" w:noVBand="1"/>
      </w:tblPr>
      <w:tblGrid>
        <w:gridCol w:w="9242"/>
      </w:tblGrid>
      <w:tr w:rsidR="00657B18" w14:paraId="3CF1AB07" w14:textId="77777777" w:rsidTr="006D2BA1">
        <w:tc>
          <w:tcPr>
            <w:tcW w:w="9016" w:type="dxa"/>
          </w:tcPr>
          <w:p w14:paraId="5DF9384C" w14:textId="77777777" w:rsidR="00657B18" w:rsidRDefault="00657B18" w:rsidP="006D2BA1">
            <w:pPr>
              <w:rPr>
                <w:rFonts w:ascii="Arial" w:hAnsi="Arial" w:cs="Arial"/>
                <w:b/>
                <w:bCs/>
              </w:rPr>
            </w:pPr>
            <w:r>
              <w:rPr>
                <w:rFonts w:ascii="Arial" w:hAnsi="Arial" w:cs="Arial"/>
                <w:b/>
                <w:bCs/>
                <w:noProof/>
              </w:rPr>
              <w:lastRenderedPageBreak/>
              <w:drawing>
                <wp:inline distT="0" distB="0" distL="0" distR="0" wp14:anchorId="2A4ACC50" wp14:editId="128CD7DB">
                  <wp:extent cx="5731510" cy="3502660"/>
                  <wp:effectExtent l="0" t="0" r="0" b="2540"/>
                  <wp:docPr id="1732500203" name="Picture 4" descr="A chart with a pie char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500203" name="Picture 4" descr="A chart with a pie chart and number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502660"/>
                          </a:xfrm>
                          <a:prstGeom prst="rect">
                            <a:avLst/>
                          </a:prstGeom>
                        </pic:spPr>
                      </pic:pic>
                    </a:graphicData>
                  </a:graphic>
                </wp:inline>
              </w:drawing>
            </w:r>
          </w:p>
        </w:tc>
      </w:tr>
      <w:tr w:rsidR="00657B18" w14:paraId="3982E0DB" w14:textId="77777777" w:rsidTr="006D2BA1">
        <w:tc>
          <w:tcPr>
            <w:tcW w:w="9016" w:type="dxa"/>
          </w:tcPr>
          <w:p w14:paraId="1E3B0935" w14:textId="77777777" w:rsidR="00657B18" w:rsidRDefault="00657B18" w:rsidP="006D2BA1">
            <w:pPr>
              <w:rPr>
                <w:rFonts w:ascii="Arial" w:hAnsi="Arial" w:cs="Arial"/>
                <w:b/>
                <w:bCs/>
              </w:rPr>
            </w:pPr>
            <w:r w:rsidRPr="00D10410">
              <w:rPr>
                <w:rFonts w:ascii="Arial" w:hAnsi="Arial" w:cs="Arial"/>
                <w:b/>
                <w:bCs/>
              </w:rPr>
              <w:t xml:space="preserve">Supplementary </w:t>
            </w:r>
            <w:r>
              <w:rPr>
                <w:rFonts w:ascii="Arial" w:hAnsi="Arial" w:cs="Arial"/>
                <w:b/>
                <w:bCs/>
              </w:rPr>
              <w:t>4: Diet distribution for the rural population</w:t>
            </w:r>
          </w:p>
          <w:p w14:paraId="59DCEBAD" w14:textId="77777777" w:rsidR="00657B18" w:rsidRDefault="00657B18" w:rsidP="006D2BA1">
            <w:pPr>
              <w:rPr>
                <w:rFonts w:ascii="Arial" w:hAnsi="Arial" w:cs="Arial"/>
                <w:color w:val="000000"/>
              </w:rPr>
            </w:pPr>
            <w:r w:rsidRPr="00D10410">
              <w:rPr>
                <w:rFonts w:ascii="Arial" w:hAnsi="Arial" w:cs="Arial"/>
                <w:b/>
                <w:bCs/>
              </w:rPr>
              <w:t>(A)</w:t>
            </w:r>
            <w:r w:rsidRPr="00D10410">
              <w:rPr>
                <w:rFonts w:ascii="Arial" w:hAnsi="Arial" w:cs="Arial"/>
              </w:rPr>
              <w:t xml:space="preserve"> </w:t>
            </w:r>
            <w:r w:rsidRPr="00D10410">
              <w:rPr>
                <w:rFonts w:ascii="Arial" w:hAnsi="Arial" w:cs="Arial"/>
                <w:color w:val="000000"/>
              </w:rPr>
              <w:t>Distribution table showing the number of</w:t>
            </w:r>
            <w:r w:rsidRPr="00D10410">
              <w:rPr>
                <w:rStyle w:val="apple-converted-space"/>
                <w:rFonts w:ascii="Arial" w:eastAsiaTheme="majorEastAsia" w:hAnsi="Arial" w:cs="Arial"/>
                <w:color w:val="000000"/>
              </w:rPr>
              <w:t> </w:t>
            </w:r>
            <w:r w:rsidRPr="00D10410">
              <w:rPr>
                <w:rStyle w:val="Emphasis"/>
                <w:rFonts w:ascii="Arial" w:eastAsiaTheme="majorEastAsia" w:hAnsi="Arial" w:cs="Arial"/>
                <w:color w:val="000000"/>
              </w:rPr>
              <w:t>S. mansoni</w:t>
            </w:r>
            <w:r w:rsidRPr="00D10410">
              <w:rPr>
                <w:rFonts w:ascii="Arial" w:hAnsi="Arial" w:cs="Arial"/>
                <w:color w:val="000000"/>
              </w:rPr>
              <w:t>-infected and uninfected participants predominantly consuming each dietary pattern, including fish-based, meat-based, mixed, and fruit/vegetable-rich diets.</w:t>
            </w:r>
            <w:r w:rsidRPr="00D10410">
              <w:rPr>
                <w:rFonts w:ascii="Arial" w:hAnsi="Arial" w:cs="Arial"/>
                <w:color w:val="000000"/>
              </w:rPr>
              <w:br/>
            </w:r>
            <w:r w:rsidRPr="00D10410">
              <w:rPr>
                <w:rFonts w:ascii="Arial" w:hAnsi="Arial" w:cs="Arial"/>
                <w:b/>
                <w:bCs/>
              </w:rPr>
              <w:t>(</w:t>
            </w:r>
            <w:r>
              <w:rPr>
                <w:rFonts w:ascii="Arial" w:hAnsi="Arial" w:cs="Arial"/>
                <w:b/>
                <w:bCs/>
              </w:rPr>
              <w:t>B</w:t>
            </w:r>
            <w:r w:rsidRPr="00D10410">
              <w:rPr>
                <w:rFonts w:ascii="Arial" w:hAnsi="Arial" w:cs="Arial"/>
                <w:b/>
                <w:bCs/>
              </w:rPr>
              <w:t>)</w:t>
            </w:r>
            <w:r w:rsidRPr="00D10410">
              <w:rPr>
                <w:rFonts w:ascii="Arial" w:hAnsi="Arial" w:cs="Arial"/>
              </w:rPr>
              <w:t xml:space="preserve"> </w:t>
            </w:r>
            <w:r w:rsidRPr="00D10410">
              <w:rPr>
                <w:rFonts w:ascii="Arial" w:hAnsi="Arial" w:cs="Arial"/>
                <w:color w:val="000000"/>
              </w:rPr>
              <w:t>Pie chart depicting the overall distribution of dietary patterns across all participants, presented as percentages.</w:t>
            </w:r>
            <w:r w:rsidRPr="00D10410">
              <w:rPr>
                <w:rFonts w:ascii="Arial" w:hAnsi="Arial" w:cs="Arial"/>
                <w:color w:val="000000"/>
              </w:rPr>
              <w:br/>
            </w:r>
            <w:r w:rsidRPr="00D10410">
              <w:rPr>
                <w:rFonts w:ascii="Arial" w:hAnsi="Arial" w:cs="Arial"/>
                <w:b/>
                <w:bCs/>
              </w:rPr>
              <w:t>(</w:t>
            </w:r>
            <w:r>
              <w:rPr>
                <w:rFonts w:ascii="Arial" w:hAnsi="Arial" w:cs="Arial"/>
                <w:b/>
                <w:bCs/>
              </w:rPr>
              <w:t>C</w:t>
            </w:r>
            <w:r w:rsidRPr="00D10410">
              <w:rPr>
                <w:rFonts w:ascii="Arial" w:hAnsi="Arial" w:cs="Arial"/>
                <w:b/>
                <w:bCs/>
              </w:rPr>
              <w:t>)</w:t>
            </w:r>
            <w:r w:rsidRPr="00D10410">
              <w:rPr>
                <w:rFonts w:ascii="Arial" w:hAnsi="Arial" w:cs="Arial"/>
              </w:rPr>
              <w:t xml:space="preserve"> </w:t>
            </w:r>
            <w:r w:rsidRPr="00D10410">
              <w:rPr>
                <w:rFonts w:ascii="Arial" w:hAnsi="Arial" w:cs="Arial"/>
                <w:color w:val="000000"/>
              </w:rPr>
              <w:t>Schematic illustrating the algorithm used to classify participants into dietary categories, based on self-reported frequency (number of days per week) of consuming specific food types</w:t>
            </w:r>
          </w:p>
          <w:p w14:paraId="0B4A393F" w14:textId="77777777" w:rsidR="00657B18" w:rsidRDefault="00657B18" w:rsidP="006D2BA1">
            <w:pPr>
              <w:rPr>
                <w:rFonts w:ascii="Arial" w:hAnsi="Arial" w:cs="Arial"/>
                <w:b/>
                <w:bCs/>
                <w:noProof/>
              </w:rPr>
            </w:pPr>
          </w:p>
        </w:tc>
      </w:tr>
    </w:tbl>
    <w:p w14:paraId="6CF90986" w14:textId="77777777" w:rsidR="00657B18" w:rsidRDefault="00657B18" w:rsidP="00657B18">
      <w:pPr>
        <w:rPr>
          <w:rFonts w:ascii="Arial" w:hAnsi="Arial" w:cs="Arial"/>
          <w:b/>
          <w:bCs/>
        </w:rPr>
      </w:pPr>
    </w:p>
    <w:p w14:paraId="28EF3CF6" w14:textId="77777777" w:rsidR="00657B18" w:rsidRDefault="00657B18" w:rsidP="00657B18">
      <w:pPr>
        <w:rPr>
          <w:rFonts w:ascii="Arial" w:hAnsi="Arial" w:cs="Arial"/>
          <w:b/>
          <w:bCs/>
        </w:rPr>
      </w:pPr>
    </w:p>
    <w:p w14:paraId="7D0276C4" w14:textId="77777777" w:rsidR="00657B18" w:rsidRDefault="00657B18" w:rsidP="00657B18">
      <w:pPr>
        <w:rPr>
          <w:rFonts w:ascii="Arial" w:hAnsi="Arial" w:cs="Arial"/>
          <w:b/>
          <w:bCs/>
        </w:rPr>
      </w:pPr>
    </w:p>
    <w:tbl>
      <w:tblPr>
        <w:tblStyle w:val="TableGrid"/>
        <w:tblW w:w="0" w:type="auto"/>
        <w:tblLook w:val="04A0" w:firstRow="1" w:lastRow="0" w:firstColumn="1" w:lastColumn="0" w:noHBand="0" w:noVBand="1"/>
      </w:tblPr>
      <w:tblGrid>
        <w:gridCol w:w="9242"/>
      </w:tblGrid>
      <w:tr w:rsidR="00657B18" w14:paraId="438E08A3" w14:textId="77777777" w:rsidTr="006D2BA1">
        <w:tc>
          <w:tcPr>
            <w:tcW w:w="9016" w:type="dxa"/>
          </w:tcPr>
          <w:p w14:paraId="62932F64" w14:textId="77777777" w:rsidR="00657B18" w:rsidRDefault="00657B18" w:rsidP="006D2BA1">
            <w:pPr>
              <w:rPr>
                <w:rFonts w:ascii="Arial" w:hAnsi="Arial" w:cs="Arial"/>
                <w:b/>
                <w:bCs/>
              </w:rPr>
            </w:pPr>
            <w:r>
              <w:rPr>
                <w:rFonts w:ascii="Arial" w:hAnsi="Arial" w:cs="Arial"/>
                <w:b/>
                <w:bCs/>
                <w:noProof/>
              </w:rPr>
              <w:drawing>
                <wp:inline distT="0" distB="0" distL="0" distR="0" wp14:anchorId="4041A847" wp14:editId="31E17CB7">
                  <wp:extent cx="5731510" cy="2818130"/>
                  <wp:effectExtent l="0" t="0" r="0" b="0"/>
                  <wp:docPr id="1694037216" name="Picture 5" descr="A graph with a r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037216" name="Picture 5" descr="A graph with a red lin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818130"/>
                          </a:xfrm>
                          <a:prstGeom prst="rect">
                            <a:avLst/>
                          </a:prstGeom>
                        </pic:spPr>
                      </pic:pic>
                    </a:graphicData>
                  </a:graphic>
                </wp:inline>
              </w:drawing>
            </w:r>
          </w:p>
        </w:tc>
      </w:tr>
      <w:tr w:rsidR="00657B18" w14:paraId="4CF82A85" w14:textId="77777777" w:rsidTr="006D2BA1">
        <w:tc>
          <w:tcPr>
            <w:tcW w:w="9016" w:type="dxa"/>
          </w:tcPr>
          <w:p w14:paraId="3AEE31FA" w14:textId="77777777" w:rsidR="00657B18" w:rsidRPr="00D10410" w:rsidRDefault="00657B18" w:rsidP="006D2BA1">
            <w:pPr>
              <w:rPr>
                <w:rFonts w:ascii="-webkit-standard" w:hAnsi="-webkit-standard"/>
                <w:b/>
                <w:bCs/>
                <w:color w:val="000000"/>
                <w:sz w:val="27"/>
                <w:szCs w:val="27"/>
              </w:rPr>
            </w:pPr>
            <w:r w:rsidRPr="00D10410">
              <w:rPr>
                <w:rFonts w:ascii="Arial" w:hAnsi="Arial" w:cs="Arial"/>
                <w:b/>
                <w:bCs/>
              </w:rPr>
              <w:t xml:space="preserve">Supplementary </w:t>
            </w:r>
            <w:r>
              <w:rPr>
                <w:rFonts w:ascii="Arial" w:hAnsi="Arial" w:cs="Arial"/>
                <w:b/>
                <w:bCs/>
              </w:rPr>
              <w:t>5</w:t>
            </w:r>
            <w:r w:rsidRPr="00D10410">
              <w:rPr>
                <w:rFonts w:ascii="Arial" w:hAnsi="Arial" w:cs="Arial"/>
                <w:b/>
                <w:bCs/>
              </w:rPr>
              <w:t>:</w:t>
            </w:r>
            <w:r>
              <w:rPr>
                <w:rFonts w:ascii="Arial" w:hAnsi="Arial" w:cs="Arial"/>
                <w:b/>
                <w:bCs/>
              </w:rPr>
              <w:t xml:space="preserve"> Prediction of infection status using the metabolite profile</w:t>
            </w:r>
          </w:p>
          <w:p w14:paraId="5F0018B6" w14:textId="77777777" w:rsidR="00657B18" w:rsidRPr="00D10410" w:rsidRDefault="00657B18" w:rsidP="006D2BA1">
            <w:pPr>
              <w:rPr>
                <w:rFonts w:ascii="Arial" w:hAnsi="Arial" w:cs="Arial"/>
              </w:rPr>
            </w:pPr>
            <w:r w:rsidRPr="00D10410">
              <w:rPr>
                <w:rFonts w:ascii="Arial" w:hAnsi="Arial" w:cs="Arial"/>
                <w:b/>
                <w:bCs/>
              </w:rPr>
              <w:t>(A)</w:t>
            </w:r>
            <w:r w:rsidRPr="00D10410">
              <w:rPr>
                <w:rFonts w:ascii="Arial" w:hAnsi="Arial" w:cs="Arial"/>
              </w:rPr>
              <w:t xml:space="preserve"> Receiver operating characteristic (ROC) curve illustrating the performance of a metabolite-based classification model generated using partial least squares </w:t>
            </w:r>
            <w:r w:rsidRPr="00D10410">
              <w:rPr>
                <w:rFonts w:ascii="Arial" w:hAnsi="Arial" w:cs="Arial"/>
              </w:rPr>
              <w:lastRenderedPageBreak/>
              <w:t>discriminant analysis (PLS-DA) to distinguish between groups. The model achieved an accuracy of 53.77%, with a specificity of 54.78% and a sensitivity of 53.20%.</w:t>
            </w:r>
          </w:p>
          <w:p w14:paraId="21C0F69B" w14:textId="77777777" w:rsidR="00657B18" w:rsidRPr="00D10410" w:rsidRDefault="00657B18" w:rsidP="006D2BA1">
            <w:pPr>
              <w:rPr>
                <w:rFonts w:ascii="Arial" w:hAnsi="Arial" w:cs="Arial"/>
              </w:rPr>
            </w:pPr>
            <w:r w:rsidRPr="00D10410">
              <w:rPr>
                <w:rFonts w:ascii="Arial" w:hAnsi="Arial" w:cs="Arial"/>
                <w:b/>
                <w:bCs/>
              </w:rPr>
              <w:t>(B)</w:t>
            </w:r>
            <w:r w:rsidRPr="00D10410">
              <w:rPr>
                <w:rFonts w:ascii="Arial" w:hAnsi="Arial" w:cs="Arial"/>
              </w:rPr>
              <w:t xml:space="preserve"> Variable importance in projection (VIP) plot highlighting the top contributing metabolites (based on m/z ratios) driving the model’s classification. Metabolites with the highest VIP scores were considered the most influential in separating the groups and may reflect biologically relevant signatures.</w:t>
            </w:r>
          </w:p>
          <w:p w14:paraId="02C14EC9" w14:textId="77777777" w:rsidR="00657B18" w:rsidRDefault="00657B18" w:rsidP="006D2BA1">
            <w:pPr>
              <w:rPr>
                <w:rFonts w:ascii="Arial" w:hAnsi="Arial" w:cs="Arial"/>
                <w:b/>
                <w:bCs/>
                <w:noProof/>
              </w:rPr>
            </w:pPr>
          </w:p>
        </w:tc>
      </w:tr>
    </w:tbl>
    <w:p w14:paraId="6783FE51" w14:textId="77777777" w:rsidR="00657B18" w:rsidRDefault="00657B18" w:rsidP="00657B18">
      <w:pPr>
        <w:rPr>
          <w:rFonts w:ascii="Arial" w:hAnsi="Arial" w:cs="Arial"/>
          <w:b/>
          <w:bCs/>
        </w:rPr>
      </w:pPr>
    </w:p>
    <w:p w14:paraId="4DC05DA4" w14:textId="77777777" w:rsidR="00657B18" w:rsidRDefault="00657B18" w:rsidP="00657B18">
      <w:pPr>
        <w:rPr>
          <w:rFonts w:ascii="Arial" w:hAnsi="Arial" w:cs="Arial"/>
          <w:b/>
          <w:bCs/>
        </w:rPr>
      </w:pPr>
    </w:p>
    <w:p w14:paraId="67D52BDA" w14:textId="77777777" w:rsidR="00657B18" w:rsidRPr="00D10410" w:rsidRDefault="00657B18" w:rsidP="00657B18">
      <w:pPr>
        <w:rPr>
          <w:b/>
          <w:bCs/>
        </w:rPr>
      </w:pPr>
    </w:p>
    <w:p w14:paraId="78002AC6" w14:textId="77777777" w:rsidR="00657B18" w:rsidRDefault="00657B18" w:rsidP="00657B18">
      <w:pPr>
        <w:rPr>
          <w:b/>
          <w:bCs/>
        </w:rPr>
      </w:pPr>
    </w:p>
    <w:p w14:paraId="3975F34E" w14:textId="77777777" w:rsidR="00657B18" w:rsidRDefault="00657B18" w:rsidP="00657B18">
      <w:pPr>
        <w:rPr>
          <w:b/>
          <w:bCs/>
        </w:rPr>
      </w:pPr>
    </w:p>
    <w:p w14:paraId="7D03B719" w14:textId="77777777" w:rsidR="00657B18" w:rsidRDefault="00657B18" w:rsidP="00657B18">
      <w:pPr>
        <w:rPr>
          <w:b/>
          <w:bCs/>
        </w:rPr>
      </w:pPr>
    </w:p>
    <w:p w14:paraId="12942A07" w14:textId="77777777" w:rsidR="00657B18" w:rsidRDefault="00657B18" w:rsidP="00657B18">
      <w:pPr>
        <w:rPr>
          <w:b/>
          <w:bCs/>
        </w:rPr>
      </w:pPr>
    </w:p>
    <w:p w14:paraId="591D1067" w14:textId="77777777" w:rsidR="00657B18" w:rsidRDefault="00657B18" w:rsidP="00657B18">
      <w:pPr>
        <w:rPr>
          <w:b/>
          <w:bCs/>
        </w:rPr>
      </w:pPr>
    </w:p>
    <w:p w14:paraId="4B0B32A8" w14:textId="77777777" w:rsidR="00657B18" w:rsidRDefault="00657B18" w:rsidP="00657B18">
      <w:pPr>
        <w:rPr>
          <w:b/>
          <w:bCs/>
        </w:rPr>
      </w:pPr>
    </w:p>
    <w:p w14:paraId="07A33ED0" w14:textId="77777777" w:rsidR="00657B18" w:rsidRDefault="00657B18" w:rsidP="00657B18">
      <w:pPr>
        <w:rPr>
          <w:b/>
          <w:bCs/>
        </w:rPr>
      </w:pPr>
    </w:p>
    <w:p w14:paraId="1CAD54A2" w14:textId="77777777" w:rsidR="00657B18" w:rsidRDefault="00657B18" w:rsidP="00657B18">
      <w:pPr>
        <w:rPr>
          <w:b/>
          <w:bCs/>
        </w:rPr>
      </w:pPr>
    </w:p>
    <w:p w14:paraId="40947EA1" w14:textId="77777777" w:rsidR="00657B18" w:rsidRDefault="00657B18" w:rsidP="00657B18">
      <w:pPr>
        <w:rPr>
          <w:b/>
          <w:bCs/>
        </w:rPr>
      </w:pPr>
    </w:p>
    <w:p w14:paraId="1BCAADAC" w14:textId="77777777" w:rsidR="00657B18" w:rsidRDefault="00657B18" w:rsidP="00657B18">
      <w:pPr>
        <w:rPr>
          <w:b/>
          <w:bCs/>
        </w:rPr>
      </w:pPr>
    </w:p>
    <w:p w14:paraId="49756864" w14:textId="77777777" w:rsidR="00657B18" w:rsidRDefault="00657B18" w:rsidP="00657B18">
      <w:pPr>
        <w:rPr>
          <w:b/>
          <w:bCs/>
        </w:rPr>
      </w:pPr>
    </w:p>
    <w:p w14:paraId="3832940D" w14:textId="77777777" w:rsidR="00657B18" w:rsidRDefault="00657B18" w:rsidP="00657B18">
      <w:pPr>
        <w:rPr>
          <w:b/>
          <w:bCs/>
        </w:rPr>
      </w:pPr>
    </w:p>
    <w:p w14:paraId="07669AC1" w14:textId="77777777" w:rsidR="00657B18" w:rsidRPr="004948CB" w:rsidRDefault="00657B18" w:rsidP="00657B18">
      <w:pPr>
        <w:rPr>
          <w:rFonts w:ascii="Arial" w:hAnsi="Arial" w:cs="Arial"/>
          <w:b/>
          <w:bCs/>
        </w:rPr>
      </w:pPr>
    </w:p>
    <w:tbl>
      <w:tblPr>
        <w:tblStyle w:val="TableGrid"/>
        <w:tblW w:w="0" w:type="auto"/>
        <w:tblLook w:val="04A0" w:firstRow="1" w:lastRow="0" w:firstColumn="1" w:lastColumn="0" w:noHBand="0" w:noVBand="1"/>
      </w:tblPr>
      <w:tblGrid>
        <w:gridCol w:w="9242"/>
      </w:tblGrid>
      <w:tr w:rsidR="00657B18" w14:paraId="1EEE9F12" w14:textId="77777777" w:rsidTr="006D2BA1">
        <w:tc>
          <w:tcPr>
            <w:tcW w:w="9016" w:type="dxa"/>
          </w:tcPr>
          <w:p w14:paraId="064BA466" w14:textId="77777777" w:rsidR="00657B18" w:rsidRDefault="00657B18" w:rsidP="006D2BA1">
            <w:pPr>
              <w:rPr>
                <w:b/>
                <w:bCs/>
              </w:rPr>
            </w:pPr>
            <w:r>
              <w:rPr>
                <w:b/>
                <w:bCs/>
                <w:noProof/>
              </w:rPr>
              <w:drawing>
                <wp:inline distT="0" distB="0" distL="0" distR="0" wp14:anchorId="327A58EA" wp14:editId="1AB1DA15">
                  <wp:extent cx="5731510" cy="3373755"/>
                  <wp:effectExtent l="0" t="0" r="0" b="0"/>
                  <wp:docPr id="1655672517"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672517" name="Picture 3" descr="A screenshot of a computer&#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373755"/>
                          </a:xfrm>
                          <a:prstGeom prst="rect">
                            <a:avLst/>
                          </a:prstGeom>
                        </pic:spPr>
                      </pic:pic>
                    </a:graphicData>
                  </a:graphic>
                </wp:inline>
              </w:drawing>
            </w:r>
          </w:p>
        </w:tc>
      </w:tr>
      <w:tr w:rsidR="00657B18" w14:paraId="78223B50" w14:textId="77777777" w:rsidTr="006D2BA1">
        <w:tc>
          <w:tcPr>
            <w:tcW w:w="9016" w:type="dxa"/>
          </w:tcPr>
          <w:p w14:paraId="435929FD" w14:textId="77777777" w:rsidR="00657B18" w:rsidRDefault="00657B18" w:rsidP="006D2BA1">
            <w:pPr>
              <w:rPr>
                <w:b/>
                <w:bCs/>
              </w:rPr>
            </w:pPr>
            <w:r w:rsidRPr="004948CB">
              <w:rPr>
                <w:rFonts w:ascii="Arial" w:hAnsi="Arial" w:cs="Arial"/>
                <w:b/>
                <w:bCs/>
              </w:rPr>
              <w:t xml:space="preserve">Supplementary 6: </w:t>
            </w:r>
            <w:r>
              <w:rPr>
                <w:b/>
                <w:bCs/>
              </w:rPr>
              <w:t>Insulin_associated microbes interaction with metabolites</w:t>
            </w:r>
          </w:p>
          <w:p w14:paraId="4EACAE71" w14:textId="77777777" w:rsidR="00657B18" w:rsidRDefault="00657B18" w:rsidP="006D2BA1">
            <w:pPr>
              <w:rPr>
                <w:rFonts w:ascii="Arial" w:hAnsi="Arial" w:cs="Arial"/>
              </w:rPr>
            </w:pPr>
            <w:r w:rsidRPr="00330901">
              <w:rPr>
                <w:rFonts w:ascii="Arial" w:hAnsi="Arial" w:cs="Arial"/>
                <w:b/>
                <w:bCs/>
              </w:rPr>
              <w:t xml:space="preserve">A </w:t>
            </w:r>
            <w:r w:rsidRPr="00330901">
              <w:rPr>
                <w:rFonts w:ascii="Arial" w:hAnsi="Arial" w:cs="Arial"/>
              </w:rPr>
              <w:t xml:space="preserve">Circos plot plot showing  the top most correlations between variables of microbiome (blue blocks) and metabolome (green blocks) data that were significantly associated with </w:t>
            </w:r>
            <w:r>
              <w:rPr>
                <w:rFonts w:ascii="Arial" w:hAnsi="Arial" w:cs="Arial"/>
              </w:rPr>
              <w:t xml:space="preserve">insulin resistance </w:t>
            </w:r>
            <w:r w:rsidRPr="00330901">
              <w:rPr>
                <w:rFonts w:ascii="Arial" w:hAnsi="Arial" w:cs="Arial"/>
              </w:rPr>
              <w:t>following association analysis described in Figure 3 where factors such as age, sex, BMI were adjusted for , and setting included as interaction term in our model.</w:t>
            </w:r>
            <w:r w:rsidRPr="00330901">
              <w:rPr>
                <w:rFonts w:ascii="Arial" w:hAnsi="Arial" w:cs="Arial"/>
                <w:b/>
                <w:bCs/>
              </w:rPr>
              <w:t xml:space="preserve"> </w:t>
            </w:r>
            <w:r w:rsidRPr="00330901">
              <w:rPr>
                <w:rFonts w:ascii="Arial" w:hAnsi="Arial" w:cs="Arial"/>
              </w:rPr>
              <w:t>The correlation cut-off  for this circos plot is r ≥ 0.</w:t>
            </w:r>
            <w:r>
              <w:rPr>
                <w:rFonts w:ascii="Arial" w:hAnsi="Arial" w:cs="Arial"/>
              </w:rPr>
              <w:t>65</w:t>
            </w:r>
            <w:r w:rsidRPr="00330901">
              <w:rPr>
                <w:rFonts w:ascii="Arial" w:hAnsi="Arial" w:cs="Arial"/>
              </w:rPr>
              <w:t xml:space="preserve">. </w:t>
            </w:r>
            <w:r w:rsidRPr="00330901">
              <w:rPr>
                <w:rFonts w:ascii="Arial" w:hAnsi="Arial" w:cs="Arial"/>
                <w:b/>
                <w:bCs/>
              </w:rPr>
              <w:t>B</w:t>
            </w:r>
            <w:r w:rsidRPr="00330901">
              <w:rPr>
                <w:rFonts w:ascii="Arial" w:hAnsi="Arial" w:cs="Arial"/>
              </w:rPr>
              <w:t xml:space="preserve"> After extracting only those microbes and metabolites shown to interact in A, a heatmap was used to clearly show the most significant correlations between the microbiota and metabolites that were significantly associated with</w:t>
            </w:r>
            <w:r>
              <w:rPr>
                <w:rFonts w:ascii="Arial" w:hAnsi="Arial" w:cs="Arial"/>
              </w:rPr>
              <w:t>insulin resistance</w:t>
            </w:r>
            <w:r w:rsidRPr="00330901">
              <w:rPr>
                <w:rFonts w:ascii="Arial" w:hAnsi="Arial" w:cs="Arial"/>
              </w:rPr>
              <w:t xml:space="preserve">. </w:t>
            </w:r>
            <w:r w:rsidRPr="00330901">
              <w:rPr>
                <w:rFonts w:ascii="Arial" w:hAnsi="Arial" w:cs="Arial"/>
              </w:rPr>
              <w:lastRenderedPageBreak/>
              <w:t xml:space="preserve">Correlation strength (spearmans correlation coefficient, r, value) is shown by the depth of the red colour (the deepest red indicates the strongest correlation positive correlation, and blue shows negative correlation). </w:t>
            </w:r>
            <w:r w:rsidRPr="00330901">
              <w:rPr>
                <w:rFonts w:ascii="Arial" w:hAnsi="Arial" w:cs="Arial"/>
                <w:b/>
                <w:bCs/>
              </w:rPr>
              <w:t xml:space="preserve">C </w:t>
            </w:r>
            <w:r w:rsidRPr="00330901">
              <w:rPr>
                <w:rFonts w:ascii="Arial" w:hAnsi="Arial" w:cs="Arial"/>
              </w:rPr>
              <w:t xml:space="preserve"> Annotation of metabolites into classes. Going beyong individual metabolites, this annotation was done using the CLASSYFIRE to show the classes they fall under. The blue horizontal bars represent the number of metabolites matching with x-axes. The vertical axis represents the annotated classes of metabolites, and the graph shows the number of metabolites annotated to a class.</w:t>
            </w:r>
          </w:p>
          <w:p w14:paraId="51AD1598" w14:textId="77777777" w:rsidR="00657B18" w:rsidRDefault="00657B18" w:rsidP="006D2BA1">
            <w:pPr>
              <w:rPr>
                <w:b/>
                <w:bCs/>
                <w:noProof/>
              </w:rPr>
            </w:pPr>
          </w:p>
        </w:tc>
      </w:tr>
    </w:tbl>
    <w:p w14:paraId="544A56C2" w14:textId="77777777" w:rsidR="00657B18" w:rsidRDefault="00657B18" w:rsidP="00657B18">
      <w:pPr>
        <w:rPr>
          <w:b/>
          <w:bCs/>
        </w:rPr>
      </w:pPr>
    </w:p>
    <w:p w14:paraId="42EF437E" w14:textId="77777777" w:rsidR="00657B18" w:rsidRDefault="00657B18" w:rsidP="00657B18">
      <w:pPr>
        <w:rPr>
          <w:b/>
          <w:bCs/>
        </w:rPr>
      </w:pPr>
    </w:p>
    <w:p w14:paraId="6FFD0BA4" w14:textId="77777777" w:rsidR="00657B18" w:rsidRDefault="00657B18" w:rsidP="00657B18">
      <w:pPr>
        <w:rPr>
          <w:rFonts w:ascii="Arial" w:hAnsi="Arial" w:cs="Arial"/>
        </w:rPr>
      </w:pPr>
    </w:p>
    <w:p w14:paraId="59B48EBC" w14:textId="77777777" w:rsidR="00657B18" w:rsidRDefault="00657B18" w:rsidP="00657B18">
      <w:pPr>
        <w:rPr>
          <w:rFonts w:ascii="Arial" w:hAnsi="Arial" w:cs="Arial"/>
          <w:b/>
          <w:bCs/>
        </w:rPr>
      </w:pPr>
    </w:p>
    <w:p w14:paraId="7ED49B62" w14:textId="77777777" w:rsidR="00657B18" w:rsidRDefault="00657B18" w:rsidP="00657B18">
      <w:pPr>
        <w:rPr>
          <w:rFonts w:ascii="Arial" w:hAnsi="Arial" w:cs="Arial"/>
          <w:b/>
          <w:bCs/>
        </w:rPr>
      </w:pPr>
    </w:p>
    <w:p w14:paraId="3D59FDAE" w14:textId="77777777" w:rsidR="00657B18" w:rsidRDefault="00657B18" w:rsidP="00657B18">
      <w:pPr>
        <w:rPr>
          <w:rFonts w:ascii="Arial" w:hAnsi="Arial" w:cs="Arial"/>
          <w:b/>
          <w:bCs/>
        </w:rPr>
      </w:pPr>
    </w:p>
    <w:p w14:paraId="4065D873" w14:textId="77777777" w:rsidR="00657B18" w:rsidRDefault="00657B18" w:rsidP="00657B18">
      <w:pPr>
        <w:rPr>
          <w:rFonts w:ascii="Arial" w:hAnsi="Arial" w:cs="Arial"/>
          <w:b/>
          <w:bCs/>
        </w:rPr>
      </w:pPr>
    </w:p>
    <w:p w14:paraId="1E2D7E42" w14:textId="77777777" w:rsidR="00657B18" w:rsidRDefault="00657B18" w:rsidP="00657B18">
      <w:pPr>
        <w:rPr>
          <w:rFonts w:ascii="Arial" w:hAnsi="Arial" w:cs="Arial"/>
          <w:b/>
          <w:bCs/>
        </w:rPr>
      </w:pPr>
    </w:p>
    <w:p w14:paraId="52517295" w14:textId="77777777" w:rsidR="00657B18" w:rsidRDefault="00657B18" w:rsidP="00657B18">
      <w:pPr>
        <w:rPr>
          <w:rFonts w:ascii="Arial" w:hAnsi="Arial" w:cs="Arial"/>
          <w:b/>
          <w:bCs/>
        </w:rPr>
      </w:pPr>
    </w:p>
    <w:p w14:paraId="19A59858" w14:textId="77777777" w:rsidR="00657B18" w:rsidRDefault="00657B18" w:rsidP="00657B18">
      <w:pPr>
        <w:rPr>
          <w:rFonts w:ascii="Arial" w:hAnsi="Arial" w:cs="Arial"/>
          <w:b/>
          <w:bCs/>
        </w:rPr>
      </w:pPr>
    </w:p>
    <w:p w14:paraId="00D23620" w14:textId="77777777" w:rsidR="00657B18" w:rsidRDefault="00657B18" w:rsidP="00657B18">
      <w:pPr>
        <w:rPr>
          <w:rFonts w:ascii="Arial" w:hAnsi="Arial" w:cs="Arial"/>
          <w:b/>
          <w:bCs/>
        </w:rPr>
      </w:pPr>
    </w:p>
    <w:p w14:paraId="1B73080C" w14:textId="77777777" w:rsidR="00657B18" w:rsidRDefault="00657B18" w:rsidP="00657B18">
      <w:pPr>
        <w:rPr>
          <w:rFonts w:ascii="Arial" w:hAnsi="Arial" w:cs="Arial"/>
          <w:b/>
          <w:bCs/>
        </w:rPr>
      </w:pPr>
    </w:p>
    <w:p w14:paraId="27088476" w14:textId="77777777" w:rsidR="00657B18" w:rsidRDefault="00657B18" w:rsidP="00657B18">
      <w:pPr>
        <w:rPr>
          <w:rFonts w:ascii="Arial" w:hAnsi="Arial" w:cs="Arial"/>
          <w:b/>
          <w:bCs/>
        </w:rPr>
      </w:pPr>
    </w:p>
    <w:p w14:paraId="0CCE6884" w14:textId="77777777" w:rsidR="00657B18" w:rsidRDefault="00657B18" w:rsidP="00657B18">
      <w:pPr>
        <w:rPr>
          <w:rFonts w:ascii="Arial" w:hAnsi="Arial" w:cs="Arial"/>
          <w:b/>
          <w:bCs/>
        </w:rPr>
      </w:pPr>
    </w:p>
    <w:p w14:paraId="658C5047" w14:textId="77777777" w:rsidR="00657B18" w:rsidRDefault="00657B18" w:rsidP="00657B18">
      <w:pPr>
        <w:rPr>
          <w:rFonts w:ascii="Arial" w:hAnsi="Arial" w:cs="Arial"/>
          <w:b/>
          <w:bCs/>
        </w:rPr>
      </w:pPr>
    </w:p>
    <w:p w14:paraId="52F09E74" w14:textId="77777777" w:rsidR="00657B18" w:rsidRDefault="00657B18" w:rsidP="00657B18">
      <w:pPr>
        <w:rPr>
          <w:rFonts w:ascii="Arial" w:hAnsi="Arial" w:cs="Arial"/>
          <w:b/>
          <w:bCs/>
        </w:rPr>
      </w:pPr>
    </w:p>
    <w:p w14:paraId="73FBA473" w14:textId="77777777" w:rsidR="00657B18" w:rsidRDefault="00657B18" w:rsidP="00657B18">
      <w:pPr>
        <w:rPr>
          <w:rFonts w:ascii="Arial" w:hAnsi="Arial" w:cs="Arial"/>
          <w:b/>
          <w:bCs/>
        </w:rPr>
      </w:pPr>
    </w:p>
    <w:p w14:paraId="17E0C797" w14:textId="77777777" w:rsidR="00657B18" w:rsidRDefault="00657B18" w:rsidP="00657B18">
      <w:pPr>
        <w:rPr>
          <w:rFonts w:ascii="Arial" w:hAnsi="Arial" w:cs="Arial"/>
          <w:b/>
          <w:bCs/>
        </w:rPr>
      </w:pPr>
    </w:p>
    <w:p w14:paraId="2555B06B" w14:textId="77777777" w:rsidR="00657B18" w:rsidRDefault="00657B18" w:rsidP="00657B18">
      <w:pPr>
        <w:rPr>
          <w:rFonts w:ascii="Arial" w:hAnsi="Arial" w:cs="Arial"/>
          <w:b/>
          <w:bCs/>
        </w:rPr>
      </w:pPr>
    </w:p>
    <w:tbl>
      <w:tblPr>
        <w:tblStyle w:val="TableGrid"/>
        <w:tblW w:w="0" w:type="auto"/>
        <w:tblLook w:val="04A0" w:firstRow="1" w:lastRow="0" w:firstColumn="1" w:lastColumn="0" w:noHBand="0" w:noVBand="1"/>
      </w:tblPr>
      <w:tblGrid>
        <w:gridCol w:w="9242"/>
      </w:tblGrid>
      <w:tr w:rsidR="00657B18" w14:paraId="1CD1B6B0" w14:textId="77777777" w:rsidTr="006D2BA1">
        <w:tc>
          <w:tcPr>
            <w:tcW w:w="9016" w:type="dxa"/>
          </w:tcPr>
          <w:p w14:paraId="635DB410" w14:textId="77777777" w:rsidR="00657B18" w:rsidRDefault="00657B18" w:rsidP="006D2BA1">
            <w:pPr>
              <w:rPr>
                <w:rFonts w:ascii="Arial" w:hAnsi="Arial" w:cs="Arial"/>
                <w:b/>
                <w:bCs/>
              </w:rPr>
            </w:pPr>
            <w:r>
              <w:rPr>
                <w:rFonts w:ascii="Arial" w:hAnsi="Arial" w:cs="Arial"/>
                <w:b/>
                <w:bCs/>
                <w:noProof/>
              </w:rPr>
              <w:lastRenderedPageBreak/>
              <w:drawing>
                <wp:inline distT="0" distB="0" distL="0" distR="0" wp14:anchorId="34081FA3" wp14:editId="36B2790C">
                  <wp:extent cx="5731510" cy="4626610"/>
                  <wp:effectExtent l="0" t="0" r="0" b="0"/>
                  <wp:docPr id="12166359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635909" name="Picture 1216635909"/>
                          <pic:cNvPicPr/>
                        </pic:nvPicPr>
                        <pic:blipFill>
                          <a:blip r:embed="rId10">
                            <a:extLst>
                              <a:ext uri="{28A0092B-C50C-407E-A947-70E740481C1C}">
                                <a14:useLocalDpi xmlns:a14="http://schemas.microsoft.com/office/drawing/2010/main" val="0"/>
                              </a:ext>
                            </a:extLst>
                          </a:blip>
                          <a:stretch>
                            <a:fillRect/>
                          </a:stretch>
                        </pic:blipFill>
                        <pic:spPr>
                          <a:xfrm>
                            <a:off x="0" y="0"/>
                            <a:ext cx="5731510" cy="4626610"/>
                          </a:xfrm>
                          <a:prstGeom prst="rect">
                            <a:avLst/>
                          </a:prstGeom>
                        </pic:spPr>
                      </pic:pic>
                    </a:graphicData>
                  </a:graphic>
                </wp:inline>
              </w:drawing>
            </w:r>
          </w:p>
        </w:tc>
      </w:tr>
      <w:tr w:rsidR="00657B18" w14:paraId="02B6663A" w14:textId="77777777" w:rsidTr="006D2BA1">
        <w:tc>
          <w:tcPr>
            <w:tcW w:w="9016" w:type="dxa"/>
          </w:tcPr>
          <w:p w14:paraId="345A2E7E" w14:textId="77777777" w:rsidR="00657B18" w:rsidRPr="004948CB" w:rsidRDefault="00657B18" w:rsidP="006D2BA1">
            <w:pPr>
              <w:rPr>
                <w:rFonts w:ascii="Arial" w:hAnsi="Arial" w:cs="Arial"/>
                <w:b/>
                <w:bCs/>
                <w:noProof/>
              </w:rPr>
            </w:pPr>
            <w:r>
              <w:rPr>
                <w:rFonts w:ascii="Arial" w:hAnsi="Arial" w:cs="Arial"/>
                <w:b/>
                <w:bCs/>
              </w:rPr>
              <w:t xml:space="preserve">Supplementary 7: </w:t>
            </w:r>
            <w:r w:rsidRPr="004948CB">
              <w:rPr>
                <w:rStyle w:val="Emphasis"/>
                <w:rFonts w:ascii="Arial" w:eastAsiaTheme="majorEastAsia" w:hAnsi="Arial" w:cs="Arial"/>
                <w:b/>
                <w:bCs/>
                <w:color w:val="000000"/>
              </w:rPr>
              <w:t>Total cholesterol-associated metabolic pathways.</w:t>
            </w:r>
            <w:r w:rsidRPr="004948CB">
              <w:rPr>
                <w:rFonts w:ascii="Arial" w:hAnsi="Arial" w:cs="Arial"/>
                <w:color w:val="000000"/>
              </w:rPr>
              <w:br/>
              <w:t>Lollipop plot summarizing pathway enrichment results for metabolites associated with total cholesterol. A pathway redundancy clustering algorithm, implemented via the</w:t>
            </w:r>
            <w:r w:rsidRPr="004948CB">
              <w:rPr>
                <w:rStyle w:val="apple-converted-space"/>
                <w:rFonts w:ascii="Arial" w:eastAsiaTheme="majorEastAsia" w:hAnsi="Arial" w:cs="Arial"/>
                <w:color w:val="000000"/>
              </w:rPr>
              <w:t> </w:t>
            </w:r>
            <w:r w:rsidRPr="004948CB">
              <w:rPr>
                <w:rStyle w:val="Emphasis"/>
                <w:rFonts w:ascii="Arial" w:eastAsiaTheme="majorEastAsia" w:hAnsi="Arial" w:cs="Arial"/>
                <w:color w:val="000000"/>
              </w:rPr>
              <w:t>RaMP</w:t>
            </w:r>
            <w:r w:rsidRPr="004948CB">
              <w:rPr>
                <w:rStyle w:val="apple-converted-space"/>
                <w:rFonts w:ascii="Arial" w:eastAsiaTheme="majorEastAsia" w:hAnsi="Arial" w:cs="Arial"/>
                <w:color w:val="000000"/>
              </w:rPr>
              <w:t> </w:t>
            </w:r>
            <w:r w:rsidRPr="004948CB">
              <w:rPr>
                <w:rFonts w:ascii="Arial" w:hAnsi="Arial" w:cs="Arial"/>
                <w:color w:val="000000"/>
              </w:rPr>
              <w:t>R package, was used to group highly overlapping pathways and identify functional redundancies. The vertical axis displays the names of enriched pathways, along with their assigned clusters (if applicable), the source database, the number of altered analytes per pathway, and the Fisher’s exact test p-values corrected for multiple testing. Among 36 enriched pathways, 27 were grouped into 8 distinct clusters, reflecting shared biological functions or metabolite overlap.</w:t>
            </w:r>
          </w:p>
        </w:tc>
      </w:tr>
    </w:tbl>
    <w:p w14:paraId="2A7C795E" w14:textId="77777777" w:rsidR="00657B18" w:rsidRDefault="00657B18" w:rsidP="00657B18">
      <w:pPr>
        <w:rPr>
          <w:rFonts w:ascii="Arial" w:hAnsi="Arial" w:cs="Arial"/>
          <w:b/>
          <w:bCs/>
        </w:rPr>
      </w:pPr>
    </w:p>
    <w:p w14:paraId="0448CAC5" w14:textId="77777777" w:rsidR="00657B18" w:rsidRDefault="00657B18" w:rsidP="00657B18">
      <w:pPr>
        <w:rPr>
          <w:rFonts w:ascii="Arial" w:hAnsi="Arial" w:cs="Arial"/>
          <w:color w:val="2A2A2A"/>
        </w:rPr>
      </w:pPr>
    </w:p>
    <w:p w14:paraId="779793D9" w14:textId="77777777" w:rsidR="00657B18" w:rsidRDefault="00657B18" w:rsidP="00657B18">
      <w:pPr>
        <w:rPr>
          <w:rFonts w:ascii="Arial" w:hAnsi="Arial" w:cs="Arial"/>
          <w:color w:val="2A2A2A"/>
        </w:rPr>
      </w:pPr>
    </w:p>
    <w:tbl>
      <w:tblPr>
        <w:tblStyle w:val="TableGrid"/>
        <w:tblW w:w="0" w:type="auto"/>
        <w:tblLook w:val="04A0" w:firstRow="1" w:lastRow="0" w:firstColumn="1" w:lastColumn="0" w:noHBand="0" w:noVBand="1"/>
      </w:tblPr>
      <w:tblGrid>
        <w:gridCol w:w="9236"/>
      </w:tblGrid>
      <w:tr w:rsidR="00657B18" w14:paraId="3321B228" w14:textId="77777777" w:rsidTr="006D2BA1">
        <w:tc>
          <w:tcPr>
            <w:tcW w:w="9016" w:type="dxa"/>
          </w:tcPr>
          <w:p w14:paraId="0D0FD316" w14:textId="77777777" w:rsidR="00657B18" w:rsidRDefault="00657B18" w:rsidP="006D2BA1">
            <w:pPr>
              <w:rPr>
                <w:rFonts w:ascii="Arial" w:hAnsi="Arial" w:cs="Arial"/>
                <w:color w:val="2A2A2A"/>
              </w:rPr>
            </w:pPr>
            <w:r>
              <w:rPr>
                <w:rFonts w:ascii="Arial" w:hAnsi="Arial" w:cs="Arial"/>
                <w:noProof/>
                <w:color w:val="2A2A2A"/>
              </w:rPr>
              <w:lastRenderedPageBreak/>
              <w:drawing>
                <wp:inline distT="0" distB="0" distL="0" distR="0" wp14:anchorId="77DA8A1D" wp14:editId="15F162B0">
                  <wp:extent cx="5727700" cy="3340100"/>
                  <wp:effectExtent l="0" t="0" r="0" b="0"/>
                  <wp:docPr id="1184969829" name="Picture 9"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969829" name="Picture 9" descr="A screen shot of a graph&#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5727700" cy="3340100"/>
                          </a:xfrm>
                          <a:prstGeom prst="rect">
                            <a:avLst/>
                          </a:prstGeom>
                        </pic:spPr>
                      </pic:pic>
                    </a:graphicData>
                  </a:graphic>
                </wp:inline>
              </w:drawing>
            </w:r>
          </w:p>
        </w:tc>
      </w:tr>
      <w:tr w:rsidR="00657B18" w14:paraId="1197600A" w14:textId="77777777" w:rsidTr="006D2BA1">
        <w:tc>
          <w:tcPr>
            <w:tcW w:w="9016" w:type="dxa"/>
          </w:tcPr>
          <w:p w14:paraId="2EBC8718" w14:textId="77777777" w:rsidR="00657B18" w:rsidRPr="004948CB" w:rsidRDefault="00657B18" w:rsidP="006D2BA1">
            <w:pPr>
              <w:rPr>
                <w:rFonts w:ascii="Arial" w:hAnsi="Arial" w:cs="Arial"/>
                <w:noProof/>
                <w:color w:val="2A2A2A"/>
              </w:rPr>
            </w:pPr>
            <w:r w:rsidRPr="004948CB">
              <w:rPr>
                <w:rFonts w:ascii="Arial" w:hAnsi="Arial" w:cs="Arial"/>
                <w:b/>
                <w:bCs/>
                <w:color w:val="2A2A2A"/>
              </w:rPr>
              <w:t>Supplementary 8:</w:t>
            </w:r>
            <w:r>
              <w:rPr>
                <w:rFonts w:ascii="Arial" w:hAnsi="Arial" w:cs="Arial"/>
                <w:color w:val="2A2A2A"/>
              </w:rPr>
              <w:t xml:space="preserve"> </w:t>
            </w:r>
            <w:r w:rsidRPr="004948CB">
              <w:rPr>
                <w:rStyle w:val="Emphasis"/>
                <w:rFonts w:ascii="Arial" w:eastAsiaTheme="majorEastAsia" w:hAnsi="Arial" w:cs="Arial"/>
                <w:b/>
                <w:bCs/>
                <w:color w:val="000000"/>
              </w:rPr>
              <w:t>Diastolic blood pressure-associated metabolic pathways.</w:t>
            </w:r>
            <w:r w:rsidRPr="004948CB">
              <w:rPr>
                <w:rFonts w:ascii="Arial" w:hAnsi="Arial" w:cs="Arial"/>
                <w:color w:val="000000"/>
              </w:rPr>
              <w:br/>
              <w:t xml:space="preserve">Lollipop plot displaying enriched metabolic pathways associated with diastolic blood pressure. A pathway redundancy clustering algorithm, implemented </w:t>
            </w:r>
            <w:r>
              <w:rPr>
                <w:rFonts w:ascii="Arial" w:hAnsi="Arial" w:cs="Arial"/>
                <w:color w:val="000000"/>
              </w:rPr>
              <w:t>in</w:t>
            </w:r>
            <w:r w:rsidRPr="004948CB">
              <w:rPr>
                <w:rFonts w:ascii="Arial" w:hAnsi="Arial" w:cs="Arial"/>
                <w:color w:val="000000"/>
              </w:rPr>
              <w:t xml:space="preserve"> the RaMP-DB</w:t>
            </w:r>
            <w:r>
              <w:rPr>
                <w:rFonts w:ascii="Arial" w:hAnsi="Arial" w:cs="Arial"/>
                <w:color w:val="000000"/>
              </w:rPr>
              <w:t xml:space="preserve"> package</w:t>
            </w:r>
            <w:r w:rsidRPr="004948CB">
              <w:rPr>
                <w:rFonts w:ascii="Arial" w:hAnsi="Arial" w:cs="Arial"/>
                <w:color w:val="000000"/>
              </w:rPr>
              <w:t>, was used to group highly overlapping pathways and identify functional redundancies within the enrichment results. The vertical axis indicates the names of enriched pathways, the cluster to which each pathway was assigned (if applicable), the source database, the number of altered analytes contributing to enrichment, and the Fisher’s exact test p-values adjusted for multiple testing. Of the pathways identified, 12 were grouped into 4 distinct clusters, while the remaining pathways could not be clustered due to lack of overlap</w:t>
            </w:r>
          </w:p>
        </w:tc>
      </w:tr>
    </w:tbl>
    <w:p w14:paraId="774C1B93" w14:textId="77777777" w:rsidR="00657B18" w:rsidRDefault="00657B18" w:rsidP="00657B18">
      <w:pPr>
        <w:rPr>
          <w:rFonts w:ascii="Arial" w:hAnsi="Arial" w:cs="Arial"/>
          <w:color w:val="2A2A2A"/>
        </w:rPr>
      </w:pPr>
    </w:p>
    <w:p w14:paraId="3DCABC3B" w14:textId="77777777" w:rsidR="00657B18" w:rsidRDefault="00657B18" w:rsidP="00657B18">
      <w:pPr>
        <w:rPr>
          <w:rFonts w:ascii="Arial" w:hAnsi="Arial" w:cs="Arial"/>
          <w:b/>
          <w:bCs/>
        </w:rPr>
      </w:pPr>
    </w:p>
    <w:p w14:paraId="25A3F794" w14:textId="77777777" w:rsidR="00657B18" w:rsidRDefault="00657B18" w:rsidP="00657B18">
      <w:pPr>
        <w:rPr>
          <w:rFonts w:ascii="Arial" w:hAnsi="Arial" w:cs="Arial"/>
          <w:b/>
          <w:bCs/>
        </w:rPr>
      </w:pPr>
    </w:p>
    <w:tbl>
      <w:tblPr>
        <w:tblStyle w:val="TableGrid"/>
        <w:tblW w:w="0" w:type="auto"/>
        <w:tblLook w:val="04A0" w:firstRow="1" w:lastRow="0" w:firstColumn="1" w:lastColumn="0" w:noHBand="0" w:noVBand="1"/>
      </w:tblPr>
      <w:tblGrid>
        <w:gridCol w:w="9016"/>
      </w:tblGrid>
      <w:tr w:rsidR="00657B18" w14:paraId="0DE5A726" w14:textId="77777777" w:rsidTr="006D2BA1">
        <w:tc>
          <w:tcPr>
            <w:tcW w:w="9016" w:type="dxa"/>
          </w:tcPr>
          <w:p w14:paraId="1E5DC1EF" w14:textId="77777777" w:rsidR="00657B18" w:rsidRDefault="00657B18" w:rsidP="006D2BA1">
            <w:pPr>
              <w:rPr>
                <w:rFonts w:ascii="Arial" w:hAnsi="Arial" w:cs="Arial"/>
                <w:b/>
                <w:bCs/>
              </w:rPr>
            </w:pPr>
            <w:r>
              <w:rPr>
                <w:rFonts w:ascii="Arial" w:hAnsi="Arial" w:cs="Arial"/>
                <w:b/>
                <w:bCs/>
                <w:noProof/>
              </w:rPr>
              <w:lastRenderedPageBreak/>
              <w:drawing>
                <wp:inline distT="0" distB="0" distL="0" distR="0" wp14:anchorId="6863BFFE" wp14:editId="55C96D1B">
                  <wp:extent cx="5506920" cy="4575271"/>
                  <wp:effectExtent l="0" t="0" r="5080" b="0"/>
                  <wp:docPr id="1569905951" name="Picture 10" descr="A chart with colorful dot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905951" name="Picture 10" descr="A chart with colorful dots and black tex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15995" cy="4582811"/>
                          </a:xfrm>
                          <a:prstGeom prst="rect">
                            <a:avLst/>
                          </a:prstGeom>
                        </pic:spPr>
                      </pic:pic>
                    </a:graphicData>
                  </a:graphic>
                </wp:inline>
              </w:drawing>
            </w:r>
          </w:p>
        </w:tc>
      </w:tr>
      <w:tr w:rsidR="00657B18" w14:paraId="3A1D4ECE" w14:textId="77777777" w:rsidTr="006D2BA1">
        <w:tc>
          <w:tcPr>
            <w:tcW w:w="9016" w:type="dxa"/>
          </w:tcPr>
          <w:p w14:paraId="3E4A0E8F" w14:textId="77777777" w:rsidR="00657B18" w:rsidRPr="004948CB" w:rsidRDefault="00657B18" w:rsidP="006D2BA1">
            <w:pPr>
              <w:rPr>
                <w:rFonts w:ascii="Arial" w:hAnsi="Arial" w:cs="Arial"/>
                <w:color w:val="2A2A2A"/>
              </w:rPr>
            </w:pPr>
            <w:r>
              <w:rPr>
                <w:rFonts w:ascii="Arial" w:hAnsi="Arial" w:cs="Arial"/>
                <w:b/>
                <w:bCs/>
              </w:rPr>
              <w:t xml:space="preserve">Supplementary 9 : </w:t>
            </w:r>
            <w:r w:rsidRPr="004948CB">
              <w:rPr>
                <w:rStyle w:val="Emphasis"/>
                <w:rFonts w:ascii="Arial" w:eastAsiaTheme="majorEastAsia" w:hAnsi="Arial" w:cs="Arial"/>
                <w:b/>
                <w:bCs/>
                <w:color w:val="000000"/>
              </w:rPr>
              <w:t>Insulin resistance-associated metabolic pathways.</w:t>
            </w:r>
            <w:r w:rsidRPr="004948CB">
              <w:rPr>
                <w:rFonts w:ascii="Arial" w:hAnsi="Arial" w:cs="Arial"/>
                <w:color w:val="000000"/>
              </w:rPr>
              <w:br/>
              <w:t xml:space="preserve">Lollipop plot illustrating metabolic pathways enriched by metabolites associated with insulin resistance. A pathway redundancy clustering algorithm, implemented </w:t>
            </w:r>
            <w:r>
              <w:rPr>
                <w:rFonts w:ascii="Arial" w:hAnsi="Arial" w:cs="Arial"/>
                <w:color w:val="000000"/>
              </w:rPr>
              <w:t>in</w:t>
            </w:r>
            <w:r w:rsidRPr="004948CB">
              <w:rPr>
                <w:rFonts w:ascii="Arial" w:hAnsi="Arial" w:cs="Arial"/>
                <w:color w:val="000000"/>
              </w:rPr>
              <w:t xml:space="preserve"> the RaMP-DB </w:t>
            </w:r>
            <w:r>
              <w:rPr>
                <w:rFonts w:ascii="Arial" w:hAnsi="Arial" w:cs="Arial"/>
                <w:color w:val="000000"/>
              </w:rPr>
              <w:t>package</w:t>
            </w:r>
            <w:r w:rsidRPr="004948CB">
              <w:rPr>
                <w:rFonts w:ascii="Arial" w:hAnsi="Arial" w:cs="Arial"/>
                <w:color w:val="000000"/>
              </w:rPr>
              <w:t>, was applied to group highly overlapping pathways and identify functional redundancies in the enrichment results. The vertical axis displays the names of enriched pathways, their corresponding clusters (if assigned), the source database, the number of altered analytes per pathway, and the Fisher’s exact test p-values adjusted for multiple comparisons. In this analysis, 11 pathways were identified, none of which clustered due to limited overlap, indicating distinct biological processes.</w:t>
            </w:r>
          </w:p>
        </w:tc>
      </w:tr>
    </w:tbl>
    <w:p w14:paraId="1164F9EC" w14:textId="77777777" w:rsidR="00657B18" w:rsidRDefault="00657B18" w:rsidP="00657B18">
      <w:pPr>
        <w:rPr>
          <w:rFonts w:ascii="Arial" w:hAnsi="Arial" w:cs="Arial"/>
          <w:color w:val="2A2A2A"/>
        </w:rPr>
      </w:pPr>
    </w:p>
    <w:p w14:paraId="69D49857" w14:textId="77777777" w:rsidR="00657B18" w:rsidRDefault="00657B18" w:rsidP="00657B18">
      <w:pPr>
        <w:rPr>
          <w:rFonts w:ascii="Arial" w:hAnsi="Arial" w:cs="Arial"/>
          <w:color w:val="2A2A2A"/>
        </w:rPr>
      </w:pPr>
    </w:p>
    <w:p w14:paraId="1BE537FF" w14:textId="77777777" w:rsidR="00657B18" w:rsidRDefault="00657B18" w:rsidP="00657B18">
      <w:pPr>
        <w:rPr>
          <w:rFonts w:ascii="Arial" w:hAnsi="Arial" w:cs="Arial"/>
          <w:color w:val="2A2A2A"/>
        </w:rPr>
      </w:pPr>
    </w:p>
    <w:tbl>
      <w:tblPr>
        <w:tblStyle w:val="TableGrid"/>
        <w:tblW w:w="0" w:type="auto"/>
        <w:tblLook w:val="04A0" w:firstRow="1" w:lastRow="0" w:firstColumn="1" w:lastColumn="0" w:noHBand="0" w:noVBand="1"/>
      </w:tblPr>
      <w:tblGrid>
        <w:gridCol w:w="9016"/>
      </w:tblGrid>
      <w:tr w:rsidR="00657B18" w14:paraId="34D3DBBA" w14:textId="77777777" w:rsidTr="006D2BA1">
        <w:tc>
          <w:tcPr>
            <w:tcW w:w="9016" w:type="dxa"/>
          </w:tcPr>
          <w:p w14:paraId="43A1E4D0" w14:textId="77777777" w:rsidR="00657B18" w:rsidRDefault="00657B18" w:rsidP="006D2BA1">
            <w:pPr>
              <w:rPr>
                <w:rFonts w:ascii="Arial" w:hAnsi="Arial" w:cs="Arial"/>
                <w:b/>
                <w:bCs/>
              </w:rPr>
            </w:pPr>
            <w:r>
              <w:rPr>
                <w:rFonts w:ascii="Arial" w:hAnsi="Arial" w:cs="Arial"/>
                <w:b/>
                <w:bCs/>
                <w:noProof/>
              </w:rPr>
              <w:lastRenderedPageBreak/>
              <w:drawing>
                <wp:inline distT="0" distB="0" distL="0" distR="0" wp14:anchorId="2B6B8BFD" wp14:editId="57E620F5">
                  <wp:extent cx="4684889" cy="4131310"/>
                  <wp:effectExtent l="0" t="0" r="1905" b="0"/>
                  <wp:docPr id="60220660" name="Picture 1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20660" name="Picture 11" descr="A screenshot of a computer&#10;&#10;AI-generated content may be incorrect."/>
                          <pic:cNvPicPr/>
                        </pic:nvPicPr>
                        <pic:blipFill rotWithShape="1">
                          <a:blip r:embed="rId13">
                            <a:extLst>
                              <a:ext uri="{28A0092B-C50C-407E-A947-70E740481C1C}">
                                <a14:useLocalDpi xmlns:a14="http://schemas.microsoft.com/office/drawing/2010/main" val="0"/>
                              </a:ext>
                            </a:extLst>
                          </a:blip>
                          <a:srcRect l="1765" t="660" r="636" b="2803"/>
                          <a:stretch/>
                        </pic:blipFill>
                        <pic:spPr bwMode="auto">
                          <a:xfrm>
                            <a:off x="0" y="0"/>
                            <a:ext cx="4685366" cy="4131731"/>
                          </a:xfrm>
                          <a:prstGeom prst="rect">
                            <a:avLst/>
                          </a:prstGeom>
                          <a:ln>
                            <a:noFill/>
                          </a:ln>
                          <a:extLst>
                            <a:ext uri="{53640926-AAD7-44D8-BBD7-CCE9431645EC}">
                              <a14:shadowObscured xmlns:a14="http://schemas.microsoft.com/office/drawing/2010/main"/>
                            </a:ext>
                          </a:extLst>
                        </pic:spPr>
                      </pic:pic>
                    </a:graphicData>
                  </a:graphic>
                </wp:inline>
              </w:drawing>
            </w:r>
          </w:p>
        </w:tc>
      </w:tr>
      <w:tr w:rsidR="00657B18" w14:paraId="490B1C5B" w14:textId="77777777" w:rsidTr="006D2BA1">
        <w:tc>
          <w:tcPr>
            <w:tcW w:w="9016" w:type="dxa"/>
          </w:tcPr>
          <w:p w14:paraId="3EA13215" w14:textId="77777777" w:rsidR="00657B18" w:rsidRPr="004948CB" w:rsidRDefault="00657B18" w:rsidP="006D2BA1">
            <w:pPr>
              <w:rPr>
                <w:rFonts w:ascii="Arial" w:hAnsi="Arial" w:cs="Arial"/>
                <w:b/>
                <w:bCs/>
                <w:noProof/>
              </w:rPr>
            </w:pPr>
            <w:r w:rsidRPr="004948CB">
              <w:rPr>
                <w:rFonts w:ascii="Arial" w:hAnsi="Arial" w:cs="Arial"/>
                <w:b/>
                <w:bCs/>
                <w:color w:val="2A2A2A"/>
              </w:rPr>
              <w:t>Supplementary 10:</w:t>
            </w:r>
            <w:r>
              <w:rPr>
                <w:rFonts w:ascii="Arial" w:hAnsi="Arial" w:cs="Arial"/>
                <w:color w:val="2A2A2A"/>
              </w:rPr>
              <w:t xml:space="preserve"> </w:t>
            </w:r>
            <w:r w:rsidRPr="004948CB">
              <w:rPr>
                <w:rStyle w:val="Emphasis"/>
                <w:rFonts w:ascii="Arial" w:eastAsiaTheme="majorEastAsia" w:hAnsi="Arial" w:cs="Arial"/>
                <w:b/>
                <w:bCs/>
                <w:color w:val="000000"/>
              </w:rPr>
              <w:t>Systolic blood pressure-associated metabolic pathways.</w:t>
            </w:r>
            <w:r w:rsidRPr="004948CB">
              <w:rPr>
                <w:rFonts w:ascii="Arial" w:hAnsi="Arial" w:cs="Arial"/>
                <w:color w:val="000000"/>
              </w:rPr>
              <w:br/>
              <w:t xml:space="preserve">Lollipop plot showing metabolic pathways enriched by metabolites associated with systolic blood pressure. A pathway redundancy clustering algorithm, implemented </w:t>
            </w:r>
            <w:r>
              <w:rPr>
                <w:rFonts w:ascii="Arial" w:hAnsi="Arial" w:cs="Arial"/>
                <w:color w:val="000000"/>
              </w:rPr>
              <w:t xml:space="preserve">in </w:t>
            </w:r>
            <w:r w:rsidRPr="004948CB">
              <w:rPr>
                <w:rFonts w:ascii="Arial" w:hAnsi="Arial" w:cs="Arial"/>
                <w:color w:val="000000"/>
              </w:rPr>
              <w:t>the</w:t>
            </w:r>
            <w:r w:rsidRPr="004948CB">
              <w:rPr>
                <w:rStyle w:val="apple-converted-space"/>
                <w:rFonts w:ascii="Arial" w:eastAsiaTheme="majorEastAsia" w:hAnsi="Arial" w:cs="Arial"/>
                <w:color w:val="000000"/>
              </w:rPr>
              <w:t> </w:t>
            </w:r>
            <w:r w:rsidRPr="004948CB">
              <w:rPr>
                <w:rStyle w:val="Emphasis"/>
                <w:rFonts w:ascii="Arial" w:eastAsiaTheme="majorEastAsia" w:hAnsi="Arial" w:cs="Arial"/>
                <w:color w:val="000000"/>
              </w:rPr>
              <w:t>RaMP</w:t>
            </w:r>
            <w:r w:rsidRPr="004948CB">
              <w:rPr>
                <w:rStyle w:val="apple-converted-space"/>
                <w:rFonts w:ascii="Arial" w:eastAsiaTheme="majorEastAsia" w:hAnsi="Arial" w:cs="Arial"/>
                <w:color w:val="000000"/>
              </w:rPr>
              <w:t> </w:t>
            </w:r>
            <w:r w:rsidRPr="004948CB">
              <w:rPr>
                <w:rFonts w:ascii="Arial" w:hAnsi="Arial" w:cs="Arial"/>
                <w:color w:val="000000"/>
              </w:rPr>
              <w:t>R package, was used to group highly overlapping pathways and identify functional redundancies in the enrichment results. The vertical axis presents the names of enriched pathways, their assigned clusters (if any), the source database, the number of altered analytes contributing to each pathway, and Fisher’s exact test p-values corrected for multiple testing. The two enriched pathways identified did not cluster, suggesting limited overlap and distinct biological roles</w:t>
            </w:r>
          </w:p>
        </w:tc>
      </w:tr>
    </w:tbl>
    <w:p w14:paraId="4A4BA8E6" w14:textId="77777777" w:rsidR="00657B18" w:rsidRDefault="00657B18" w:rsidP="00657B18">
      <w:pPr>
        <w:rPr>
          <w:rFonts w:ascii="Arial" w:hAnsi="Arial" w:cs="Arial"/>
          <w:color w:val="2A2A2A"/>
        </w:rPr>
      </w:pPr>
    </w:p>
    <w:p w14:paraId="539B513A" w14:textId="77777777" w:rsidR="00657B18" w:rsidRDefault="00657B18" w:rsidP="00657B18">
      <w:pPr>
        <w:rPr>
          <w:rFonts w:ascii="Arial" w:hAnsi="Arial" w:cs="Arial"/>
          <w:color w:val="2A2A2A"/>
        </w:rPr>
      </w:pPr>
    </w:p>
    <w:p w14:paraId="0887F777" w14:textId="77777777" w:rsidR="00657B18" w:rsidRDefault="00657B18" w:rsidP="00657B18">
      <w:pPr>
        <w:rPr>
          <w:rFonts w:ascii="Arial" w:hAnsi="Arial" w:cs="Arial"/>
          <w:color w:val="2A2A2A"/>
        </w:rPr>
      </w:pPr>
    </w:p>
    <w:p w14:paraId="632D3817" w14:textId="77777777" w:rsidR="00657B18" w:rsidRDefault="00657B18" w:rsidP="00657B18">
      <w:pPr>
        <w:rPr>
          <w:rFonts w:ascii="Arial" w:hAnsi="Arial" w:cs="Arial"/>
          <w:color w:val="2A2A2A"/>
        </w:rPr>
      </w:pPr>
    </w:p>
    <w:p w14:paraId="58CDBC78" w14:textId="77777777" w:rsidR="00657B18" w:rsidRDefault="00657B18" w:rsidP="00657B18">
      <w:pPr>
        <w:rPr>
          <w:rFonts w:ascii="Arial" w:hAnsi="Arial" w:cs="Arial"/>
          <w:color w:val="2A2A2A"/>
        </w:rPr>
      </w:pPr>
    </w:p>
    <w:tbl>
      <w:tblPr>
        <w:tblStyle w:val="TableGrid"/>
        <w:tblW w:w="0" w:type="auto"/>
        <w:tblLook w:val="04A0" w:firstRow="1" w:lastRow="0" w:firstColumn="1" w:lastColumn="0" w:noHBand="0" w:noVBand="1"/>
      </w:tblPr>
      <w:tblGrid>
        <w:gridCol w:w="9242"/>
      </w:tblGrid>
      <w:tr w:rsidR="00657B18" w14:paraId="6DEF66B4" w14:textId="77777777" w:rsidTr="006D2BA1">
        <w:tc>
          <w:tcPr>
            <w:tcW w:w="9016" w:type="dxa"/>
          </w:tcPr>
          <w:p w14:paraId="67C439EF" w14:textId="77777777" w:rsidR="00657B18" w:rsidRDefault="00657B18" w:rsidP="006D2BA1">
            <w:pPr>
              <w:rPr>
                <w:rFonts w:ascii="Arial" w:hAnsi="Arial" w:cs="Arial"/>
                <w:color w:val="2A2A2A"/>
              </w:rPr>
            </w:pPr>
            <w:r>
              <w:rPr>
                <w:rFonts w:ascii="Arial" w:hAnsi="Arial" w:cs="Arial"/>
                <w:noProof/>
                <w:color w:val="2A2A2A"/>
              </w:rPr>
              <w:lastRenderedPageBreak/>
              <w:drawing>
                <wp:inline distT="0" distB="0" distL="0" distR="0" wp14:anchorId="328B2BC0" wp14:editId="201A28F0">
                  <wp:extent cx="5731510" cy="4004945"/>
                  <wp:effectExtent l="0" t="0" r="0" b="0"/>
                  <wp:docPr id="1655430687" name="Picture 1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430687" name="Picture 13" descr="A screenshot of a graph&#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731510" cy="4004945"/>
                          </a:xfrm>
                          <a:prstGeom prst="rect">
                            <a:avLst/>
                          </a:prstGeom>
                        </pic:spPr>
                      </pic:pic>
                    </a:graphicData>
                  </a:graphic>
                </wp:inline>
              </w:drawing>
            </w:r>
          </w:p>
        </w:tc>
      </w:tr>
      <w:tr w:rsidR="00657B18" w14:paraId="10180D13" w14:textId="77777777" w:rsidTr="006D2BA1">
        <w:tc>
          <w:tcPr>
            <w:tcW w:w="9016" w:type="dxa"/>
          </w:tcPr>
          <w:p w14:paraId="14440247" w14:textId="77777777" w:rsidR="00657B18" w:rsidRPr="004948CB" w:rsidRDefault="00657B18" w:rsidP="006D2BA1">
            <w:pPr>
              <w:pStyle w:val="Caption"/>
              <w:rPr>
                <w:rFonts w:ascii="Arial" w:hAnsi="Arial" w:cs="Arial"/>
                <w:i w:val="0"/>
                <w:iCs w:val="0"/>
                <w:noProof/>
                <w:color w:val="2A2A2A"/>
                <w:sz w:val="24"/>
                <w:szCs w:val="24"/>
                <w14:ligatures w14:val="standardContextual"/>
              </w:rPr>
            </w:pPr>
            <w:r w:rsidRPr="004948CB">
              <w:rPr>
                <w:rFonts w:ascii="Arial" w:hAnsi="Arial" w:cs="Arial"/>
                <w:b/>
                <w:bCs/>
                <w:i w:val="0"/>
                <w:iCs w:val="0"/>
                <w:color w:val="2A2A2A"/>
                <w:sz w:val="24"/>
                <w:szCs w:val="24"/>
              </w:rPr>
              <w:t>Supplementary 11:</w:t>
            </w:r>
            <w:r>
              <w:rPr>
                <w:rFonts w:ascii="Arial" w:hAnsi="Arial" w:cs="Arial"/>
                <w:b/>
                <w:bCs/>
                <w:i w:val="0"/>
                <w:iCs w:val="0"/>
                <w:color w:val="2A2A2A"/>
                <w:sz w:val="24"/>
                <w:szCs w:val="24"/>
              </w:rPr>
              <w:t xml:space="preserve"> </w:t>
            </w:r>
            <w:r w:rsidRPr="004948CB">
              <w:rPr>
                <w:rStyle w:val="Emphasis"/>
                <w:rFonts w:ascii="Arial" w:eastAsiaTheme="majorEastAsia" w:hAnsi="Arial" w:cs="Arial"/>
                <w:b/>
                <w:bCs/>
                <w:color w:val="000000"/>
                <w:sz w:val="24"/>
                <w:szCs w:val="24"/>
              </w:rPr>
              <w:t>Glucose intolerance-associated metabolic pathways.</w:t>
            </w:r>
            <w:r w:rsidRPr="004948CB">
              <w:rPr>
                <w:rFonts w:ascii="Arial" w:hAnsi="Arial" w:cs="Arial"/>
                <w:i w:val="0"/>
                <w:iCs w:val="0"/>
                <w:color w:val="000000"/>
                <w:sz w:val="24"/>
                <w:szCs w:val="24"/>
              </w:rPr>
              <w:br/>
              <w:t xml:space="preserve">Lollipop plot illustrating metabolic pathways enriched by metabolites associated with glucose intolerance. A pathway redundancy clustering algorithm, implemented </w:t>
            </w:r>
            <w:r>
              <w:rPr>
                <w:rFonts w:ascii="Arial" w:hAnsi="Arial" w:cs="Arial"/>
                <w:i w:val="0"/>
                <w:iCs w:val="0"/>
                <w:color w:val="000000"/>
                <w:sz w:val="24"/>
                <w:szCs w:val="24"/>
              </w:rPr>
              <w:t>in</w:t>
            </w:r>
            <w:r w:rsidRPr="004948CB">
              <w:rPr>
                <w:rFonts w:ascii="Arial" w:hAnsi="Arial" w:cs="Arial"/>
                <w:i w:val="0"/>
                <w:iCs w:val="0"/>
                <w:color w:val="000000"/>
                <w:sz w:val="24"/>
                <w:szCs w:val="24"/>
              </w:rPr>
              <w:t xml:space="preserve"> the RaMP-DB </w:t>
            </w:r>
            <w:r>
              <w:rPr>
                <w:rFonts w:ascii="Arial" w:hAnsi="Arial" w:cs="Arial"/>
                <w:i w:val="0"/>
                <w:iCs w:val="0"/>
                <w:color w:val="000000"/>
                <w:sz w:val="24"/>
                <w:szCs w:val="24"/>
              </w:rPr>
              <w:t>package</w:t>
            </w:r>
            <w:r w:rsidRPr="004948CB">
              <w:rPr>
                <w:rFonts w:ascii="Arial" w:hAnsi="Arial" w:cs="Arial"/>
                <w:i w:val="0"/>
                <w:iCs w:val="0"/>
                <w:color w:val="000000"/>
                <w:sz w:val="24"/>
                <w:szCs w:val="24"/>
              </w:rPr>
              <w:t>, was used to group highly overlapping pathways and identify functional redundancies in the enrichment results. The vertical axis displays the names of enriched pathways, their corresponding clusters (if assigned), the source database, the number of altered analytes per pathway, and the Fisher’s exact test p-values adjusted for multiple testing. Of the 10 enriched pathways, 8 were grouped into two distinct clusters, while the remaining two pathways did not cluster due to limited overlap.</w:t>
            </w:r>
          </w:p>
        </w:tc>
      </w:tr>
    </w:tbl>
    <w:p w14:paraId="05BA5CFC" w14:textId="77777777" w:rsidR="00657B18" w:rsidRDefault="00657B18" w:rsidP="00657B18">
      <w:pPr>
        <w:rPr>
          <w:rFonts w:ascii="Arial" w:hAnsi="Arial" w:cs="Arial"/>
          <w:color w:val="2A2A2A"/>
        </w:rPr>
      </w:pPr>
    </w:p>
    <w:p w14:paraId="598DE32C" w14:textId="77777777" w:rsidR="00657B18" w:rsidRDefault="00657B18" w:rsidP="00657B18">
      <w:pPr>
        <w:rPr>
          <w:rFonts w:ascii="Arial" w:hAnsi="Arial" w:cs="Arial"/>
          <w:color w:val="2A2A2A"/>
        </w:rPr>
      </w:pPr>
    </w:p>
    <w:p w14:paraId="3350EE98" w14:textId="77777777" w:rsidR="00657B18" w:rsidRDefault="00657B18" w:rsidP="00657B18"/>
    <w:p w14:paraId="42DE0E5E" w14:textId="77777777" w:rsidR="00657B18" w:rsidRPr="000B4DB3" w:rsidRDefault="00657B18" w:rsidP="00657B18">
      <w:pPr>
        <w:rPr>
          <w:rFonts w:ascii="Arial" w:hAnsi="Arial" w:cs="Arial"/>
          <w:b/>
          <w:bCs/>
        </w:rPr>
      </w:pPr>
    </w:p>
    <w:p w14:paraId="5BD9FB1F" w14:textId="77777777" w:rsidR="00657B18" w:rsidRPr="006B05C2" w:rsidRDefault="00657B18" w:rsidP="00657B18">
      <w:pPr>
        <w:jc w:val="both"/>
        <w:rPr>
          <w:rFonts w:ascii="Arial" w:hAnsi="Arial" w:cs="Arial"/>
          <w:b/>
          <w:bCs/>
        </w:rPr>
      </w:pPr>
    </w:p>
    <w:p w14:paraId="11C63867" w14:textId="77777777" w:rsidR="00755780" w:rsidRDefault="00755780"/>
    <w:sectPr w:rsidR="00755780" w:rsidSect="00657B18">
      <w:pgSz w:w="11906" w:h="16838"/>
      <w:pgMar w:top="810" w:right="81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B18"/>
    <w:rsid w:val="00011C58"/>
    <w:rsid w:val="0006021D"/>
    <w:rsid w:val="00331A6B"/>
    <w:rsid w:val="00657B18"/>
    <w:rsid w:val="00755780"/>
    <w:rsid w:val="00857596"/>
    <w:rsid w:val="00AC13D9"/>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439D8"/>
  <w15:chartTrackingRefBased/>
  <w15:docId w15:val="{73897E73-C48B-4BB7-932F-750C8F5FB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B18"/>
    <w:pPr>
      <w:spacing w:after="0" w:line="240" w:lineRule="auto"/>
    </w:pPr>
    <w:rPr>
      <w:lang w:val="en-GB"/>
    </w:rPr>
  </w:style>
  <w:style w:type="paragraph" w:styleId="Heading1">
    <w:name w:val="heading 1"/>
    <w:basedOn w:val="Normal"/>
    <w:next w:val="Normal"/>
    <w:link w:val="Heading1Char"/>
    <w:uiPriority w:val="9"/>
    <w:qFormat/>
    <w:rsid w:val="00657B1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657B1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657B18"/>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657B18"/>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657B18"/>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657B18"/>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657B18"/>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657B18"/>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657B18"/>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B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B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B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B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B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B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B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B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B18"/>
    <w:rPr>
      <w:rFonts w:eastAsiaTheme="majorEastAsia" w:cstheme="majorBidi"/>
      <w:color w:val="272727" w:themeColor="text1" w:themeTint="D8"/>
    </w:rPr>
  </w:style>
  <w:style w:type="paragraph" w:styleId="Title">
    <w:name w:val="Title"/>
    <w:basedOn w:val="Normal"/>
    <w:next w:val="Normal"/>
    <w:link w:val="TitleChar"/>
    <w:uiPriority w:val="10"/>
    <w:qFormat/>
    <w:rsid w:val="00657B18"/>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657B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B18"/>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657B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B18"/>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657B18"/>
    <w:rPr>
      <w:i/>
      <w:iCs/>
      <w:color w:val="404040" w:themeColor="text1" w:themeTint="BF"/>
    </w:rPr>
  </w:style>
  <w:style w:type="paragraph" w:styleId="ListParagraph">
    <w:name w:val="List Paragraph"/>
    <w:basedOn w:val="Normal"/>
    <w:uiPriority w:val="34"/>
    <w:qFormat/>
    <w:rsid w:val="00657B18"/>
    <w:pPr>
      <w:spacing w:after="160" w:line="278" w:lineRule="auto"/>
      <w:ind w:left="720"/>
      <w:contextualSpacing/>
    </w:pPr>
    <w:rPr>
      <w:lang w:val="en-US"/>
    </w:rPr>
  </w:style>
  <w:style w:type="character" w:styleId="IntenseEmphasis">
    <w:name w:val="Intense Emphasis"/>
    <w:basedOn w:val="DefaultParagraphFont"/>
    <w:uiPriority w:val="21"/>
    <w:qFormat/>
    <w:rsid w:val="00657B18"/>
    <w:rPr>
      <w:i/>
      <w:iCs/>
      <w:color w:val="0F4761" w:themeColor="accent1" w:themeShade="BF"/>
    </w:rPr>
  </w:style>
  <w:style w:type="paragraph" w:styleId="IntenseQuote">
    <w:name w:val="Intense Quote"/>
    <w:basedOn w:val="Normal"/>
    <w:next w:val="Normal"/>
    <w:link w:val="IntenseQuoteChar"/>
    <w:uiPriority w:val="30"/>
    <w:qFormat/>
    <w:rsid w:val="00657B1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657B18"/>
    <w:rPr>
      <w:i/>
      <w:iCs/>
      <w:color w:val="0F4761" w:themeColor="accent1" w:themeShade="BF"/>
    </w:rPr>
  </w:style>
  <w:style w:type="character" w:styleId="IntenseReference">
    <w:name w:val="Intense Reference"/>
    <w:basedOn w:val="DefaultParagraphFont"/>
    <w:uiPriority w:val="32"/>
    <w:qFormat/>
    <w:rsid w:val="00657B18"/>
    <w:rPr>
      <w:b/>
      <w:bCs/>
      <w:smallCaps/>
      <w:color w:val="0F4761" w:themeColor="accent1" w:themeShade="BF"/>
      <w:spacing w:val="5"/>
    </w:rPr>
  </w:style>
  <w:style w:type="character" w:customStyle="1" w:styleId="apple-converted-space">
    <w:name w:val="apple-converted-space"/>
    <w:basedOn w:val="DefaultParagraphFont"/>
    <w:rsid w:val="00657B18"/>
  </w:style>
  <w:style w:type="character" w:styleId="Emphasis">
    <w:name w:val="Emphasis"/>
    <w:basedOn w:val="DefaultParagraphFont"/>
    <w:uiPriority w:val="20"/>
    <w:qFormat/>
    <w:rsid w:val="00657B18"/>
    <w:rPr>
      <w:i/>
      <w:iCs/>
    </w:rPr>
  </w:style>
  <w:style w:type="paragraph" w:styleId="Caption">
    <w:name w:val="caption"/>
    <w:basedOn w:val="Normal"/>
    <w:next w:val="Normal"/>
    <w:uiPriority w:val="35"/>
    <w:unhideWhenUsed/>
    <w:qFormat/>
    <w:rsid w:val="00657B18"/>
    <w:pPr>
      <w:spacing w:after="200"/>
    </w:pPr>
    <w:rPr>
      <w:rFonts w:ascii="Times New Roman" w:eastAsia="Times New Roman" w:hAnsi="Times New Roman" w:cs="Times New Roman"/>
      <w:i/>
      <w:iCs/>
      <w:color w:val="0E2841" w:themeColor="text2"/>
      <w:kern w:val="0"/>
      <w:sz w:val="18"/>
      <w:szCs w:val="18"/>
      <w:lang w:eastAsia="en-GB"/>
      <w14:ligatures w14:val="none"/>
    </w:rPr>
  </w:style>
  <w:style w:type="table" w:styleId="TableGrid">
    <w:name w:val="Table Grid"/>
    <w:basedOn w:val="TableNormal"/>
    <w:uiPriority w:val="39"/>
    <w:rsid w:val="00657B18"/>
    <w:pPr>
      <w:spacing w:after="0" w:line="240" w:lineRule="auto"/>
    </w:pPr>
    <w:rPr>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1263</Words>
  <Characters>7203</Characters>
  <Application>Microsoft Office Word</Application>
  <DocSecurity>0</DocSecurity>
  <Lines>60</Lines>
  <Paragraphs>16</Paragraphs>
  <ScaleCrop>false</ScaleCrop>
  <Company>Springer Nature</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2025-07-08T05:01:00Z</dcterms:created>
  <dcterms:modified xsi:type="dcterms:W3CDTF">2025-07-08T05:02:00Z</dcterms:modified>
</cp:coreProperties>
</file>