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317B2" w14:textId="77777777" w:rsidR="00E925DD" w:rsidRDefault="00E925DD" w:rsidP="00E925DD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color w:val="0D0D0D"/>
          <w:sz w:val="24"/>
          <w:szCs w:val="24"/>
          <w:highlight w:val="white"/>
        </w:rPr>
      </w:pPr>
      <w:r w:rsidRPr="004A6275">
        <w:rPr>
          <w:rFonts w:ascii="Times New Roman" w:hAnsi="Times New Roman" w:cs="Times New Roman"/>
          <w:color w:val="0D0D0D"/>
          <w:sz w:val="24"/>
          <w:szCs w:val="24"/>
          <w:highlight w:val="white"/>
        </w:rPr>
        <w:t xml:space="preserve">Table 2: Patient </w:t>
      </w:r>
      <w:r w:rsidRPr="004A6275">
        <w:rPr>
          <w:rFonts w:ascii="Times New Roman" w:hAnsi="Times New Roman" w:cs="Times New Roman"/>
          <w:color w:val="0D0D0D"/>
          <w:sz w:val="24"/>
          <w:szCs w:val="24"/>
        </w:rPr>
        <w:t>distribution</w:t>
      </w:r>
      <w:r w:rsidRPr="004A6275">
        <w:rPr>
          <w:rFonts w:ascii="Times New Roman" w:hAnsi="Times New Roman" w:cs="Times New Roman"/>
          <w:color w:val="0D0D0D"/>
          <w:sz w:val="24"/>
          <w:szCs w:val="24"/>
          <w:highlight w:val="white"/>
        </w:rPr>
        <w:t xml:space="preserve"> of Histopathologic Features and relationship between F-18 FDG PET/CT SUVmax and pathological features</w:t>
      </w:r>
    </w:p>
    <w:p w14:paraId="4270F549" w14:textId="77777777" w:rsidR="00E925DD" w:rsidRPr="004A6275" w:rsidRDefault="00E925DD" w:rsidP="00E925DD">
      <w:pPr>
        <w:jc w:val="both"/>
        <w:rPr>
          <w:rFonts w:ascii="Times New Roman" w:hAnsi="Times New Roman" w:cs="Times New Roman"/>
          <w:color w:val="0D0D0D"/>
          <w:sz w:val="24"/>
          <w:szCs w:val="24"/>
          <w:highlight w:val="whit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8"/>
        <w:gridCol w:w="1276"/>
        <w:gridCol w:w="2021"/>
        <w:gridCol w:w="1949"/>
        <w:gridCol w:w="1836"/>
      </w:tblGrid>
      <w:tr w:rsidR="00E925DD" w:rsidRPr="004A6275" w14:paraId="7FEE030D" w14:textId="77777777" w:rsidTr="00DD2162">
        <w:trPr>
          <w:jc w:val="center"/>
        </w:trPr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14:paraId="027EC166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Clinical Variables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3CE0B4B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29420A8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n(%)</w:t>
            </w:r>
          </w:p>
        </w:tc>
        <w:tc>
          <w:tcPr>
            <w:tcW w:w="1949" w:type="dxa"/>
            <w:tcBorders>
              <w:bottom w:val="single" w:sz="4" w:space="0" w:color="auto"/>
            </w:tcBorders>
          </w:tcPr>
          <w:p w14:paraId="27B5806F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SUVmax (g/ml)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790CED06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 Value</w:t>
            </w:r>
          </w:p>
        </w:tc>
      </w:tr>
      <w:tr w:rsidR="00E925DD" w:rsidRPr="004A6275" w14:paraId="7921EEA8" w14:textId="77777777" w:rsidTr="00DD2162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68F7FDEF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</w:p>
          <w:p w14:paraId="0CD5AF8A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Age (years)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14:paraId="7CBC0251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53B1DEAD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&lt;50</w:t>
            </w:r>
          </w:p>
          <w:p w14:paraId="69B8796C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eastAsia="Arial Unicode MS" w:hAnsi="Times New Roman" w:cs="Times New Roman"/>
                <w:sz w:val="24"/>
                <w:szCs w:val="24"/>
                <w:highlight w:val="white"/>
              </w:rPr>
              <w:t>≥</w:t>
            </w: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50</w:t>
            </w:r>
          </w:p>
        </w:tc>
        <w:tc>
          <w:tcPr>
            <w:tcW w:w="2021" w:type="dxa"/>
            <w:tcBorders>
              <w:top w:val="single" w:sz="4" w:space="0" w:color="auto"/>
            </w:tcBorders>
          </w:tcPr>
          <w:p w14:paraId="6517179F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41F22479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138 (%36)</w:t>
            </w:r>
          </w:p>
          <w:p w14:paraId="016E1D83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245 (%64)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14:paraId="786EDF1D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5072420A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10,5±7,7</w:t>
            </w:r>
          </w:p>
          <w:p w14:paraId="4A5C4B3B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8,1±7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51BEE8DB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14:paraId="23F7EBE8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0,003*</w:t>
            </w:r>
          </w:p>
        </w:tc>
      </w:tr>
      <w:tr w:rsidR="00E925DD" w:rsidRPr="004A6275" w14:paraId="62F0DA0E" w14:textId="77777777" w:rsidTr="00DD2162">
        <w:trPr>
          <w:jc w:val="center"/>
        </w:trPr>
        <w:tc>
          <w:tcPr>
            <w:tcW w:w="1560" w:type="dxa"/>
          </w:tcPr>
          <w:p w14:paraId="25CD98E5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Ki67</w:t>
            </w:r>
          </w:p>
        </w:tc>
        <w:tc>
          <w:tcPr>
            <w:tcW w:w="1984" w:type="dxa"/>
            <w:gridSpan w:val="2"/>
          </w:tcPr>
          <w:p w14:paraId="5B6F5864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&lt;15</w:t>
            </w:r>
          </w:p>
          <w:p w14:paraId="599ECDF1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eastAsia="Arial Unicode MS" w:hAnsi="Times New Roman" w:cs="Times New Roman"/>
                <w:sz w:val="24"/>
                <w:szCs w:val="24"/>
                <w:highlight w:val="white"/>
              </w:rPr>
              <w:t>≥15</w:t>
            </w:r>
          </w:p>
        </w:tc>
        <w:tc>
          <w:tcPr>
            <w:tcW w:w="2021" w:type="dxa"/>
          </w:tcPr>
          <w:p w14:paraId="3C4F79AE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110 (%28,5)</w:t>
            </w:r>
          </w:p>
          <w:p w14:paraId="4FFBEDF7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eastAsia="Arial Unicode MS" w:hAnsi="Times New Roman" w:cs="Times New Roman"/>
                <w:sz w:val="24"/>
                <w:szCs w:val="24"/>
                <w:highlight w:val="white"/>
              </w:rPr>
              <w:t>274 (%71,5)</w:t>
            </w:r>
          </w:p>
        </w:tc>
        <w:tc>
          <w:tcPr>
            <w:tcW w:w="1949" w:type="dxa"/>
          </w:tcPr>
          <w:p w14:paraId="0EE4E9D6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5,1±4,2</w:t>
            </w:r>
          </w:p>
          <w:p w14:paraId="7EEB66B1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eastAsia="Arial Unicode MS" w:hAnsi="Times New Roman" w:cs="Times New Roman"/>
                <w:sz w:val="24"/>
                <w:szCs w:val="24"/>
                <w:highlight w:val="white"/>
              </w:rPr>
              <w:t>10,5±7,7</w:t>
            </w:r>
          </w:p>
        </w:tc>
        <w:tc>
          <w:tcPr>
            <w:tcW w:w="1836" w:type="dxa"/>
          </w:tcPr>
          <w:p w14:paraId="27CF9E19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&lt;0,001*</w:t>
            </w:r>
          </w:p>
        </w:tc>
      </w:tr>
      <w:tr w:rsidR="00E925DD" w:rsidRPr="004A6275" w14:paraId="4A245DE6" w14:textId="77777777" w:rsidTr="00DD2162">
        <w:trPr>
          <w:jc w:val="center"/>
        </w:trPr>
        <w:tc>
          <w:tcPr>
            <w:tcW w:w="1560" w:type="dxa"/>
          </w:tcPr>
          <w:p w14:paraId="4CEA3509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ER receptor</w:t>
            </w:r>
          </w:p>
        </w:tc>
        <w:tc>
          <w:tcPr>
            <w:tcW w:w="1984" w:type="dxa"/>
            <w:gridSpan w:val="2"/>
          </w:tcPr>
          <w:p w14:paraId="50016DF7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Negative</w:t>
            </w:r>
          </w:p>
          <w:p w14:paraId="61E47272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Positive</w:t>
            </w:r>
          </w:p>
        </w:tc>
        <w:tc>
          <w:tcPr>
            <w:tcW w:w="2021" w:type="dxa"/>
          </w:tcPr>
          <w:p w14:paraId="140777D4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55 (%14,4)</w:t>
            </w:r>
          </w:p>
          <w:p w14:paraId="7D8CAF84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329 (85,6)</w:t>
            </w:r>
          </w:p>
        </w:tc>
        <w:tc>
          <w:tcPr>
            <w:tcW w:w="1949" w:type="dxa"/>
          </w:tcPr>
          <w:p w14:paraId="1936614D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13±8,9</w:t>
            </w:r>
          </w:p>
          <w:p w14:paraId="563F94AC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8,3±6,8</w:t>
            </w:r>
          </w:p>
        </w:tc>
        <w:tc>
          <w:tcPr>
            <w:tcW w:w="1836" w:type="dxa"/>
          </w:tcPr>
          <w:p w14:paraId="6037722F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&lt;0,001*</w:t>
            </w:r>
          </w:p>
        </w:tc>
      </w:tr>
      <w:tr w:rsidR="00E925DD" w:rsidRPr="004A6275" w14:paraId="657A4ED1" w14:textId="77777777" w:rsidTr="00DD2162">
        <w:trPr>
          <w:jc w:val="center"/>
        </w:trPr>
        <w:tc>
          <w:tcPr>
            <w:tcW w:w="1560" w:type="dxa"/>
          </w:tcPr>
          <w:p w14:paraId="70331ED0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PR receptor</w:t>
            </w:r>
          </w:p>
        </w:tc>
        <w:tc>
          <w:tcPr>
            <w:tcW w:w="1984" w:type="dxa"/>
            <w:gridSpan w:val="2"/>
          </w:tcPr>
          <w:p w14:paraId="7431FEBB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Negative</w:t>
            </w:r>
          </w:p>
          <w:p w14:paraId="3D063ECD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Positive</w:t>
            </w:r>
          </w:p>
        </w:tc>
        <w:tc>
          <w:tcPr>
            <w:tcW w:w="2021" w:type="dxa"/>
          </w:tcPr>
          <w:p w14:paraId="33A4037C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50 (%12,8)</w:t>
            </w:r>
          </w:p>
          <w:p w14:paraId="36266AB0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334 (%87,2)</w:t>
            </w:r>
          </w:p>
        </w:tc>
        <w:tc>
          <w:tcPr>
            <w:tcW w:w="1949" w:type="dxa"/>
          </w:tcPr>
          <w:p w14:paraId="7AD7B614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14,9±9</w:t>
            </w:r>
          </w:p>
          <w:p w14:paraId="40711CCB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8,2±6,8</w:t>
            </w:r>
          </w:p>
        </w:tc>
        <w:tc>
          <w:tcPr>
            <w:tcW w:w="1836" w:type="dxa"/>
          </w:tcPr>
          <w:p w14:paraId="4E6A7794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&lt;0,001*</w:t>
            </w:r>
          </w:p>
        </w:tc>
      </w:tr>
      <w:tr w:rsidR="00E925DD" w:rsidRPr="004A6275" w14:paraId="57BB6969" w14:textId="77777777" w:rsidTr="00DD2162">
        <w:trPr>
          <w:jc w:val="center"/>
        </w:trPr>
        <w:tc>
          <w:tcPr>
            <w:tcW w:w="1560" w:type="dxa"/>
          </w:tcPr>
          <w:p w14:paraId="202E90E7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HER2</w:t>
            </w: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ab/>
            </w:r>
          </w:p>
        </w:tc>
        <w:tc>
          <w:tcPr>
            <w:tcW w:w="1984" w:type="dxa"/>
            <w:gridSpan w:val="2"/>
          </w:tcPr>
          <w:p w14:paraId="3579B3C1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Negative</w:t>
            </w:r>
          </w:p>
          <w:p w14:paraId="18F1B1AE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Positive</w:t>
            </w:r>
          </w:p>
        </w:tc>
        <w:tc>
          <w:tcPr>
            <w:tcW w:w="2021" w:type="dxa"/>
          </w:tcPr>
          <w:p w14:paraId="0B3A2D64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284 (%74,2)</w:t>
            </w:r>
          </w:p>
          <w:p w14:paraId="51EC0C40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100 (%25,8)</w:t>
            </w:r>
          </w:p>
        </w:tc>
        <w:tc>
          <w:tcPr>
            <w:tcW w:w="1949" w:type="dxa"/>
          </w:tcPr>
          <w:p w14:paraId="679ED28F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8,3±7,5</w:t>
            </w:r>
          </w:p>
          <w:p w14:paraId="53009396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11,21±6,5</w:t>
            </w:r>
          </w:p>
        </w:tc>
        <w:tc>
          <w:tcPr>
            <w:tcW w:w="1836" w:type="dxa"/>
          </w:tcPr>
          <w:p w14:paraId="582AC0F3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0,022*</w:t>
            </w:r>
          </w:p>
          <w:p w14:paraId="7B3913D9" w14:textId="77777777" w:rsidR="00E925DD" w:rsidRPr="004A6275" w:rsidRDefault="00E925DD" w:rsidP="00DD2162">
            <w:pPr>
              <w:spacing w:line="360" w:lineRule="auto"/>
              <w:jc w:val="right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</w:p>
        </w:tc>
      </w:tr>
      <w:tr w:rsidR="00E925DD" w:rsidRPr="004A6275" w14:paraId="0ACB86F2" w14:textId="77777777" w:rsidTr="00DD2162">
        <w:trPr>
          <w:jc w:val="center"/>
        </w:trPr>
        <w:tc>
          <w:tcPr>
            <w:tcW w:w="1560" w:type="dxa"/>
          </w:tcPr>
          <w:p w14:paraId="4BC7CB78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Nottingham Grading System</w:t>
            </w:r>
          </w:p>
        </w:tc>
        <w:tc>
          <w:tcPr>
            <w:tcW w:w="1984" w:type="dxa"/>
            <w:gridSpan w:val="2"/>
          </w:tcPr>
          <w:p w14:paraId="4AD58AC4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Grade 1</w:t>
            </w:r>
          </w:p>
          <w:p w14:paraId="7D3968AD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Grade 2</w:t>
            </w:r>
          </w:p>
          <w:p w14:paraId="1E71AF22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Grade 3</w:t>
            </w:r>
          </w:p>
        </w:tc>
        <w:tc>
          <w:tcPr>
            <w:tcW w:w="2021" w:type="dxa"/>
          </w:tcPr>
          <w:p w14:paraId="0A586F9D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84 (%22,2)</w:t>
            </w:r>
          </w:p>
          <w:p w14:paraId="7DBE9FB7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212 (%55,1)</w:t>
            </w:r>
          </w:p>
          <w:p w14:paraId="15022CD7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88 (22,7)</w:t>
            </w:r>
          </w:p>
        </w:tc>
        <w:tc>
          <w:tcPr>
            <w:tcW w:w="1949" w:type="dxa"/>
          </w:tcPr>
          <w:p w14:paraId="0F7EE33D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5,5±4,1</w:t>
            </w:r>
          </w:p>
          <w:p w14:paraId="11E0584E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8,2±6,4</w:t>
            </w:r>
          </w:p>
          <w:p w14:paraId="66A86434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14,1±9,1</w:t>
            </w:r>
          </w:p>
        </w:tc>
        <w:tc>
          <w:tcPr>
            <w:tcW w:w="1836" w:type="dxa"/>
          </w:tcPr>
          <w:p w14:paraId="6518FDBF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</w:p>
        </w:tc>
      </w:tr>
      <w:tr w:rsidR="00E925DD" w:rsidRPr="004A6275" w14:paraId="6F41781F" w14:textId="77777777" w:rsidTr="00DD2162">
        <w:trPr>
          <w:jc w:val="center"/>
        </w:trPr>
        <w:tc>
          <w:tcPr>
            <w:tcW w:w="1560" w:type="dxa"/>
          </w:tcPr>
          <w:p w14:paraId="3D049D5F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Molecular Subtypes</w:t>
            </w:r>
          </w:p>
        </w:tc>
        <w:tc>
          <w:tcPr>
            <w:tcW w:w="1984" w:type="dxa"/>
            <w:gridSpan w:val="2"/>
          </w:tcPr>
          <w:p w14:paraId="75162CD6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Luminal A</w:t>
            </w:r>
          </w:p>
          <w:p w14:paraId="6EC2FA16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Luminal B</w:t>
            </w:r>
          </w:p>
          <w:p w14:paraId="49011102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Triple Negative </w:t>
            </w:r>
          </w:p>
          <w:p w14:paraId="48F64CAC" w14:textId="77777777" w:rsidR="00E925DD" w:rsidRPr="004A6275" w:rsidRDefault="00E925DD" w:rsidP="00DD2162">
            <w:pPr>
              <w:spacing w:line="36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HER2 Enriched</w:t>
            </w:r>
          </w:p>
        </w:tc>
        <w:tc>
          <w:tcPr>
            <w:tcW w:w="2021" w:type="dxa"/>
          </w:tcPr>
          <w:p w14:paraId="2BE83F3F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91 (%23,7)</w:t>
            </w:r>
          </w:p>
          <w:p w14:paraId="07CF28C9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242 (%63)</w:t>
            </w:r>
          </w:p>
          <w:p w14:paraId="315C52C7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26 (%6,8)</w:t>
            </w:r>
          </w:p>
          <w:p w14:paraId="3DE07921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25 (%6,5)</w:t>
            </w:r>
          </w:p>
        </w:tc>
        <w:tc>
          <w:tcPr>
            <w:tcW w:w="1949" w:type="dxa"/>
          </w:tcPr>
          <w:p w14:paraId="6793C2D9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4,7±3,9</w:t>
            </w:r>
          </w:p>
          <w:p w14:paraId="2AA6F333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9,69±7,1</w:t>
            </w:r>
          </w:p>
          <w:p w14:paraId="61CCA260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14,9±10,8</w:t>
            </w:r>
          </w:p>
          <w:p w14:paraId="027E1538" w14:textId="77777777" w:rsidR="00E925DD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4A627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10,9±6,44</w:t>
            </w:r>
          </w:p>
          <w:p w14:paraId="3A00BEBD" w14:textId="77777777" w:rsidR="00E925DD" w:rsidRPr="004A6275" w:rsidRDefault="00E925DD" w:rsidP="00DD2162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</w:p>
        </w:tc>
        <w:tc>
          <w:tcPr>
            <w:tcW w:w="1836" w:type="dxa"/>
          </w:tcPr>
          <w:p w14:paraId="49A237BF" w14:textId="77777777" w:rsidR="00E925DD" w:rsidRPr="004A6275" w:rsidRDefault="00E925DD" w:rsidP="00DD2162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highlight w:val="white"/>
              </w:rPr>
            </w:pPr>
          </w:p>
        </w:tc>
      </w:tr>
    </w:tbl>
    <w:p w14:paraId="3DAA2005" w14:textId="77777777" w:rsidR="00E925DD" w:rsidRDefault="00E925DD" w:rsidP="00E925DD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color w:val="0D0D0D"/>
          <w:sz w:val="24"/>
          <w:szCs w:val="24"/>
          <w:highlight w:val="white"/>
        </w:rPr>
      </w:pPr>
    </w:p>
    <w:p w14:paraId="7E83879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DD"/>
    <w:rsid w:val="002E281E"/>
    <w:rsid w:val="003201BB"/>
    <w:rsid w:val="007E6400"/>
    <w:rsid w:val="00865217"/>
    <w:rsid w:val="00E9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741A0"/>
  <w15:chartTrackingRefBased/>
  <w15:docId w15:val="{D7279529-2B9F-4DF2-B730-6207B6C75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D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25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5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5D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5D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5D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5D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5D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5D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5D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5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5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5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5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5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5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5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5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5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5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25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5D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25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5D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25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5D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25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5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5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5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925D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>Springer Nature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2025-07-16T11:34:00Z</dcterms:created>
  <dcterms:modified xsi:type="dcterms:W3CDTF">2025-07-16T11:37:00Z</dcterms:modified>
</cp:coreProperties>
</file>